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10 Most Recent Contracts</w:t>
            </w:r>
          </w:p>
          <w:p>
            <w:r>
              <w:rPr>
                <w:color w:val="C8D5E0"/>
                <w:sz w:val="24"/>
              </w:rPr>
              <w:t>Organization-wide contract summary</w:t>
            </w:r>
          </w:p>
          <w:p>
            <w:r>
              <w:rPr>
                <w:color w:val="E2E8F0"/>
                <w:sz w:val="18"/>
              </w:rPr>
              <w:t>Prepared by: Prepared by Kahua Construction Analyst  |  January 27, 2026</w:t>
            </w:r>
          </w:p>
        </w:tc>
      </w:tr>
    </w:tbl>
    <w:p/>
    <w:p>
      <w:pPr>
        <w:pStyle w:val="Heading1"/>
      </w:pPr>
      <w:r>
        <w:rPr>
          <w:color w:val="1A365D"/>
        </w:rPr>
        <w:t>Executive Summary</w:t>
      </w:r>
    </w:p>
    <w:p>
      <w:r>
        <w:t>This report lists the 10 most recently created contracts across all projects in Kahua. It highlights contract numbers, creation dates, and commitment values where available.</w:t>
      </w:r>
    </w:p>
    <w:p>
      <w:pPr>
        <w:pStyle w:val="Heading2"/>
      </w:pPr>
      <w:r>
        <w:rPr>
          <w:color w:val="1A365D"/>
        </w:rPr>
        <w:t>Contract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Contract Number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Created Date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Approved / Projected Value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Workflow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$14,200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$72,795,023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2026-01-13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$17,838,781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2026-01-12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$90,000,000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$122,000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Review &amp; Approval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2026-01-09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$100,000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Locked</w:t>
            </w:r>
          </w:p>
        </w:tc>
      </w:tr>
    </w:tbl>
    <w:p/>
    <w:p>
      <w:pPr>
        <w:pStyle w:val="Heading2"/>
      </w:pPr>
      <w:r>
        <w:rPr>
          <w:color w:val="1A365D"/>
        </w:rPr>
        <w:t>Observations</w:t>
      </w:r>
    </w:p>
    <w:p>
      <w:pPr>
        <w:pStyle w:val="ListBullet"/>
      </w:pPr>
      <w:r>
        <w:t xml:space="preserve">The largest recent commitment is </w:t>
      </w:r>
      <w:r>
        <w:rPr>
          <w:b/>
        </w:rPr>
        <w:t>$90M</w:t>
      </w:r>
      <w:r>
        <w:t xml:space="preserve">, created on </w:t>
      </w:r>
      <w:r>
        <w:rPr>
          <w:b/>
        </w:rPr>
        <w:t>Jan 12, 2026</w:t>
      </w:r>
      <w:r>
        <w:t xml:space="preserve">, followed by a $72.8M contract on </w:t>
      </w:r>
      <w:r>
        <w:rPr>
          <w:b/>
        </w:rPr>
        <w:t>Jan 15, 2026</w:t>
      </w:r>
      <w:r>
        <w:t>.</w:t>
      </w:r>
    </w:p>
    <w:p>
      <w:pPr>
        <w:pStyle w:val="ListBullet"/>
      </w:pPr>
      <w:r>
        <w:t xml:space="preserve">Most recent contracts are in </w:t>
      </w:r>
      <w:r>
        <w:rPr>
          <w:b/>
        </w:rPr>
        <w:t>Active workflow</w:t>
      </w:r>
      <w:r>
        <w:t xml:space="preserve"> status, indicating they are either newly approved or in progress.</w:t>
      </w:r>
    </w:p>
    <w:p>
      <w:pPr>
        <w:pStyle w:val="ListBullet"/>
      </w:pPr>
      <w:r>
        <w:t>Smaller commitments (under $150K) suggest early-stage service or supply agreements.</w:t>
      </w:r>
    </w:p>
    <w:p>
      <w:r>
        <w:rPr>
          <w:b/>
        </w:rPr>
        <w:t>Recommendations:</w:t>
      </w:r>
      <w:r>
        <w:t xml:space="preserve"> Monitor progress and ensure approval workflow transitions are completed for contracts still marked as </w:t>
      </w:r>
      <w:r>
        <w:rPr>
          <w:i/>
        </w:rPr>
        <w:t>Review &amp; Approval</w:t>
      </w:r>
      <w:r>
        <w:t xml:space="preserve"> or </w:t>
      </w:r>
      <w:r>
        <w:rPr>
          <w:i/>
        </w:rPr>
        <w:t>Locked</w:t>
      </w:r>
      <w:r>
        <w:t xml:space="preserve"> to maintain project cash flow and compliance.</w:t>
      </w:r>
    </w:p>
    <w:p/>
    <w:p>
      <w:pPr>
        <w:jc w:val="center"/>
      </w:pPr>
      <w:r>
        <w:rPr>
          <w:color w:val="A0AEC0"/>
          <w:sz w:val="16"/>
        </w:rPr>
        <w:t>Generated on January 27,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