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Organization-wide RFI Status Report</w:t>
            </w:r>
          </w:p>
          <w:p>
            <w:r>
              <w:rPr>
                <w:color w:val="C8D5E0"/>
                <w:sz w:val="24"/>
              </w:rPr>
              <w:t>Generated January 26, 2026</w:t>
            </w:r>
          </w:p>
          <w:p>
            <w:r>
              <w:rPr>
                <w:color w:val="E2E8F0"/>
                <w:sz w:val="18"/>
              </w:rPr>
              <w:t>January 26, 2026</w:t>
            </w:r>
          </w:p>
        </w:tc>
      </w:tr>
    </w:tbl>
    <w:p/>
    <w:p>
      <w:pPr>
        <w:pStyle w:val="Heading2"/>
      </w:pPr>
      <w:r>
        <w:rPr>
          <w:color w:val="1A365D"/>
        </w:rPr>
        <w:t>Executive Summary</w:t>
      </w:r>
    </w:p>
    <w:p>
      <w:r>
        <w:t>Overview of RFI performance and key metrics.</w:t>
      </w:r>
    </w:p>
    <w:p>
      <w:pPr>
        <w:pStyle w:val="Heading2"/>
      </w:pPr>
      <w:r>
        <w:rPr>
          <w:color w:val="1A365D"/>
        </w:rPr>
        <w:t>Status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7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365D"/>
        </w:rPr>
        <w:t>RFI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AssignedTo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DueDate</w:t>
            </w:r>
          </w:p>
        </w:tc>
        <w:tc>
          <w:tcPr>
            <w:tcW w:type="dxa" w:w="1440"/>
            <w:shd w:fill="1a365d"/>
          </w:tcPr>
          <w:p>
            <w:r>
              <w:rPr>
                <w:b/>
                <w:color w:val="FFFFFF"/>
                <w:sz w:val="18"/>
              </w:rPr>
              <w:t>DaysOpen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[{'id': 10941516, 'referenceType': 1, 'h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2026-01-23T00:00:00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Test RFI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Test RFI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Confirm structural shoring sequence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Specify nurse station millwork details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Routing for oxygen and vacuum risers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Glazing laminate specification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Clarify OR Ceiling Systems Integration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0024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Conductor Size/Material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[{'id': 10554925, 'referenceType': 1, 'h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2025-12-22T00:00:00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2025-12-18T00:00:00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098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Leak Repair Question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[{'id': 10941516, 'referenceType': 1, 'h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2026-01-23T00:00:00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0118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Z Clips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[{'id': 5005854, 'referenceType': 1, 'hu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2025-12-01T00:00:00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0023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Electrical Conduit Routing Conflicts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2025-03-31T18:00:00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Material Substitution for Door Handle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2025-03-27T18:00:00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0021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Clarification on Ceiling Height in Lobby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2025-03-04T17:00:00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Clarification on Construction Phasing Pl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2025-03-27T14:00:00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0019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Lead-Based Paint Mitigation Procedure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2025-03-26T14:00:00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Load Bearing Capacity of Temporary Acces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2025-03-26T14:00:00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0017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Material Substitution for Exterior Cladd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2025-03-26T14:00:00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Anti-Terrorism/Force Protection (AT/FP)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2025-03-25T14:00:00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0015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Fire Protection System Water Supply Capa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2025-03-24T14:00:00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Electrical Conduit Routing Conflict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2025-03-24T14:00:00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0013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Stormwater Drainage Design Clarification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2025-03-09T14:00:00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Discrepancy in Wall Thickness Specificat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2025-03-24T14:00:00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Changes to Phasing Plan Due to Weather C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2025-03-20T14:00:00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Concrete Mix Design Approval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2025-03-20T14:00:00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0009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Security Requirements for Subcontractor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2025-03-19T14:00:00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Clarification on Seismic Design Criteria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2025-03-19T14:00:00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0007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HVAC Equipment Substitution Request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2025-03-13T14:00:00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Environmental Compliance Requirements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2025-03-09T14:00:00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0005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Site Utility Conflict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2025-03-09T14:00:00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Waterproofing System Compatibility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2025-03-13T14:00:00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0003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Geotechnical Report Discrepancy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2025-03-12T14:00:00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Clarification on Structural Specificatio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2025-03-12T14:00:00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Clarification on Terminal Foundation Req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2025-03-12T14:00:00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Question on pipe length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0022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Access Panel Location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Drawing Omission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0020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Temporary Utilities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Responded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Fixture Mounting 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0018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Waterproofing Detail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Code Interpretation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0016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Finish Schedule Clarification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Access Requirements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0014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Coordination Issue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0013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Elevation Mismatch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20"/>
              </w:rPr>
              <w:t>0012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Site Conditions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  <w:t>2025-10-03T00:00:00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365D"/>
        </w:rPr>
        <w:t>Response Time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7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3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A0AEC0"/>
          <w:sz w:val="16"/>
        </w:rPr>
        <w:t>Generated on January 26,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