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FD" w:rsidRDefault="002E63FD" w:rsidP="002E63FD">
      <w:pPr>
        <w:spacing w:line="600" w:lineRule="exact"/>
        <w:ind w:right="26"/>
        <w:jc w:val="center"/>
        <w:rPr>
          <w:rFonts w:ascii="宋体" w:hAnsi="宋体"/>
          <w:b/>
          <w:bCs/>
          <w:color w:val="000000"/>
          <w:sz w:val="32"/>
        </w:rPr>
      </w:pPr>
      <w:r>
        <w:rPr>
          <w:rFonts w:ascii="宋体" w:hAnsi="宋体" w:hint="eastAsia"/>
          <w:b/>
          <w:bCs/>
          <w:color w:val="000000"/>
          <w:sz w:val="32"/>
        </w:rPr>
        <w:t>《国际法》</w:t>
      </w:r>
      <w:r w:rsidR="00EB54CB">
        <w:rPr>
          <w:rFonts w:cs="宋体" w:hint="eastAsia"/>
          <w:b/>
          <w:bCs/>
          <w:sz w:val="24"/>
          <w:szCs w:val="24"/>
        </w:rPr>
        <w:t>模拟</w:t>
      </w:r>
      <w:r w:rsidR="00EB54CB">
        <w:rPr>
          <w:rFonts w:cs="宋体"/>
          <w:b/>
          <w:bCs/>
          <w:sz w:val="24"/>
          <w:szCs w:val="24"/>
        </w:rPr>
        <w:t>试卷</w:t>
      </w:r>
      <w:r w:rsidR="00EB54CB">
        <w:rPr>
          <w:rFonts w:cs="宋体" w:hint="eastAsia"/>
          <w:b/>
          <w:bCs/>
          <w:sz w:val="24"/>
          <w:szCs w:val="24"/>
        </w:rPr>
        <w:t>B</w:t>
      </w:r>
    </w:p>
    <w:p w:rsidR="002E63FD" w:rsidRDefault="004A409E" w:rsidP="002E63FD">
      <w:pPr>
        <w:spacing w:line="600" w:lineRule="exact"/>
        <w:ind w:right="26"/>
        <w:jc w:val="center"/>
        <w:rPr>
          <w:rFonts w:ascii="宋体" w:hAnsi="宋体"/>
          <w:bCs/>
          <w:color w:val="000000"/>
          <w:sz w:val="24"/>
        </w:rPr>
      </w:pPr>
      <w:r>
        <w:rPr>
          <w:rFonts w:ascii="宋体" w:hAnsi="宋体" w:hint="eastAsia"/>
          <w:bCs/>
          <w:color w:val="000000"/>
          <w:sz w:val="24"/>
        </w:rPr>
        <w:t>考试形式：开卷</w:t>
      </w:r>
      <w:r w:rsidR="002E63FD">
        <w:rPr>
          <w:rFonts w:ascii="宋体" w:hAnsi="宋体"/>
          <w:bCs/>
          <w:color w:val="000000"/>
          <w:sz w:val="24"/>
        </w:rPr>
        <w:t xml:space="preserve">   考试时间：90分钟  </w:t>
      </w:r>
    </w:p>
    <w:p w:rsidR="003A4D8F" w:rsidRDefault="003A4D8F" w:rsidP="002E63FD">
      <w:pPr>
        <w:rPr>
          <w:b/>
          <w:sz w:val="24"/>
          <w:szCs w:val="24"/>
        </w:rPr>
      </w:pPr>
      <w:bookmarkStart w:id="0" w:name="_GoBack"/>
      <w:bookmarkEnd w:id="0"/>
    </w:p>
    <w:p w:rsidR="002E63FD" w:rsidRPr="003A4D8F" w:rsidRDefault="003A4D8F" w:rsidP="003A4D8F">
      <w:pPr>
        <w:spacing w:line="360" w:lineRule="auto"/>
        <w:rPr>
          <w:b/>
          <w:sz w:val="24"/>
          <w:szCs w:val="24"/>
        </w:rPr>
      </w:pPr>
      <w:r w:rsidRPr="003A4D8F">
        <w:rPr>
          <w:rFonts w:hint="eastAsia"/>
          <w:b/>
          <w:sz w:val="24"/>
          <w:szCs w:val="24"/>
        </w:rPr>
        <w:t>一、</w:t>
      </w:r>
      <w:r w:rsidR="002E63FD" w:rsidRPr="003A4D8F">
        <w:rPr>
          <w:rFonts w:hint="eastAsia"/>
          <w:b/>
          <w:sz w:val="24"/>
          <w:szCs w:val="24"/>
        </w:rPr>
        <w:t>正误辨析题（在每题前打“√”或“×”，</w:t>
      </w:r>
      <w:r w:rsidR="002E63FD" w:rsidRPr="003A4D8F">
        <w:rPr>
          <w:rFonts w:ascii="黑体" w:eastAsia="黑体" w:hAnsi="黑体" w:hint="eastAsia"/>
          <w:b/>
          <w:sz w:val="24"/>
          <w:szCs w:val="24"/>
          <w:u w:val="single"/>
        </w:rPr>
        <w:t>无论是“√”或“×”，均须说明理由，未附理由或理由错误的均无分。</w:t>
      </w:r>
      <w:r w:rsidR="002E63FD" w:rsidRPr="003A4D8F">
        <w:rPr>
          <w:rFonts w:hint="eastAsia"/>
          <w:b/>
          <w:sz w:val="24"/>
          <w:szCs w:val="24"/>
        </w:rPr>
        <w:t>每题</w:t>
      </w:r>
      <w:r w:rsidR="002E63FD" w:rsidRPr="003A4D8F">
        <w:rPr>
          <w:b/>
          <w:sz w:val="24"/>
          <w:szCs w:val="24"/>
        </w:rPr>
        <w:t>6</w:t>
      </w:r>
      <w:r w:rsidR="002E63FD" w:rsidRPr="003A4D8F">
        <w:rPr>
          <w:rFonts w:hint="eastAsia"/>
          <w:b/>
          <w:sz w:val="24"/>
          <w:szCs w:val="24"/>
        </w:rPr>
        <w:t>分，共</w:t>
      </w:r>
      <w:r w:rsidR="002E63FD" w:rsidRPr="003A4D8F">
        <w:rPr>
          <w:b/>
          <w:sz w:val="24"/>
          <w:szCs w:val="24"/>
        </w:rPr>
        <w:t>60</w:t>
      </w:r>
      <w:r w:rsidR="002E63FD" w:rsidRPr="003A4D8F">
        <w:rPr>
          <w:rFonts w:hint="eastAsia"/>
          <w:b/>
          <w:sz w:val="24"/>
          <w:szCs w:val="24"/>
        </w:rPr>
        <w:t>分。）</w:t>
      </w:r>
    </w:p>
    <w:p w:rsidR="003A4D8F" w:rsidRDefault="00953B74"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002E63FD" w:rsidRPr="003A4D8F">
        <w:rPr>
          <w:rFonts w:hint="eastAsia"/>
          <w:sz w:val="24"/>
          <w:szCs w:val="24"/>
        </w:rPr>
        <w:t>1</w:t>
      </w:r>
      <w:r w:rsidR="002E63FD" w:rsidRPr="003A4D8F">
        <w:rPr>
          <w:rFonts w:hint="eastAsia"/>
          <w:sz w:val="24"/>
          <w:szCs w:val="24"/>
        </w:rPr>
        <w:t>、外交关系和领事关系是密切联系的。除另有声明外，两国间建立了外交关系，即意味着同意建立领事关系；断绝了外交关系，即谓亦断绝了领事关系，反之亦然。</w:t>
      </w:r>
    </w:p>
    <w:p w:rsidR="003A4D8F" w:rsidRDefault="002E63FD" w:rsidP="003A4D8F">
      <w:pPr>
        <w:spacing w:line="360" w:lineRule="auto"/>
        <w:rPr>
          <w:sz w:val="24"/>
          <w:szCs w:val="24"/>
        </w:rPr>
      </w:pPr>
      <w:r w:rsidRPr="003A4D8F">
        <w:rPr>
          <w:rFonts w:hint="eastAsia"/>
          <w:sz w:val="24"/>
          <w:szCs w:val="24"/>
        </w:rPr>
        <w:t>（</w:t>
      </w:r>
      <w:r w:rsidR="003A4D8F" w:rsidRPr="003A4D8F">
        <w:rPr>
          <w:rFonts w:hint="eastAsia"/>
          <w:sz w:val="24"/>
          <w:szCs w:val="24"/>
        </w:rPr>
        <w:t xml:space="preserve"> </w:t>
      </w:r>
      <w:r w:rsidRPr="003A4D8F">
        <w:rPr>
          <w:rFonts w:hint="eastAsia"/>
          <w:sz w:val="24"/>
          <w:szCs w:val="24"/>
        </w:rPr>
        <w:t xml:space="preserve">  </w:t>
      </w:r>
      <w:r w:rsidRPr="003A4D8F">
        <w:rPr>
          <w:rFonts w:hint="eastAsia"/>
          <w:sz w:val="24"/>
          <w:szCs w:val="24"/>
        </w:rPr>
        <w:t>）</w:t>
      </w:r>
      <w:r w:rsidRPr="003A4D8F">
        <w:rPr>
          <w:rFonts w:hint="eastAsia"/>
          <w:sz w:val="24"/>
          <w:szCs w:val="24"/>
        </w:rPr>
        <w:t>2</w:t>
      </w:r>
      <w:r w:rsidRPr="003A4D8F">
        <w:rPr>
          <w:rFonts w:hint="eastAsia"/>
          <w:sz w:val="24"/>
          <w:szCs w:val="24"/>
        </w:rPr>
        <w:t>、驻外使馆是派遣国领土的延伸和主权的象征，依国际法享有治外法权，不可侵犯，接受国应予以特别保护。</w:t>
      </w:r>
    </w:p>
    <w:p w:rsidR="003A4D8F" w:rsidRPr="003A4D8F" w:rsidRDefault="002E63FD" w:rsidP="003A4D8F">
      <w:pPr>
        <w:spacing w:line="360" w:lineRule="auto"/>
        <w:rPr>
          <w:sz w:val="24"/>
          <w:szCs w:val="24"/>
        </w:rPr>
      </w:pPr>
      <w:r w:rsidRPr="003A4D8F">
        <w:rPr>
          <w:rFonts w:hint="eastAsia"/>
          <w:sz w:val="24"/>
          <w:szCs w:val="24"/>
        </w:rPr>
        <w:t>（</w:t>
      </w:r>
      <w:r w:rsidR="003A4D8F" w:rsidRPr="003A4D8F">
        <w:rPr>
          <w:rFonts w:hint="eastAsia"/>
          <w:sz w:val="24"/>
          <w:szCs w:val="24"/>
        </w:rPr>
        <w:t xml:space="preserve">  </w:t>
      </w:r>
      <w:r w:rsidRPr="003A4D8F">
        <w:rPr>
          <w:rFonts w:hint="eastAsia"/>
          <w:sz w:val="24"/>
          <w:szCs w:val="24"/>
        </w:rPr>
        <w:t xml:space="preserve"> </w:t>
      </w:r>
      <w:r w:rsidRPr="003A4D8F">
        <w:rPr>
          <w:rFonts w:hint="eastAsia"/>
          <w:sz w:val="24"/>
          <w:szCs w:val="24"/>
        </w:rPr>
        <w:t>）</w:t>
      </w:r>
      <w:r w:rsidRPr="003A4D8F">
        <w:rPr>
          <w:rFonts w:hint="eastAsia"/>
          <w:sz w:val="24"/>
          <w:szCs w:val="24"/>
        </w:rPr>
        <w:t>3</w:t>
      </w:r>
      <w:r w:rsidRPr="003A4D8F">
        <w:rPr>
          <w:rFonts w:hint="eastAsia"/>
          <w:sz w:val="24"/>
          <w:szCs w:val="24"/>
        </w:rPr>
        <w:t>、沿海国军舰或经授权的政府船舶对违反本国法律而逃逸的任何外国船舶可行使紧追权，但被追船舶进入外国领海时应停止紧追。</w:t>
      </w:r>
    </w:p>
    <w:p w:rsidR="002E63FD" w:rsidRPr="003A4D8F" w:rsidRDefault="002E63FD"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Pr="003A4D8F">
        <w:rPr>
          <w:rFonts w:hint="eastAsia"/>
          <w:sz w:val="24"/>
          <w:szCs w:val="24"/>
        </w:rPr>
        <w:t>4</w:t>
      </w:r>
      <w:r w:rsidRPr="003A4D8F">
        <w:rPr>
          <w:rFonts w:hint="eastAsia"/>
          <w:sz w:val="24"/>
          <w:szCs w:val="24"/>
        </w:rPr>
        <w:t>、国民待遇和最惠国待遇的主要区别即：前者是国家给予外国人以普通国民的待遇，而后者则是给予最优惠的待遇。</w:t>
      </w:r>
    </w:p>
    <w:p w:rsidR="003A4D8F" w:rsidRDefault="002E63FD"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Pr="003A4D8F">
        <w:rPr>
          <w:rFonts w:hint="eastAsia"/>
          <w:sz w:val="24"/>
          <w:szCs w:val="24"/>
        </w:rPr>
        <w:t>5</w:t>
      </w:r>
      <w:r w:rsidRPr="003A4D8F">
        <w:rPr>
          <w:rFonts w:hint="eastAsia"/>
          <w:sz w:val="24"/>
          <w:szCs w:val="24"/>
        </w:rPr>
        <w:t>、国家在任何情况下不因私人行为本身承担直接国际责任。</w:t>
      </w:r>
    </w:p>
    <w:p w:rsidR="002E63FD" w:rsidRPr="003A4D8F" w:rsidRDefault="002E63FD"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Pr="003A4D8F">
        <w:rPr>
          <w:rFonts w:hint="eastAsia"/>
          <w:sz w:val="24"/>
          <w:szCs w:val="24"/>
        </w:rPr>
        <w:t>6</w:t>
      </w:r>
      <w:r w:rsidRPr="003A4D8F">
        <w:rPr>
          <w:rFonts w:hint="eastAsia"/>
          <w:sz w:val="24"/>
          <w:szCs w:val="24"/>
        </w:rPr>
        <w:t>、根据国际法和中国法律，中国领海、毗连区和专属经济区的实际宽度分别为</w:t>
      </w:r>
      <w:r w:rsidRPr="003A4D8F">
        <w:rPr>
          <w:sz w:val="24"/>
          <w:szCs w:val="24"/>
        </w:rPr>
        <w:t>12</w:t>
      </w:r>
      <w:r w:rsidRPr="003A4D8F">
        <w:rPr>
          <w:rFonts w:hint="eastAsia"/>
          <w:sz w:val="24"/>
          <w:szCs w:val="24"/>
        </w:rPr>
        <w:t>海里、</w:t>
      </w:r>
      <w:r w:rsidRPr="003A4D8F">
        <w:rPr>
          <w:sz w:val="24"/>
          <w:szCs w:val="24"/>
        </w:rPr>
        <w:t>12</w:t>
      </w:r>
      <w:r w:rsidRPr="003A4D8F">
        <w:rPr>
          <w:rFonts w:hint="eastAsia"/>
          <w:sz w:val="24"/>
          <w:szCs w:val="24"/>
        </w:rPr>
        <w:t>海里和</w:t>
      </w:r>
      <w:r w:rsidRPr="003A4D8F">
        <w:rPr>
          <w:sz w:val="24"/>
          <w:szCs w:val="24"/>
        </w:rPr>
        <w:t>188</w:t>
      </w:r>
      <w:r w:rsidRPr="003A4D8F">
        <w:rPr>
          <w:rFonts w:hint="eastAsia"/>
          <w:sz w:val="24"/>
          <w:szCs w:val="24"/>
        </w:rPr>
        <w:t>海里。</w:t>
      </w:r>
    </w:p>
    <w:p w:rsidR="002E63FD" w:rsidRPr="003A4D8F" w:rsidRDefault="002E63FD"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Pr="003A4D8F">
        <w:rPr>
          <w:rFonts w:hint="eastAsia"/>
          <w:sz w:val="24"/>
          <w:szCs w:val="24"/>
        </w:rPr>
        <w:t>7</w:t>
      </w:r>
      <w:r w:rsidRPr="003A4D8F">
        <w:rPr>
          <w:rFonts w:hint="eastAsia"/>
          <w:sz w:val="24"/>
          <w:szCs w:val="24"/>
        </w:rPr>
        <w:t>、国际法的强制力是通过国际法院来实现和保障的。</w:t>
      </w:r>
    </w:p>
    <w:p w:rsidR="003A4D8F" w:rsidRDefault="002E63FD" w:rsidP="003A4D8F">
      <w:pPr>
        <w:spacing w:line="360" w:lineRule="auto"/>
        <w:rPr>
          <w:sz w:val="24"/>
          <w:szCs w:val="24"/>
        </w:rPr>
      </w:pPr>
      <w:r w:rsidRPr="003A4D8F">
        <w:rPr>
          <w:rFonts w:hint="eastAsia"/>
          <w:sz w:val="24"/>
          <w:szCs w:val="24"/>
        </w:rPr>
        <w:t>（</w:t>
      </w:r>
      <w:r w:rsidRPr="003A4D8F">
        <w:rPr>
          <w:rFonts w:hint="eastAsia"/>
          <w:sz w:val="24"/>
          <w:szCs w:val="24"/>
        </w:rPr>
        <w:t xml:space="preserve">   </w:t>
      </w:r>
      <w:r w:rsidRPr="003A4D8F">
        <w:rPr>
          <w:rFonts w:hint="eastAsia"/>
          <w:sz w:val="24"/>
          <w:szCs w:val="24"/>
        </w:rPr>
        <w:t>）</w:t>
      </w:r>
      <w:r w:rsidRPr="003A4D8F">
        <w:rPr>
          <w:rFonts w:hint="eastAsia"/>
          <w:sz w:val="24"/>
          <w:szCs w:val="24"/>
        </w:rPr>
        <w:t>8</w:t>
      </w:r>
      <w:r w:rsidRPr="003A4D8F">
        <w:rPr>
          <w:rFonts w:hint="eastAsia"/>
          <w:sz w:val="24"/>
          <w:szCs w:val="24"/>
        </w:rPr>
        <w:t>、一国在缔结或加入多边条约时，对本国不能接受的条款，有权声明保留。</w:t>
      </w:r>
    </w:p>
    <w:p w:rsidR="002E63FD" w:rsidRPr="003A4D8F" w:rsidRDefault="002E63FD" w:rsidP="003A4D8F">
      <w:pPr>
        <w:spacing w:line="360" w:lineRule="auto"/>
        <w:rPr>
          <w:sz w:val="24"/>
          <w:szCs w:val="24"/>
        </w:rPr>
      </w:pPr>
      <w:r w:rsidRPr="003A4D8F">
        <w:rPr>
          <w:rFonts w:hint="eastAsia"/>
          <w:sz w:val="24"/>
          <w:szCs w:val="24"/>
        </w:rPr>
        <w:t>（</w:t>
      </w:r>
      <w:r w:rsidR="003A4D8F">
        <w:rPr>
          <w:rFonts w:hint="eastAsia"/>
          <w:sz w:val="24"/>
          <w:szCs w:val="24"/>
        </w:rPr>
        <w:t xml:space="preserve">   </w:t>
      </w:r>
      <w:r w:rsidRPr="003A4D8F">
        <w:rPr>
          <w:rFonts w:hint="eastAsia"/>
          <w:sz w:val="24"/>
          <w:szCs w:val="24"/>
        </w:rPr>
        <w:t>）</w:t>
      </w:r>
      <w:r w:rsidRPr="003A4D8F">
        <w:rPr>
          <w:rFonts w:hint="eastAsia"/>
          <w:sz w:val="24"/>
          <w:szCs w:val="24"/>
        </w:rPr>
        <w:t>9</w:t>
      </w:r>
      <w:r w:rsidRPr="003A4D8F">
        <w:rPr>
          <w:rFonts w:hint="eastAsia"/>
          <w:sz w:val="24"/>
          <w:szCs w:val="24"/>
        </w:rPr>
        <w:t>、战争开始后的法律后果之一是交战国之间的外交和领事关系完全断绝。</w:t>
      </w:r>
      <w:r w:rsidR="003A4D8F">
        <w:rPr>
          <w:rFonts w:hint="eastAsia"/>
          <w:sz w:val="24"/>
          <w:szCs w:val="24"/>
        </w:rPr>
        <w:t>(</w:t>
      </w:r>
      <w:r w:rsidRPr="003A4D8F">
        <w:rPr>
          <w:rFonts w:hint="eastAsia"/>
          <w:sz w:val="24"/>
          <w:szCs w:val="24"/>
        </w:rPr>
        <w:t xml:space="preserve"> </w:t>
      </w:r>
      <w:r w:rsidR="003A4D8F">
        <w:rPr>
          <w:rFonts w:hint="eastAsia"/>
          <w:sz w:val="24"/>
          <w:szCs w:val="24"/>
        </w:rPr>
        <w:t xml:space="preserve"> </w:t>
      </w:r>
      <w:r w:rsidRPr="003A4D8F">
        <w:rPr>
          <w:rFonts w:hint="eastAsia"/>
          <w:sz w:val="24"/>
          <w:szCs w:val="24"/>
        </w:rPr>
        <w:t xml:space="preserve"> ) 10</w:t>
      </w:r>
      <w:r w:rsidRPr="003A4D8F">
        <w:rPr>
          <w:rFonts w:hint="eastAsia"/>
          <w:sz w:val="24"/>
          <w:szCs w:val="24"/>
        </w:rPr>
        <w:t>、一国实行国有化或征用外国企业而给其他国家和国民带来损害的，构成国际不法行为，也引起国际法律责任。</w:t>
      </w:r>
    </w:p>
    <w:p w:rsidR="002E63FD" w:rsidRPr="003A4D8F" w:rsidRDefault="002E63FD" w:rsidP="003A4D8F">
      <w:pPr>
        <w:spacing w:line="360" w:lineRule="auto"/>
        <w:rPr>
          <w:sz w:val="24"/>
          <w:szCs w:val="24"/>
        </w:rPr>
      </w:pPr>
    </w:p>
    <w:p w:rsidR="002E63FD" w:rsidRPr="003A4D8F" w:rsidRDefault="002E63FD" w:rsidP="003A4D8F">
      <w:pPr>
        <w:spacing w:line="360" w:lineRule="auto"/>
        <w:rPr>
          <w:sz w:val="24"/>
          <w:szCs w:val="24"/>
        </w:rPr>
      </w:pPr>
    </w:p>
    <w:p w:rsidR="003A4D8F" w:rsidRDefault="002E63FD" w:rsidP="003A4D8F">
      <w:pPr>
        <w:spacing w:line="360" w:lineRule="auto"/>
        <w:rPr>
          <w:rFonts w:ascii="宋体" w:hAnsi="宋体"/>
          <w:b/>
          <w:bCs/>
          <w:sz w:val="24"/>
          <w:szCs w:val="24"/>
        </w:rPr>
      </w:pPr>
      <w:r w:rsidRPr="003A4D8F">
        <w:rPr>
          <w:rFonts w:ascii="宋体" w:hAnsi="宋体" w:hint="eastAsia"/>
          <w:b/>
          <w:bCs/>
          <w:sz w:val="24"/>
          <w:szCs w:val="24"/>
        </w:rPr>
        <w:t>二、论述题（20分）</w:t>
      </w:r>
    </w:p>
    <w:p w:rsidR="004A409E" w:rsidRPr="003A4D8F" w:rsidRDefault="003A4D8F" w:rsidP="003A4D8F">
      <w:pPr>
        <w:spacing w:line="360" w:lineRule="auto"/>
        <w:rPr>
          <w:rFonts w:ascii="宋体" w:hAnsi="宋体"/>
          <w:b/>
          <w:bCs/>
          <w:sz w:val="24"/>
          <w:szCs w:val="24"/>
        </w:rPr>
      </w:pPr>
      <w:r>
        <w:rPr>
          <w:rFonts w:ascii="宋体" w:hAnsi="宋体" w:hint="eastAsia"/>
          <w:b/>
          <w:bCs/>
          <w:sz w:val="24"/>
          <w:szCs w:val="24"/>
        </w:rPr>
        <w:t xml:space="preserve">    </w:t>
      </w:r>
      <w:r w:rsidR="004A409E" w:rsidRPr="003A4D8F">
        <w:rPr>
          <w:rFonts w:ascii="宋体" w:hAnsi="宋体" w:hint="eastAsia"/>
          <w:bCs/>
          <w:sz w:val="24"/>
          <w:szCs w:val="24"/>
        </w:rPr>
        <w:t>请结合</w:t>
      </w:r>
      <w:r w:rsidR="004A409E" w:rsidRPr="003A4D8F">
        <w:rPr>
          <w:rFonts w:ascii="宋体" w:hAnsi="宋体"/>
          <w:bCs/>
          <w:sz w:val="24"/>
          <w:szCs w:val="24"/>
        </w:rPr>
        <w:t>《</w:t>
      </w:r>
      <w:r w:rsidR="004A409E" w:rsidRPr="003A4D8F">
        <w:rPr>
          <w:rFonts w:ascii="宋体" w:hAnsi="宋体" w:hint="eastAsia"/>
          <w:bCs/>
          <w:sz w:val="24"/>
          <w:szCs w:val="24"/>
        </w:rPr>
        <w:t>国际法院</w:t>
      </w:r>
      <w:r w:rsidR="004A409E" w:rsidRPr="003A4D8F">
        <w:rPr>
          <w:rFonts w:ascii="宋体" w:hAnsi="宋体"/>
          <w:bCs/>
          <w:sz w:val="24"/>
          <w:szCs w:val="24"/>
        </w:rPr>
        <w:t>规约》</w:t>
      </w:r>
      <w:r w:rsidR="004A409E" w:rsidRPr="003A4D8F">
        <w:rPr>
          <w:rFonts w:ascii="宋体" w:hAnsi="宋体" w:hint="eastAsia"/>
          <w:bCs/>
          <w:sz w:val="24"/>
          <w:szCs w:val="24"/>
        </w:rPr>
        <w:t>第38条</w:t>
      </w:r>
      <w:r w:rsidR="004A409E" w:rsidRPr="003A4D8F">
        <w:rPr>
          <w:rFonts w:ascii="宋体" w:hAnsi="宋体"/>
          <w:bCs/>
          <w:sz w:val="24"/>
          <w:szCs w:val="24"/>
        </w:rPr>
        <w:t>，</w:t>
      </w:r>
      <w:r w:rsidR="004A409E" w:rsidRPr="003A4D8F">
        <w:rPr>
          <w:rFonts w:ascii="宋体" w:hAnsi="宋体" w:hint="eastAsia"/>
          <w:bCs/>
          <w:sz w:val="24"/>
          <w:szCs w:val="24"/>
        </w:rPr>
        <w:t>论述国际公法</w:t>
      </w:r>
      <w:r w:rsidR="004A409E" w:rsidRPr="003A4D8F">
        <w:rPr>
          <w:rFonts w:ascii="宋体" w:hAnsi="宋体"/>
          <w:bCs/>
          <w:sz w:val="24"/>
          <w:szCs w:val="24"/>
        </w:rPr>
        <w:t>的法律渊源</w:t>
      </w:r>
      <w:r w:rsidR="004A409E" w:rsidRPr="003A4D8F">
        <w:rPr>
          <w:rFonts w:ascii="宋体" w:hAnsi="宋体" w:hint="eastAsia"/>
          <w:bCs/>
          <w:sz w:val="24"/>
          <w:szCs w:val="24"/>
        </w:rPr>
        <w:t>。</w:t>
      </w:r>
    </w:p>
    <w:p w:rsidR="002E63FD" w:rsidRPr="003A4D8F" w:rsidRDefault="002E63FD" w:rsidP="003A4D8F">
      <w:pPr>
        <w:spacing w:line="360" w:lineRule="auto"/>
        <w:rPr>
          <w:rFonts w:ascii="宋体" w:hAnsi="宋体"/>
          <w:sz w:val="24"/>
          <w:szCs w:val="24"/>
        </w:rPr>
      </w:pPr>
    </w:p>
    <w:p w:rsidR="002E63FD" w:rsidRPr="003A4D8F" w:rsidRDefault="002E63FD" w:rsidP="003A4D8F">
      <w:pPr>
        <w:spacing w:line="360" w:lineRule="auto"/>
        <w:rPr>
          <w:b/>
          <w:sz w:val="24"/>
          <w:szCs w:val="24"/>
        </w:rPr>
      </w:pPr>
      <w:r w:rsidRPr="003A4D8F">
        <w:rPr>
          <w:rFonts w:hint="eastAsia"/>
          <w:b/>
          <w:sz w:val="24"/>
          <w:szCs w:val="24"/>
        </w:rPr>
        <w:t>三、案例解答（</w:t>
      </w:r>
      <w:r w:rsidRPr="003A4D8F">
        <w:rPr>
          <w:b/>
          <w:sz w:val="24"/>
          <w:szCs w:val="24"/>
        </w:rPr>
        <w:t>20</w:t>
      </w:r>
      <w:r w:rsidRPr="003A4D8F">
        <w:rPr>
          <w:rFonts w:hint="eastAsia"/>
          <w:b/>
          <w:sz w:val="24"/>
          <w:szCs w:val="24"/>
        </w:rPr>
        <w:t>分）</w:t>
      </w:r>
    </w:p>
    <w:p w:rsidR="002E63FD" w:rsidRPr="003A4D8F" w:rsidRDefault="002E63FD" w:rsidP="003A4D8F">
      <w:pPr>
        <w:pStyle w:val="p17"/>
        <w:spacing w:line="360" w:lineRule="auto"/>
        <w:ind w:firstLine="525"/>
      </w:pPr>
      <w:r w:rsidRPr="003A4D8F">
        <w:rPr>
          <w:rFonts w:hint="eastAsia"/>
        </w:rPr>
        <w:lastRenderedPageBreak/>
        <w:t>案情：某国的一个航海航空爱好者组织计划进行一次小型飞机“蓝天号”和赛艇“碧海号”的海上联合表演，计划涉及我国的领海及其上空。</w:t>
      </w:r>
    </w:p>
    <w:p w:rsidR="002E63FD" w:rsidRPr="003A4D8F" w:rsidRDefault="002E63FD" w:rsidP="003A4D8F">
      <w:pPr>
        <w:pStyle w:val="p0"/>
        <w:spacing w:line="360" w:lineRule="auto"/>
        <w:rPr>
          <w:rFonts w:ascii="宋体" w:hAnsi="宋体"/>
          <w:sz w:val="24"/>
          <w:szCs w:val="24"/>
        </w:rPr>
      </w:pPr>
      <w:r w:rsidRPr="003A4D8F">
        <w:rPr>
          <w:rFonts w:ascii="宋体" w:hAnsi="宋体" w:hint="eastAsia"/>
          <w:sz w:val="24"/>
          <w:szCs w:val="24"/>
        </w:rPr>
        <w:t>问题：以下活动是否须经我国政府的许可？分别说明理由。</w:t>
      </w:r>
    </w:p>
    <w:p w:rsidR="002E63FD" w:rsidRPr="003A4D8F" w:rsidRDefault="002E63FD" w:rsidP="003A4D8F">
      <w:pPr>
        <w:pStyle w:val="p0"/>
        <w:spacing w:line="360" w:lineRule="auto"/>
        <w:rPr>
          <w:rFonts w:ascii="宋体" w:hAnsi="宋体"/>
          <w:sz w:val="24"/>
          <w:szCs w:val="24"/>
        </w:rPr>
      </w:pPr>
      <w:r w:rsidRPr="003A4D8F">
        <w:rPr>
          <w:rFonts w:ascii="宋体" w:hAnsi="宋体" w:hint="eastAsia"/>
          <w:sz w:val="24"/>
          <w:szCs w:val="24"/>
        </w:rPr>
        <w:t>A、“蓝天号”飞行表演如在我国领海上空进行；</w:t>
      </w:r>
    </w:p>
    <w:p w:rsidR="002E63FD" w:rsidRPr="003A4D8F" w:rsidRDefault="002E63FD" w:rsidP="003A4D8F">
      <w:pPr>
        <w:pStyle w:val="p0"/>
        <w:spacing w:line="360" w:lineRule="auto"/>
        <w:rPr>
          <w:rFonts w:ascii="宋体" w:hAnsi="宋体"/>
          <w:sz w:val="24"/>
          <w:szCs w:val="24"/>
        </w:rPr>
      </w:pPr>
      <w:r w:rsidRPr="003A4D8F">
        <w:rPr>
          <w:rFonts w:ascii="宋体" w:hAnsi="宋体" w:hint="eastAsia"/>
          <w:sz w:val="24"/>
          <w:szCs w:val="24"/>
        </w:rPr>
        <w:t>B、“碧海号” 赛艇表演如在我国领海内进行；</w:t>
      </w:r>
    </w:p>
    <w:p w:rsidR="002E63FD" w:rsidRPr="003A4D8F" w:rsidRDefault="002E63FD" w:rsidP="003A4D8F">
      <w:pPr>
        <w:pStyle w:val="p0"/>
        <w:spacing w:line="360" w:lineRule="auto"/>
        <w:rPr>
          <w:rFonts w:ascii="宋体" w:hAnsi="宋体"/>
          <w:sz w:val="24"/>
          <w:szCs w:val="24"/>
        </w:rPr>
      </w:pPr>
      <w:r w:rsidRPr="003A4D8F">
        <w:rPr>
          <w:rFonts w:ascii="宋体" w:hAnsi="宋体" w:hint="eastAsia"/>
          <w:sz w:val="24"/>
          <w:szCs w:val="24"/>
        </w:rPr>
        <w:t>C、“蓝天号”在前往表演空域途中，如仅以通过为目的而飞越我国领海上空；</w:t>
      </w:r>
    </w:p>
    <w:p w:rsidR="002E63FD" w:rsidRPr="003A4D8F" w:rsidRDefault="002E63FD" w:rsidP="003A4D8F">
      <w:pPr>
        <w:spacing w:line="360" w:lineRule="auto"/>
        <w:rPr>
          <w:sz w:val="24"/>
          <w:szCs w:val="24"/>
        </w:rPr>
      </w:pPr>
      <w:r w:rsidRPr="003A4D8F">
        <w:rPr>
          <w:rFonts w:ascii="宋体" w:hAnsi="宋体" w:hint="eastAsia"/>
          <w:sz w:val="24"/>
          <w:szCs w:val="24"/>
        </w:rPr>
        <w:t>D、“碧海号”在前往表演海域途中，如仅以通过为目的而穿越我国领海。</w:t>
      </w:r>
    </w:p>
    <w:p w:rsidR="006E5A59" w:rsidRPr="003A4D8F" w:rsidRDefault="006E5A59" w:rsidP="003A4D8F">
      <w:pPr>
        <w:spacing w:line="360" w:lineRule="auto"/>
        <w:rPr>
          <w:sz w:val="24"/>
          <w:szCs w:val="24"/>
        </w:rPr>
      </w:pPr>
    </w:p>
    <w:sectPr w:rsidR="006E5A59" w:rsidRPr="003A4D8F" w:rsidSect="00B75D4B">
      <w:headerReference w:type="default" r:id="rId7"/>
      <w:pgSz w:w="11906" w:h="16838"/>
      <w:pgMar w:top="1531" w:right="1797" w:bottom="1531"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EAD" w:rsidRDefault="00203EAD" w:rsidP="002E63FD">
      <w:r>
        <w:separator/>
      </w:r>
    </w:p>
  </w:endnote>
  <w:endnote w:type="continuationSeparator" w:id="0">
    <w:p w:rsidR="00203EAD" w:rsidRDefault="00203EAD" w:rsidP="002E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EAD" w:rsidRDefault="00203EAD" w:rsidP="002E63FD">
      <w:r>
        <w:separator/>
      </w:r>
    </w:p>
  </w:footnote>
  <w:footnote w:type="continuationSeparator" w:id="0">
    <w:p w:rsidR="00203EAD" w:rsidRDefault="00203EAD" w:rsidP="002E6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Pr="00A60983" w:rsidRDefault="00203EAD" w:rsidP="00A6098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C2FA6"/>
    <w:multiLevelType w:val="hybridMultilevel"/>
    <w:tmpl w:val="0584115C"/>
    <w:lvl w:ilvl="0" w:tplc="5B68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C701B0"/>
    <w:multiLevelType w:val="hybridMultilevel"/>
    <w:tmpl w:val="EB0A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8D68C2"/>
    <w:multiLevelType w:val="hybridMultilevel"/>
    <w:tmpl w:val="E4BA3BC4"/>
    <w:lvl w:ilvl="0" w:tplc="22CAEC6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0AF7"/>
    <w:rsid w:val="00061FF2"/>
    <w:rsid w:val="000A4054"/>
    <w:rsid w:val="00203EAD"/>
    <w:rsid w:val="002E63FD"/>
    <w:rsid w:val="00357D84"/>
    <w:rsid w:val="003A4D8F"/>
    <w:rsid w:val="00465B3B"/>
    <w:rsid w:val="004A409E"/>
    <w:rsid w:val="006E5A59"/>
    <w:rsid w:val="00953B74"/>
    <w:rsid w:val="00992E0D"/>
    <w:rsid w:val="00A60983"/>
    <w:rsid w:val="00A85C4C"/>
    <w:rsid w:val="00B1019A"/>
    <w:rsid w:val="00E50AF7"/>
    <w:rsid w:val="00EB54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A633C5-5A75-47FD-881A-DA53D8E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3F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E6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3FD"/>
    <w:rPr>
      <w:sz w:val="18"/>
      <w:szCs w:val="18"/>
    </w:rPr>
  </w:style>
  <w:style w:type="paragraph" w:styleId="a4">
    <w:name w:val="footer"/>
    <w:basedOn w:val="a"/>
    <w:link w:val="Char0"/>
    <w:unhideWhenUsed/>
    <w:rsid w:val="002E63FD"/>
    <w:pPr>
      <w:tabs>
        <w:tab w:val="center" w:pos="4153"/>
        <w:tab w:val="right" w:pos="8306"/>
      </w:tabs>
      <w:snapToGrid w:val="0"/>
      <w:jc w:val="left"/>
    </w:pPr>
    <w:rPr>
      <w:sz w:val="18"/>
      <w:szCs w:val="18"/>
    </w:rPr>
  </w:style>
  <w:style w:type="character" w:customStyle="1" w:styleId="Char0">
    <w:name w:val="页脚 Char"/>
    <w:basedOn w:val="a0"/>
    <w:link w:val="a4"/>
    <w:uiPriority w:val="99"/>
    <w:rsid w:val="002E63FD"/>
    <w:rPr>
      <w:sz w:val="18"/>
      <w:szCs w:val="18"/>
    </w:rPr>
  </w:style>
  <w:style w:type="paragraph" w:styleId="a5">
    <w:name w:val="List Paragraph"/>
    <w:basedOn w:val="a"/>
    <w:uiPriority w:val="34"/>
    <w:qFormat/>
    <w:rsid w:val="002E63FD"/>
    <w:pPr>
      <w:ind w:firstLineChars="200" w:firstLine="420"/>
    </w:pPr>
  </w:style>
  <w:style w:type="paragraph" w:customStyle="1" w:styleId="p0">
    <w:name w:val="p0"/>
    <w:basedOn w:val="a"/>
    <w:rsid w:val="002E63FD"/>
    <w:pPr>
      <w:widowControl/>
    </w:pPr>
    <w:rPr>
      <w:kern w:val="0"/>
      <w:szCs w:val="21"/>
    </w:rPr>
  </w:style>
  <w:style w:type="paragraph" w:customStyle="1" w:styleId="p17">
    <w:name w:val="p17"/>
    <w:basedOn w:val="a"/>
    <w:rsid w:val="002E63FD"/>
    <w:pPr>
      <w:widowControl/>
      <w:spacing w:line="480" w:lineRule="atLeas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8</cp:revision>
  <dcterms:created xsi:type="dcterms:W3CDTF">2016-10-17T10:34:00Z</dcterms:created>
  <dcterms:modified xsi:type="dcterms:W3CDTF">2017-04-10T07:03:00Z</dcterms:modified>
</cp:coreProperties>
</file>