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0B" w:rsidRDefault="00CA6E0B" w:rsidP="00CA6E0B">
      <w:pPr>
        <w:ind w:right="26"/>
        <w:jc w:val="center"/>
        <w:rPr>
          <w:rFonts w:ascii="宋体" w:hAnsi="宋体" w:hint="eastAsia"/>
          <w:b/>
          <w:bCs/>
          <w:sz w:val="30"/>
        </w:rPr>
      </w:pPr>
      <w:r>
        <w:rPr>
          <w:rFonts w:ascii="宋体" w:hAnsi="宋体" w:hint="eastAsia"/>
          <w:b/>
          <w:bCs/>
          <w:sz w:val="32"/>
        </w:rPr>
        <w:t>《行政法与行政诉讼法》</w:t>
      </w:r>
      <w:r w:rsidR="00EE26E1">
        <w:rPr>
          <w:rFonts w:cs="宋体" w:hint="eastAsia"/>
          <w:b/>
          <w:bCs/>
          <w:sz w:val="24"/>
        </w:rPr>
        <w:t>模拟</w:t>
      </w:r>
      <w:r w:rsidR="00EE26E1">
        <w:rPr>
          <w:rFonts w:cs="宋体"/>
          <w:b/>
          <w:bCs/>
          <w:sz w:val="24"/>
        </w:rPr>
        <w:t>试卷</w:t>
      </w:r>
      <w:r>
        <w:rPr>
          <w:rFonts w:ascii="宋体" w:hAnsi="宋体" w:hint="eastAsia"/>
          <w:b/>
          <w:bCs/>
          <w:sz w:val="30"/>
        </w:rPr>
        <w:t>（A</w:t>
      </w:r>
      <w:r>
        <w:rPr>
          <w:rFonts w:ascii="宋体" w:hAnsi="宋体"/>
          <w:b/>
          <w:bCs/>
          <w:sz w:val="30"/>
        </w:rPr>
        <w:t>卷）</w:t>
      </w:r>
      <w:r w:rsidR="00EE26E1">
        <w:rPr>
          <w:rFonts w:ascii="宋体" w:hAnsi="宋体" w:hint="eastAsia"/>
          <w:b/>
          <w:bCs/>
          <w:sz w:val="30"/>
        </w:rPr>
        <w:t>参考</w:t>
      </w:r>
      <w:r w:rsidR="00EE26E1">
        <w:rPr>
          <w:rFonts w:ascii="宋体" w:hAnsi="宋体"/>
          <w:b/>
          <w:bCs/>
          <w:sz w:val="30"/>
        </w:rPr>
        <w:t>答案</w:t>
      </w:r>
    </w:p>
    <w:p w:rsidR="00CA6E0B" w:rsidRDefault="00CA6E0B" w:rsidP="00CA6E0B">
      <w:pPr>
        <w:spacing w:beforeLines="100" w:before="312" w:afterLines="50" w:after="156"/>
        <w:rPr>
          <w:rFonts w:ascii="宋体" w:hAnsi="宋体"/>
          <w:b/>
          <w:bCs/>
          <w:sz w:val="24"/>
          <w:u w:val="single"/>
        </w:rPr>
      </w:pPr>
      <w:r w:rsidRPr="003F7D55">
        <w:rPr>
          <w:rFonts w:ascii="宋体" w:hAnsi="宋体" w:hint="eastAsia"/>
          <w:color w:val="FF0000"/>
          <w:szCs w:val="21"/>
        </w:rPr>
        <w:t>没有标准答案，评分要点在于：优秀者不仅能阐述论题要求的内容，而且还能结合实例来谈出自已的观点和认识。基本要求：条理清楚，论据充分，论点明晰，理论联系实际。</w:t>
      </w:r>
    </w:p>
    <w:p w:rsidR="00CA6E0B" w:rsidRPr="003F7D55" w:rsidRDefault="00CA6E0B" w:rsidP="00CA6E0B">
      <w:pPr>
        <w:rPr>
          <w:rFonts w:ascii="宋体" w:hAnsi="宋体"/>
          <w:color w:val="FF0000"/>
          <w:szCs w:val="21"/>
        </w:rPr>
      </w:pPr>
      <w:r>
        <w:rPr>
          <w:rFonts w:hint="eastAsia"/>
          <w:sz w:val="28"/>
          <w:szCs w:val="28"/>
        </w:rPr>
        <w:t>1</w:t>
      </w:r>
      <w:r>
        <w:rPr>
          <w:rFonts w:hint="eastAsia"/>
          <w:sz w:val="28"/>
          <w:szCs w:val="28"/>
        </w:rPr>
        <w:t>、论行政指导</w:t>
      </w:r>
    </w:p>
    <w:p w:rsidR="00CA6E0B" w:rsidRPr="00887FA5" w:rsidRDefault="00CA6E0B" w:rsidP="00CA6E0B">
      <w:pPr>
        <w:ind w:firstLineChars="200" w:firstLine="480"/>
        <w:rPr>
          <w:sz w:val="24"/>
        </w:rPr>
      </w:pPr>
    </w:p>
    <w:p w:rsidR="00CA6E0B" w:rsidRPr="00887FA5" w:rsidRDefault="00CA6E0B" w:rsidP="00CA6E0B">
      <w:pPr>
        <w:ind w:leftChars="114" w:left="239"/>
        <w:rPr>
          <w:color w:val="FF0000"/>
          <w:sz w:val="24"/>
        </w:rPr>
      </w:pPr>
      <w:r w:rsidRPr="00887FA5">
        <w:rPr>
          <w:rFonts w:ascii="Arial" w:hAnsi="Arial" w:cs="Arial" w:hint="eastAsia"/>
          <w:color w:val="FF0000"/>
          <w:sz w:val="24"/>
        </w:rPr>
        <w:t>概念：</w:t>
      </w:r>
      <w:r w:rsidRPr="00887FA5">
        <w:rPr>
          <w:rFonts w:ascii="Arial" w:hAnsi="Arial" w:cs="Arial"/>
          <w:color w:val="FF0000"/>
          <w:sz w:val="24"/>
        </w:rPr>
        <w:t>一般认为，所谓行政指导，是指国家行政机关在其所管辖的事务范围内，对于特定的人、企业、社会团体等，运用非强制性手段，获得相对人的同意或协助，指导相对人采取或不采取某种行为，以实现一定的行政目的的行为。</w:t>
      </w:r>
      <w:r w:rsidRPr="00887FA5">
        <w:rPr>
          <w:rFonts w:ascii="Arial" w:hAnsi="Arial" w:cs="Arial" w:hint="eastAsia"/>
          <w:color w:val="FF0000"/>
          <w:sz w:val="24"/>
        </w:rPr>
        <w:t>也</w:t>
      </w:r>
      <w:r w:rsidRPr="00887FA5">
        <w:rPr>
          <w:rFonts w:ascii="Arial" w:hAnsi="Arial" w:cs="Arial"/>
          <w:color w:val="FF0000"/>
          <w:sz w:val="24"/>
        </w:rPr>
        <w:t>是指行政主</w:t>
      </w:r>
      <w:r w:rsidRPr="00887FA5">
        <w:rPr>
          <w:rFonts w:ascii="Arial" w:hAnsi="Arial" w:cs="Arial" w:hint="eastAsia"/>
          <w:color w:val="FF0000"/>
          <w:sz w:val="24"/>
        </w:rPr>
        <w:t>体</w:t>
      </w:r>
      <w:r w:rsidRPr="00887FA5">
        <w:rPr>
          <w:rFonts w:ascii="Arial" w:hAnsi="Arial" w:cs="Arial"/>
          <w:color w:val="FF0000"/>
          <w:sz w:val="24"/>
        </w:rPr>
        <w:t>为谋求当事人作出或不作出一定行为以实现一定行政目的而在其职权范围内事实的知道</w:t>
      </w:r>
      <w:r w:rsidRPr="00887FA5">
        <w:rPr>
          <w:rFonts w:ascii="Arial" w:hAnsi="Arial" w:cs="Arial"/>
          <w:color w:val="FF0000"/>
          <w:sz w:val="24"/>
        </w:rPr>
        <w:t>,</w:t>
      </w:r>
      <w:r w:rsidRPr="00887FA5">
        <w:rPr>
          <w:rFonts w:ascii="Arial" w:hAnsi="Arial" w:cs="Arial"/>
          <w:color w:val="FF0000"/>
          <w:sz w:val="24"/>
        </w:rPr>
        <w:t>劝告</w:t>
      </w:r>
      <w:r w:rsidRPr="00887FA5">
        <w:rPr>
          <w:rFonts w:ascii="Arial" w:hAnsi="Arial" w:cs="Arial"/>
          <w:color w:val="FF0000"/>
          <w:sz w:val="24"/>
        </w:rPr>
        <w:t>,</w:t>
      </w:r>
      <w:r w:rsidRPr="00887FA5">
        <w:rPr>
          <w:rFonts w:ascii="Arial" w:hAnsi="Arial" w:cs="Arial"/>
          <w:color w:val="FF0000"/>
          <w:sz w:val="24"/>
        </w:rPr>
        <w:t>建议等行政行为</w:t>
      </w:r>
      <w:r w:rsidRPr="00887FA5">
        <w:rPr>
          <w:rFonts w:ascii="Arial" w:hAnsi="Arial" w:cs="Arial"/>
          <w:color w:val="FF0000"/>
          <w:sz w:val="24"/>
        </w:rPr>
        <w:t>.</w:t>
      </w:r>
    </w:p>
    <w:p w:rsidR="00CA6E0B" w:rsidRPr="00887FA5" w:rsidRDefault="00CA6E0B" w:rsidP="00CA6E0B">
      <w:pPr>
        <w:rPr>
          <w:color w:val="FF0000"/>
          <w:sz w:val="24"/>
        </w:rPr>
      </w:pPr>
      <w:r w:rsidRPr="00887FA5">
        <w:rPr>
          <w:rFonts w:hint="eastAsia"/>
          <w:color w:val="FF0000"/>
          <w:sz w:val="24"/>
        </w:rPr>
        <w:t xml:space="preserve">  </w:t>
      </w:r>
      <w:r w:rsidRPr="00887FA5">
        <w:rPr>
          <w:rFonts w:hint="eastAsia"/>
          <w:color w:val="FF0000"/>
          <w:sz w:val="24"/>
        </w:rPr>
        <w:t>意义</w:t>
      </w:r>
    </w:p>
    <w:p w:rsidR="00CA6E0B" w:rsidRPr="00887FA5" w:rsidRDefault="00CA6E0B" w:rsidP="00CA6E0B">
      <w:pPr>
        <w:rPr>
          <w:color w:val="FF0000"/>
          <w:sz w:val="24"/>
        </w:rPr>
      </w:pPr>
      <w:r>
        <w:rPr>
          <w:rFonts w:hint="eastAsia"/>
          <w:color w:val="FF0000"/>
          <w:sz w:val="24"/>
        </w:rPr>
        <w:t xml:space="preserve">  </w:t>
      </w:r>
      <w:r w:rsidRPr="00887FA5">
        <w:rPr>
          <w:rFonts w:hint="eastAsia"/>
          <w:color w:val="FF0000"/>
          <w:sz w:val="24"/>
        </w:rPr>
        <w:t>形式</w:t>
      </w:r>
    </w:p>
    <w:p w:rsidR="00CA6E0B" w:rsidRPr="00887FA5" w:rsidRDefault="00CA6E0B" w:rsidP="00CA6E0B">
      <w:pPr>
        <w:rPr>
          <w:color w:val="FF0000"/>
          <w:sz w:val="24"/>
        </w:rPr>
      </w:pPr>
      <w:r>
        <w:rPr>
          <w:rFonts w:hint="eastAsia"/>
          <w:color w:val="FF0000"/>
          <w:sz w:val="24"/>
        </w:rPr>
        <w:t xml:space="preserve">  </w:t>
      </w:r>
      <w:r w:rsidRPr="00887FA5">
        <w:rPr>
          <w:rFonts w:hint="eastAsia"/>
          <w:color w:val="FF0000"/>
          <w:sz w:val="24"/>
        </w:rPr>
        <w:t>作用</w:t>
      </w:r>
    </w:p>
    <w:p w:rsidR="00CA6E0B" w:rsidRDefault="00CA6E0B" w:rsidP="00CA6E0B">
      <w:pPr>
        <w:ind w:leftChars="114" w:left="239" w:firstLineChars="100" w:firstLine="280"/>
        <w:rPr>
          <w:sz w:val="28"/>
          <w:szCs w:val="28"/>
        </w:rPr>
      </w:pPr>
    </w:p>
    <w:p w:rsidR="00CA6E0B" w:rsidRDefault="00CA6E0B" w:rsidP="00CA6E0B">
      <w:pPr>
        <w:rPr>
          <w:sz w:val="28"/>
          <w:szCs w:val="28"/>
        </w:rPr>
      </w:pPr>
      <w:r>
        <w:rPr>
          <w:rFonts w:hint="eastAsia"/>
          <w:sz w:val="28"/>
          <w:szCs w:val="28"/>
        </w:rPr>
        <w:t>2</w:t>
      </w:r>
      <w:r>
        <w:rPr>
          <w:rFonts w:hint="eastAsia"/>
          <w:sz w:val="28"/>
          <w:szCs w:val="28"/>
        </w:rPr>
        <w:t>、试论行政赔偿与行政补偿的区别</w:t>
      </w:r>
    </w:p>
    <w:p w:rsidR="00CA6E0B" w:rsidRPr="00887FA5" w:rsidRDefault="00CA6E0B" w:rsidP="00CA6E0B">
      <w:pPr>
        <w:widowControl/>
        <w:jc w:val="left"/>
        <w:rPr>
          <w:rFonts w:ascii="Tahoma" w:hAnsi="Tahoma" w:cs="Tahoma"/>
          <w:color w:val="FF0000"/>
          <w:kern w:val="0"/>
          <w:sz w:val="20"/>
          <w:szCs w:val="20"/>
        </w:rPr>
      </w:pPr>
      <w:r w:rsidRPr="00887FA5">
        <w:rPr>
          <w:rFonts w:ascii="Tahoma" w:hAnsi="Tahoma" w:cs="Tahoma"/>
          <w:color w:val="000000"/>
          <w:kern w:val="0"/>
          <w:sz w:val="20"/>
          <w:szCs w:val="20"/>
        </w:rPr>
        <w:br/>
      </w:r>
      <w:r w:rsidRPr="00887FA5">
        <w:rPr>
          <w:rFonts w:ascii="Tahoma" w:hAnsi="Tahoma" w:cs="Tahoma"/>
          <w:color w:val="FF0000"/>
          <w:kern w:val="0"/>
          <w:sz w:val="20"/>
          <w:szCs w:val="20"/>
        </w:rPr>
        <w:t>（</w:t>
      </w:r>
      <w:r w:rsidRPr="00887FA5">
        <w:rPr>
          <w:rFonts w:ascii="Tahoma" w:hAnsi="Tahoma" w:cs="Tahoma"/>
          <w:color w:val="FF0000"/>
          <w:kern w:val="0"/>
          <w:sz w:val="20"/>
          <w:szCs w:val="20"/>
        </w:rPr>
        <w:t>1</w:t>
      </w:r>
      <w:r w:rsidRPr="00887FA5">
        <w:rPr>
          <w:rFonts w:ascii="Tahoma" w:hAnsi="Tahoma" w:cs="Tahoma"/>
          <w:color w:val="FF0000"/>
          <w:kern w:val="0"/>
          <w:sz w:val="20"/>
          <w:szCs w:val="20"/>
        </w:rPr>
        <w:t>）原因不同：行政赔偿所针对的损害是行政机关及其工作人员的违法行为，而行政补偿针对的是合法行为。</w:t>
      </w:r>
      <w:r w:rsidRPr="00887FA5">
        <w:rPr>
          <w:rFonts w:ascii="Tahoma" w:hAnsi="Tahoma" w:cs="Tahoma"/>
          <w:color w:val="FF0000"/>
          <w:kern w:val="0"/>
          <w:sz w:val="20"/>
          <w:szCs w:val="20"/>
        </w:rPr>
        <w:t xml:space="preserve"> </w:t>
      </w:r>
      <w:r w:rsidRPr="00887FA5">
        <w:rPr>
          <w:rFonts w:ascii="Tahoma" w:hAnsi="Tahoma" w:cs="Tahoma"/>
          <w:color w:val="FF0000"/>
          <w:kern w:val="0"/>
          <w:sz w:val="20"/>
          <w:szCs w:val="20"/>
        </w:rPr>
        <w:br/>
      </w:r>
      <w:r w:rsidRPr="00887FA5">
        <w:rPr>
          <w:rFonts w:ascii="Tahoma" w:hAnsi="Tahoma" w:cs="Tahoma"/>
          <w:color w:val="FF0000"/>
          <w:kern w:val="0"/>
          <w:sz w:val="20"/>
          <w:szCs w:val="20"/>
        </w:rPr>
        <w:t>（</w:t>
      </w:r>
      <w:r w:rsidRPr="00887FA5">
        <w:rPr>
          <w:rFonts w:ascii="Tahoma" w:hAnsi="Tahoma" w:cs="Tahoma"/>
          <w:color w:val="FF0000"/>
          <w:kern w:val="0"/>
          <w:sz w:val="20"/>
          <w:szCs w:val="20"/>
        </w:rPr>
        <w:t>2</w:t>
      </w:r>
      <w:r w:rsidRPr="00887FA5">
        <w:rPr>
          <w:rFonts w:ascii="Tahoma" w:hAnsi="Tahoma" w:cs="Tahoma"/>
          <w:color w:val="FF0000"/>
          <w:kern w:val="0"/>
          <w:sz w:val="20"/>
          <w:szCs w:val="20"/>
        </w:rPr>
        <w:t>）范围不同：行政赔偿的范围小于行政补偿的范围。行政赔偿受国家赔偿法的限制，国家并非对所有的行政侵权行为都承担赔偿责任，例如对国防外交等国家行为，一般认为实行国家豁免，国家对给公民、法人或者其他组织其造成的损害不承担赔偿责任。行政补偿的原因行为除了合法性这一限制之外，没有其他的限制。</w:t>
      </w:r>
      <w:r w:rsidRPr="00887FA5">
        <w:rPr>
          <w:rFonts w:ascii="Tahoma" w:hAnsi="Tahoma" w:cs="Tahoma"/>
          <w:color w:val="FF0000"/>
          <w:kern w:val="0"/>
          <w:sz w:val="20"/>
          <w:szCs w:val="20"/>
        </w:rPr>
        <w:t xml:space="preserve"> </w:t>
      </w:r>
      <w:r w:rsidRPr="00887FA5">
        <w:rPr>
          <w:rFonts w:ascii="Tahoma" w:hAnsi="Tahoma" w:cs="Tahoma"/>
          <w:color w:val="FF0000"/>
          <w:kern w:val="0"/>
          <w:sz w:val="20"/>
          <w:szCs w:val="20"/>
        </w:rPr>
        <w:br/>
      </w:r>
      <w:r w:rsidRPr="00887FA5">
        <w:rPr>
          <w:rFonts w:ascii="Tahoma" w:hAnsi="Tahoma" w:cs="Tahoma"/>
          <w:color w:val="FF0000"/>
          <w:kern w:val="0"/>
          <w:sz w:val="20"/>
          <w:szCs w:val="20"/>
        </w:rPr>
        <w:t>（</w:t>
      </w:r>
      <w:r w:rsidRPr="00887FA5">
        <w:rPr>
          <w:rFonts w:ascii="Tahoma" w:hAnsi="Tahoma" w:cs="Tahoma"/>
          <w:color w:val="FF0000"/>
          <w:kern w:val="0"/>
          <w:sz w:val="20"/>
          <w:szCs w:val="20"/>
        </w:rPr>
        <w:t>3</w:t>
      </w:r>
      <w:r w:rsidRPr="00887FA5">
        <w:rPr>
          <w:rFonts w:ascii="Tahoma" w:hAnsi="Tahoma" w:cs="Tahoma"/>
          <w:color w:val="FF0000"/>
          <w:kern w:val="0"/>
          <w:sz w:val="20"/>
          <w:szCs w:val="20"/>
        </w:rPr>
        <w:t>）程度不同：行政赔偿对公民、法人或者其他组织合法权益的补救程度不如行政补偿充分。国家赔偿法针对的损害限于人身权和财产权的损害，而行政补偿没有这种限制。而且，对国家赔偿法规定范围之内的行政侵权行为所造成的损害，国家也并非全部赔偿，而是限于最低限度的直接损失。国家赔偿法规定</w:t>
      </w:r>
      <w:r w:rsidRPr="00887FA5">
        <w:rPr>
          <w:rFonts w:ascii="Tahoma" w:hAnsi="Tahoma" w:cs="Tahoma"/>
          <w:color w:val="FF0000"/>
          <w:kern w:val="0"/>
          <w:sz w:val="20"/>
          <w:szCs w:val="20"/>
        </w:rPr>
        <w:t>“</w:t>
      </w:r>
      <w:r w:rsidRPr="00887FA5">
        <w:rPr>
          <w:rFonts w:ascii="Tahoma" w:hAnsi="Tahoma" w:cs="Tahoma"/>
          <w:color w:val="FF0000"/>
          <w:kern w:val="0"/>
          <w:sz w:val="20"/>
          <w:szCs w:val="20"/>
        </w:rPr>
        <w:t>计算标准</w:t>
      </w:r>
      <w:r w:rsidRPr="00887FA5">
        <w:rPr>
          <w:rFonts w:ascii="Tahoma" w:hAnsi="Tahoma" w:cs="Tahoma"/>
          <w:color w:val="FF0000"/>
          <w:kern w:val="0"/>
          <w:sz w:val="20"/>
          <w:szCs w:val="20"/>
        </w:rPr>
        <w:t>”</w:t>
      </w:r>
      <w:r w:rsidRPr="00887FA5">
        <w:rPr>
          <w:rFonts w:ascii="Tahoma" w:hAnsi="Tahoma" w:cs="Tahoma"/>
          <w:color w:val="FF0000"/>
          <w:kern w:val="0"/>
          <w:sz w:val="20"/>
          <w:szCs w:val="20"/>
        </w:rPr>
        <w:t>的作用之一为了限制赔偿的数额。行政补偿采取补偿实际损失的原则，行政机关及其工作人员的合法行为给公民、法人或者其他组织的合法权益造成了多大的损害，国家就补偿多少。当然，行政补偿所针对的损害必须是特定的公民、法人或者其他组织所遭受特别的损害，而不是普遍的损害。从损害这一点来看，行政赔偿着眼于赔偿的最高数额，而行政补偿着眼于损害的特定性，没有数额的限制。</w:t>
      </w:r>
      <w:r w:rsidRPr="00887FA5">
        <w:rPr>
          <w:rFonts w:ascii="Tahoma" w:hAnsi="Tahoma" w:cs="Tahoma"/>
          <w:color w:val="FF0000"/>
          <w:kern w:val="0"/>
          <w:sz w:val="20"/>
          <w:szCs w:val="20"/>
        </w:rPr>
        <w:t xml:space="preserve"> </w:t>
      </w:r>
      <w:r w:rsidRPr="00887FA5">
        <w:rPr>
          <w:rFonts w:ascii="Tahoma" w:hAnsi="Tahoma" w:cs="Tahoma"/>
          <w:color w:val="FF0000"/>
          <w:kern w:val="0"/>
          <w:sz w:val="20"/>
          <w:szCs w:val="20"/>
        </w:rPr>
        <w:br/>
      </w:r>
      <w:r w:rsidRPr="00887FA5">
        <w:rPr>
          <w:rFonts w:ascii="Tahoma" w:hAnsi="Tahoma" w:cs="Tahoma"/>
          <w:color w:val="FF0000"/>
          <w:kern w:val="0"/>
          <w:sz w:val="20"/>
          <w:szCs w:val="20"/>
        </w:rPr>
        <w:t>（</w:t>
      </w:r>
      <w:r w:rsidRPr="00887FA5">
        <w:rPr>
          <w:rFonts w:ascii="Tahoma" w:hAnsi="Tahoma" w:cs="Tahoma"/>
          <w:color w:val="FF0000"/>
          <w:kern w:val="0"/>
          <w:sz w:val="20"/>
          <w:szCs w:val="20"/>
        </w:rPr>
        <w:t>4</w:t>
      </w:r>
      <w:r w:rsidRPr="00887FA5">
        <w:rPr>
          <w:rFonts w:ascii="Tahoma" w:hAnsi="Tahoma" w:cs="Tahoma"/>
          <w:color w:val="FF0000"/>
          <w:kern w:val="0"/>
          <w:sz w:val="20"/>
          <w:szCs w:val="20"/>
        </w:rPr>
        <w:t>）程序不同。行政补偿可能是在损害发生之前由行政机关与公民协商解决、也可能是在损害发生之后由行政机关与协商解决。行政赔偿只能发生在侵权行为发生之后，由行政机关与公民协商解决。行政补偿和行政赔偿都可以适用调解，但是，公民因与行政机关对行政补偿不能达成协议而起诉的，适用一般的行政诉讼程序；与行政赔偿义务机关对行政赔偿不能达成协议而起诉的，适用行政侵权赔偿诉讼程序。</w:t>
      </w:r>
      <w:r w:rsidRPr="00887FA5">
        <w:rPr>
          <w:rFonts w:ascii="Tahoma" w:hAnsi="Tahoma" w:cs="Tahoma"/>
          <w:color w:val="FF0000"/>
          <w:kern w:val="0"/>
          <w:sz w:val="20"/>
          <w:szCs w:val="20"/>
        </w:rPr>
        <w:t xml:space="preserve"> </w:t>
      </w:r>
      <w:r w:rsidRPr="00887FA5">
        <w:rPr>
          <w:rFonts w:ascii="Tahoma" w:hAnsi="Tahoma" w:cs="Tahoma"/>
          <w:color w:val="FF0000"/>
          <w:kern w:val="0"/>
          <w:sz w:val="20"/>
          <w:szCs w:val="20"/>
        </w:rPr>
        <w:br/>
      </w:r>
      <w:r w:rsidRPr="00887FA5">
        <w:rPr>
          <w:rFonts w:ascii="Tahoma" w:hAnsi="Tahoma" w:cs="Tahoma"/>
          <w:color w:val="FF0000"/>
          <w:kern w:val="0"/>
          <w:sz w:val="20"/>
          <w:szCs w:val="20"/>
        </w:rPr>
        <w:t>（</w:t>
      </w:r>
      <w:r w:rsidRPr="00887FA5">
        <w:rPr>
          <w:rFonts w:ascii="Tahoma" w:hAnsi="Tahoma" w:cs="Tahoma"/>
          <w:color w:val="FF0000"/>
          <w:kern w:val="0"/>
          <w:sz w:val="20"/>
          <w:szCs w:val="20"/>
        </w:rPr>
        <w:t>5</w:t>
      </w:r>
      <w:r w:rsidRPr="00887FA5">
        <w:rPr>
          <w:rFonts w:ascii="Tahoma" w:hAnsi="Tahoma" w:cs="Tahoma"/>
          <w:color w:val="FF0000"/>
          <w:kern w:val="0"/>
          <w:sz w:val="20"/>
          <w:szCs w:val="20"/>
        </w:rPr>
        <w:t>）性质不同。行政赔偿性质上属于行政法律责任，而行政补偿性质上属于具体行政行为。行政赔偿是国家对行政机关及其工作人员违法行使职权的行为而承担的一种法律责任，具有否定和谴责的含义；而行政补偿是国家对行政机关及其工作人员合法行为所造成的损害而采取的补救措</w:t>
      </w:r>
      <w:r w:rsidRPr="00887FA5">
        <w:rPr>
          <w:rFonts w:ascii="Tahoma" w:hAnsi="Tahoma" w:cs="Tahoma"/>
          <w:color w:val="FF0000"/>
          <w:kern w:val="0"/>
          <w:sz w:val="20"/>
          <w:szCs w:val="20"/>
        </w:rPr>
        <w:lastRenderedPageBreak/>
        <w:t>施，行政机关达成作出的决定属于具体行政行为。</w:t>
      </w:r>
      <w:r w:rsidRPr="00887FA5">
        <w:rPr>
          <w:rFonts w:ascii="Tahoma" w:hAnsi="Tahoma" w:cs="Tahoma"/>
          <w:color w:val="FF0000"/>
          <w:kern w:val="0"/>
          <w:sz w:val="20"/>
          <w:szCs w:val="20"/>
        </w:rPr>
        <w:t xml:space="preserve"> </w:t>
      </w:r>
      <w:r w:rsidRPr="00887FA5">
        <w:rPr>
          <w:rFonts w:ascii="Tahoma" w:hAnsi="Tahoma" w:cs="Tahoma"/>
          <w:color w:val="FF0000"/>
          <w:kern w:val="0"/>
          <w:sz w:val="20"/>
          <w:szCs w:val="20"/>
        </w:rPr>
        <w:br/>
      </w:r>
      <w:r w:rsidRPr="00887FA5">
        <w:rPr>
          <w:rFonts w:ascii="Tahoma" w:hAnsi="Tahoma" w:cs="Tahoma"/>
          <w:color w:val="FF0000"/>
          <w:kern w:val="0"/>
          <w:sz w:val="20"/>
          <w:szCs w:val="20"/>
        </w:rPr>
        <w:t>（</w:t>
      </w:r>
      <w:r w:rsidRPr="00887FA5">
        <w:rPr>
          <w:rFonts w:ascii="Tahoma" w:hAnsi="Tahoma" w:cs="Tahoma"/>
          <w:color w:val="FF0000"/>
          <w:kern w:val="0"/>
          <w:sz w:val="20"/>
          <w:szCs w:val="20"/>
        </w:rPr>
        <w:t>6</w:t>
      </w:r>
      <w:r w:rsidRPr="00887FA5">
        <w:rPr>
          <w:rFonts w:ascii="Tahoma" w:hAnsi="Tahoma" w:cs="Tahoma"/>
          <w:color w:val="FF0000"/>
          <w:kern w:val="0"/>
          <w:sz w:val="20"/>
          <w:szCs w:val="20"/>
        </w:rPr>
        <w:t>）依据不同。行政补偿的法律依据是有关的单行的部门法律法规，而行政赔偿的法律依据是行政诉讼法和国家赔偿法。</w:t>
      </w:r>
    </w:p>
    <w:p w:rsidR="00CA6E0B" w:rsidRPr="00887FA5" w:rsidRDefault="00CA6E0B" w:rsidP="00CA6E0B">
      <w:pPr>
        <w:ind w:leftChars="114" w:left="239" w:firstLineChars="100" w:firstLine="180"/>
        <w:rPr>
          <w:color w:val="FF0000"/>
          <w:sz w:val="28"/>
          <w:szCs w:val="28"/>
        </w:rPr>
      </w:pPr>
      <w:r w:rsidRPr="00887FA5">
        <w:rPr>
          <w:rFonts w:ascii="Tahoma" w:hAnsi="Tahoma" w:cs="Tahoma"/>
          <w:color w:val="FF0000"/>
          <w:kern w:val="0"/>
          <w:sz w:val="18"/>
          <w:szCs w:val="18"/>
        </w:rPr>
        <w:br w:type="textWrapping" w:clear="all"/>
      </w:r>
    </w:p>
    <w:p w:rsidR="00CA6E0B" w:rsidRDefault="00CA6E0B" w:rsidP="00CA6E0B">
      <w:pPr>
        <w:ind w:leftChars="114" w:left="239" w:firstLineChars="100" w:firstLine="280"/>
        <w:rPr>
          <w:sz w:val="28"/>
          <w:szCs w:val="28"/>
        </w:rPr>
      </w:pPr>
    </w:p>
    <w:p w:rsidR="00CA6E0B" w:rsidRDefault="00CA6E0B" w:rsidP="00CA6E0B">
      <w:pPr>
        <w:ind w:leftChars="114" w:left="239" w:firstLineChars="100" w:firstLine="280"/>
        <w:rPr>
          <w:sz w:val="28"/>
          <w:szCs w:val="28"/>
        </w:rPr>
      </w:pPr>
    </w:p>
    <w:p w:rsidR="00CA6E0B" w:rsidRDefault="00CA6E0B" w:rsidP="00CA6E0B">
      <w:pPr>
        <w:ind w:leftChars="114" w:left="239" w:firstLineChars="100" w:firstLine="280"/>
        <w:rPr>
          <w:sz w:val="28"/>
          <w:szCs w:val="28"/>
        </w:rPr>
      </w:pPr>
    </w:p>
    <w:p w:rsidR="00CA6E0B" w:rsidRDefault="00CA6E0B" w:rsidP="00CA6E0B">
      <w:pPr>
        <w:rPr>
          <w:sz w:val="24"/>
        </w:rPr>
      </w:pPr>
    </w:p>
    <w:p w:rsidR="00CA6E0B" w:rsidRDefault="00CA6E0B" w:rsidP="00CA6E0B">
      <w:pPr>
        <w:rPr>
          <w:sz w:val="24"/>
        </w:rPr>
      </w:pPr>
    </w:p>
    <w:p w:rsidR="00CA6E0B" w:rsidRDefault="00CA6E0B" w:rsidP="00CA6E0B">
      <w:pPr>
        <w:rPr>
          <w:sz w:val="24"/>
        </w:rPr>
      </w:pPr>
    </w:p>
    <w:p w:rsidR="00CA6E0B" w:rsidRDefault="00CA6E0B" w:rsidP="00CA6E0B">
      <w:pPr>
        <w:rPr>
          <w:sz w:val="24"/>
        </w:rPr>
      </w:pPr>
    </w:p>
    <w:p w:rsidR="00CA6E0B" w:rsidRDefault="00CA6E0B" w:rsidP="00CA6E0B">
      <w:pPr>
        <w:rPr>
          <w:sz w:val="24"/>
        </w:rPr>
      </w:pPr>
    </w:p>
    <w:p w:rsidR="00CA6E0B" w:rsidRDefault="00CA6E0B" w:rsidP="00CA6E0B">
      <w:pPr>
        <w:rPr>
          <w:sz w:val="24"/>
        </w:rPr>
      </w:pPr>
      <w:bookmarkStart w:id="0" w:name="_GoBack"/>
      <w:bookmarkEnd w:id="0"/>
    </w:p>
    <w:sectPr w:rsidR="00CA6E0B">
      <w:footerReference w:type="default" r:id="rId6"/>
      <w:pgSz w:w="11906" w:h="16838"/>
      <w:pgMar w:top="1531" w:right="1797" w:bottom="1531" w:left="1797" w:header="851" w:footer="119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847" w:rsidRDefault="00E21847">
      <w:r>
        <w:separator/>
      </w:r>
    </w:p>
  </w:endnote>
  <w:endnote w:type="continuationSeparator" w:id="0">
    <w:p w:rsidR="00E21847" w:rsidRDefault="00E2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4A9" w:rsidRDefault="00CA6E0B">
    <w:pPr>
      <w:pStyle w:val="a3"/>
      <w:jc w:val="center"/>
    </w:pPr>
    <w:r>
      <w:rPr>
        <w:rFonts w:hint="eastAsia"/>
      </w:rPr>
      <w:t>第</w:t>
    </w:r>
    <w:r>
      <w:rPr>
        <w:rStyle w:val="a4"/>
      </w:rPr>
      <w:fldChar w:fldCharType="begin"/>
    </w:r>
    <w:r>
      <w:rPr>
        <w:rStyle w:val="a4"/>
      </w:rPr>
      <w:instrText xml:space="preserve"> PAGE </w:instrText>
    </w:r>
    <w:r>
      <w:rPr>
        <w:rStyle w:val="a4"/>
      </w:rPr>
      <w:fldChar w:fldCharType="separate"/>
    </w:r>
    <w:r w:rsidR="00EE26E1">
      <w:rPr>
        <w:rStyle w:val="a4"/>
        <w:noProof/>
      </w:rPr>
      <w:t>2</w:t>
    </w:r>
    <w:r>
      <w:rPr>
        <w:rStyle w:val="a4"/>
      </w:rPr>
      <w:fldChar w:fldCharType="end"/>
    </w:r>
    <w:r>
      <w:rPr>
        <w:rStyle w:val="a4"/>
        <w:rFonts w:hint="eastAsia"/>
      </w:rPr>
      <w:t>页</w:t>
    </w:r>
    <w:r>
      <w:rPr>
        <w:rStyle w:val="a4"/>
        <w:rFonts w:hint="eastAsia"/>
      </w:rPr>
      <w:t xml:space="preserve"> </w:t>
    </w:r>
    <w:r>
      <w:rPr>
        <w:rStyle w:val="a4"/>
        <w:rFonts w:hint="eastAsia"/>
      </w:rPr>
      <w:t>共</w:t>
    </w:r>
    <w:r>
      <w:rPr>
        <w:rStyle w:val="a4"/>
        <w:rFonts w:hint="eastAsia"/>
      </w:rPr>
      <w:t>1</w:t>
    </w:r>
    <w:r>
      <w:rPr>
        <w:rStyle w:val="a4"/>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847" w:rsidRDefault="00E21847">
      <w:r>
        <w:separator/>
      </w:r>
    </w:p>
  </w:footnote>
  <w:footnote w:type="continuationSeparator" w:id="0">
    <w:p w:rsidR="00E21847" w:rsidRDefault="00E21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6E0B"/>
    <w:rsid w:val="00CA6E0B"/>
    <w:rsid w:val="00E21847"/>
    <w:rsid w:val="00EE26E1"/>
    <w:rsid w:val="00FE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948142-34CC-4C22-B9AD-414ACD5B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E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CA6E0B"/>
    <w:pPr>
      <w:tabs>
        <w:tab w:val="center" w:pos="4153"/>
        <w:tab w:val="right" w:pos="8306"/>
      </w:tabs>
      <w:snapToGrid w:val="0"/>
      <w:jc w:val="left"/>
    </w:pPr>
    <w:rPr>
      <w:sz w:val="18"/>
      <w:szCs w:val="18"/>
    </w:rPr>
  </w:style>
  <w:style w:type="character" w:customStyle="1" w:styleId="Char">
    <w:name w:val="页脚 Char"/>
    <w:basedOn w:val="a0"/>
    <w:link w:val="a3"/>
    <w:rsid w:val="00CA6E0B"/>
    <w:rPr>
      <w:rFonts w:ascii="Times New Roman" w:eastAsia="宋体" w:hAnsi="Times New Roman" w:cs="Times New Roman"/>
      <w:sz w:val="18"/>
      <w:szCs w:val="18"/>
    </w:rPr>
  </w:style>
  <w:style w:type="character" w:styleId="a4">
    <w:name w:val="page number"/>
    <w:basedOn w:val="a0"/>
    <w:rsid w:val="00CA6E0B"/>
  </w:style>
  <w:style w:type="paragraph" w:styleId="a5">
    <w:name w:val="header"/>
    <w:basedOn w:val="a"/>
    <w:link w:val="Char0"/>
    <w:uiPriority w:val="99"/>
    <w:unhideWhenUsed/>
    <w:rsid w:val="00EE26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E26E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2</cp:revision>
  <dcterms:created xsi:type="dcterms:W3CDTF">2016-10-19T07:07:00Z</dcterms:created>
  <dcterms:modified xsi:type="dcterms:W3CDTF">2017-04-10T09:04:00Z</dcterms:modified>
</cp:coreProperties>
</file>