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/>
          <w:sz w:val="24"/>
          <w:color w:val="808080"/>
        </w:rPr>
        <w:t>MyTestXPro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НЕЗАРЕГИСТРИРОВАННАЯ ВЕРСИЯ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http://mytest.klyaksa.net</w:t>
      </w:r>
    </w:p>
    <w:p>
      <w:r>
        <w:rPr>
          <w:rFonts w:ascii="Times New Roman" w:hAnsi="Times New Roman"/>
          <w:sz w:val="24"/>
        </w:rPr>
        <w:t/>
      </w:r>
    </w:p>
    <w:p>
      <w:pPr>
        <w:jc w:val="center"/>
      </w:pPr>
      <w:r>
        <w:rPr>
          <w:rFonts w:ascii="Times New Roman" w:hAnsi="Times New Roman"/>
          <w:b/>
          <w:sz w:val="28"/>
          <w:color w:val="0000FF"/>
        </w:rPr>
        <w:t>Отчет по прохождению теста</w:t>
      </w:r>
    </w:p>
    <w:p>
      <w:r>
        <w:rPr>
          <w:rFonts w:ascii="Times New Roman" w:hAnsi="Times New Roman"/>
          <w:sz w:val="24"/>
        </w:rPr>
        <w:t>Файл: ISTQB-FL-1.mtx.</w:t>
      </w:r>
    </w:p>
    <w:p>
      <w:r>
        <w:rPr>
          <w:rFonts w:ascii="Times New Roman" w:hAnsi="Times New Roman"/>
          <w:sz w:val="24"/>
        </w:rPr>
        <w:t>Тест: ISTQB Foundation Level.</w:t>
      </w:r>
    </w:p>
    <w:p>
      <w:r>
        <w:rPr>
          <w:rFonts w:ascii="Times New Roman" w:hAnsi="Times New Roman"/>
          <w:sz w:val="24"/>
        </w:rPr>
        <w:t>Тест закончен...</w:t>
      </w:r>
    </w:p>
    <w:p>
      <w:r>
        <w:rPr>
          <w:rFonts w:ascii="Times New Roman" w:hAnsi="Times New Roman"/>
          <w:sz w:val="24"/>
        </w:rPr>
        <w:t>Тестируемый: Mykhaylo Vovk.</w:t>
      </w:r>
    </w:p>
    <w:p>
      <w:r>
        <w:rPr>
          <w:rFonts w:ascii="Times New Roman" w:hAnsi="Times New Roman"/>
          <w:sz w:val="24"/>
        </w:rPr>
        <w:t>Дата: 10.01.2014.</w:t>
      </w:r>
    </w:p>
    <w:p>
      <w:r>
        <w:rPr>
          <w:rFonts w:ascii="Times New Roman" w:hAnsi="Times New Roman"/>
          <w:sz w:val="24"/>
        </w:rPr>
        <w:t>Время начала: 10:44:30. Время завершения: 11:24:30. Продолжительность: 00:39:58.</w:t>
      </w:r>
    </w:p>
    <w:p>
      <w:r>
        <w:rPr>
          <w:rFonts w:ascii="Times New Roman" w:hAnsi="Times New Roman"/>
          <w:sz w:val="24"/>
        </w:rPr>
        <w:t>Всего заданий в тесте: 40. Выполнено заданий: 40. Из них правильно: 36.</w:t>
      </w:r>
    </w:p>
    <w:p>
      <w:r>
        <w:rPr>
          <w:rFonts w:ascii="Times New Roman" w:hAnsi="Times New Roman"/>
          <w:sz w:val="24"/>
        </w:rPr>
        <w:t>Оценка: Pass.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№5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Which of the following will be the best definition for Testing: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Syllabus: Chapter 1.2, page. 13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The goal / purpose of testing is to demonstrate that the program works.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The purpose of testing is to demonstrate that the program is defect free.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The purpose of testing is to demonstrate that the program does what it is supposed to do.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Testing is executing Software for the purpose of finding defects.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3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№24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 xml:space="preserve"> If a candidate is given an exam of 40 questions, should get 25 marks to pass</w:t>
            </w:r>
          </w:p>
          <w:p>
            <w:r>
              <w:rPr>
                <w:rFonts w:ascii="Times New Roman" w:hAnsi="Times New Roman"/>
                <w:sz w:val="28"/>
              </w:rPr>
              <w:t>(61%) and should get 80% for distinction, what is equivalence class.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 xml:space="preserve"> 23, 24, 25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0, 12, 25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30, 36, 39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32,37,40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3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№36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Measurement dysfunction is a problem because: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Even though the numbers you look at appear better, to achieve these numbers,</w:t>
            </w:r>
          </w:p>
          <w:p>
            <w:r>
              <w:rPr>
                <w:rFonts w:ascii="Times New Roman" w:hAnsi="Times New Roman"/>
                <w:sz w:val="28"/>
              </w:rPr>
              <w:t>people are doing other aspects of their work much less well.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We don't know how to measure a variable (our measurement is dysfunctional) and so</w:t>
            </w:r>
          </w:p>
          <w:p>
            <w:r>
              <w:rPr>
                <w:rFonts w:ascii="Times New Roman" w:hAnsi="Times New Roman"/>
                <w:sz w:val="28"/>
              </w:rPr>
              <w:t>we don't know how to interpret the result.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You are measuring the wrong thing and thus reaching the wrong conclusions.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All of the above.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№39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Which of the following tools is most likely to contain a comparator?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p.60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Dynamic Analysis tool.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Test Execution tool.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Static Analysis tool.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 xml:space="preserve">Security tool. 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3</w:t>
      </w:r>
    </w:p>
    <w:p>
      <w:r>
        <w:rPr>
          <w:rFonts w:ascii="Times New Roman" w:hAnsi="Times New Roman"/>
          <w:sz w:val="24"/>
        </w:rPr>
        <w:t/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MyTestXPro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НЕЗАРЕГИСТРИРОВАННАЯ ВЕРСИЯ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http://mytest.klyaksa.net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pPr>
        <w:spacing w:after="0" w:before="0" w:line="240" w:lineRule="auto"/>
      </w:pPr>
    </w:r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