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bookmarkStart w:id="28" w:name="_GoBack" w:colFirst="0" w:colLast="7"/>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4</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021-5-18</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021-5-18</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bookmarkEnd w:id="28"/>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3</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6"/>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24"/>
                <w:rFonts w:hint="eastAsia" w:ascii="宋体" w:hAnsi="宋体" w:cs="宋体"/>
                <w:szCs w:val="24"/>
              </w:rPr>
              <w:t>31801350@stu.zucc.edu.cn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24"/>
                <w:rFonts w:hint="eastAsia" w:ascii="宋体" w:hAnsi="宋体" w:cs="宋体"/>
                <w:szCs w:val="24"/>
              </w:rPr>
              <w:t>31801328@stu.zucc.edu.cn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24"/>
                <w:rFonts w:hint="eastAsia" w:ascii="宋体" w:hAnsi="宋体" w:cs="宋体"/>
                <w:szCs w:val="24"/>
              </w:rPr>
              <w:t>31801054@stu.zucc.edu.cn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7"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6"/>
        <w:tblW w:w="8364"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2645"/>
        <w:gridCol w:w="756"/>
        <w:gridCol w:w="1263"/>
        <w:gridCol w:w="1153"/>
        <w:gridCol w:w="1137"/>
        <w:gridCol w:w="1410"/>
      </w:tblGrid>
      <w:tr>
        <w:tc>
          <w:tcPr>
            <w:tcW w:w="26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6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5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分析项目可行性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制定项目计划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撰写项目计划书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0.88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16:00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制作项目计划PPT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制作可行性分析PPT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粗略完成项目计划+可行性分析初稿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1.13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21/3/16 9:00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21/3/18 8:02</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完成项目计划初稿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翻转课堂1 UML概论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UML1.1+1.5</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里程碑1——项目计划阶段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21/3/30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翻转课堂2 UML工具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收集用户受邀请意愿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翻转课堂3 UML用例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翻转课堂4 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UML工具使用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UML文档、ppt制作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 xml:space="preserve">软件需求说明SRS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寻找SRS模板并修改为本组专用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SRS第一版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SRS第二版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SRS第三版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SRS第四版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SRS填充用例图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SRS-ppt审批+修订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SRS预评审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SRS补充管理员用例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jad会议，解决用户需求冲突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根据接口文档与jad会议结果修改、补全SRS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根据最终的界面原型修改、补全SRS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pc端界面原型草图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庄博伟,岑盛泽,邓皓文,吕博图,潘姝焱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庄博伟,吕博图,邓皓文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根据助教及用户代表意见修改界面原型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SRS组内评审，检查进度</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翻转课堂5-各种图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翻转课堂6-综合应用和基础解答</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pPr>
    </w:p>
    <w:p>
      <w:pPr>
        <w:pStyle w:val="30"/>
        <w:numPr>
          <w:ilvl w:val="2"/>
          <w:numId w:val="1"/>
        </w:numPr>
        <w:spacing w:line="360" w:lineRule="auto"/>
      </w:pPr>
      <w:r>
        <w:rPr>
          <w:rFonts w:hint="eastAsia"/>
        </w:rPr>
        <w:t>范围管理计划</w:t>
      </w:r>
    </w:p>
    <w:p>
      <w:pPr>
        <w:pStyle w:val="30"/>
        <w:tabs>
          <w:tab w:val="left" w:pos="964"/>
        </w:tabs>
        <w:spacing w:line="360" w:lineRule="auto"/>
        <w:rPr>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2021/03/28</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2021/04/02</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2021/04/10</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2021/04/16</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bl>
    <w:p>
      <w:pPr>
        <w:pStyle w:val="30"/>
        <w:numPr>
          <w:ilvl w:val="2"/>
          <w:numId w:val="1"/>
        </w:numPr>
        <w:spacing w:line="360" w:lineRule="auto"/>
      </w:pPr>
      <w:r>
        <w:rPr>
          <w:rFonts w:hint="eastAsia"/>
        </w:rPr>
        <w:t>质量管理计划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6"/>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24"/>
                <w:rFonts w:hint="eastAsia" w:ascii="宋体" w:hAnsi="宋体" w:cs="宋体"/>
                <w:sz w:val="24"/>
                <w:szCs w:val="24"/>
              </w:rPr>
              <w:t>31801350@stu.zucc.edu.cn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 w:val="24"/>
                <w:szCs w:val="24"/>
              </w:rPr>
              <w:t>31801338@stu.zucc.edu.cn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24"/>
                <w:rFonts w:hint="eastAsia" w:ascii="宋体" w:hAnsi="宋体" w:cs="宋体"/>
                <w:sz w:val="24"/>
                <w:szCs w:val="24"/>
              </w:rPr>
              <w:t>31801334@stu.zucc.edu.cn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24"/>
                <w:rFonts w:hint="eastAsia" w:ascii="宋体" w:hAnsi="宋体" w:cs="宋体"/>
                <w:sz w:val="24"/>
                <w:szCs w:val="24"/>
              </w:rPr>
              <w:t>31801328@stu.zucc.edu.cn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24"/>
                <w:rFonts w:hint="eastAsia" w:ascii="宋体" w:hAnsi="宋体" w:cs="宋体"/>
                <w:sz w:val="24"/>
                <w:szCs w:val="24"/>
              </w:rPr>
              <w:t>31801054@stu.zucc.edu.cn</w:t>
            </w:r>
            <w:r>
              <w:rPr>
                <w:rStyle w:val="24"/>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6"/>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200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467E8"/>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A3D3B"/>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07F52"/>
    <w:rsid w:val="00E13632"/>
    <w:rsid w:val="00E178C5"/>
    <w:rsid w:val="00E24565"/>
    <w:rsid w:val="00E325E5"/>
    <w:rsid w:val="00E432B5"/>
    <w:rsid w:val="00E46B44"/>
    <w:rsid w:val="00E56BA3"/>
    <w:rsid w:val="00E95AF8"/>
    <w:rsid w:val="00E95DFE"/>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 w:val="EB3FE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qFormat/>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qFormat/>
    <w:uiPriority w:val="99"/>
    <w:rPr>
      <w:sz w:val="18"/>
      <w:szCs w:val="18"/>
    </w:rPr>
  </w:style>
  <w:style w:type="paragraph" w:styleId="13">
    <w:name w:val="footer"/>
    <w:basedOn w:val="1"/>
    <w:semiHidden/>
    <w:qFormat/>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uiPriority w:val="39"/>
  </w:style>
  <w:style w:type="paragraph" w:styleId="16">
    <w:name w:val="toc 4"/>
    <w:basedOn w:val="1"/>
    <w:next w:val="1"/>
    <w:semiHidden/>
    <w:uiPriority w:val="0"/>
    <w:pPr>
      <w:ind w:left="1260"/>
    </w:pPr>
  </w:style>
  <w:style w:type="paragraph" w:styleId="17">
    <w:name w:val="footnote text"/>
    <w:basedOn w:val="1"/>
    <w:link w:val="35"/>
    <w:unhideWhenUsed/>
    <w:uiPriority w:val="99"/>
    <w:pPr>
      <w:snapToGrid w:val="0"/>
      <w:jc w:val="left"/>
    </w:pPr>
    <w:rPr>
      <w:sz w:val="18"/>
      <w:szCs w:val="18"/>
    </w:rPr>
  </w:style>
  <w:style w:type="paragraph" w:styleId="18">
    <w:name w:val="toc 6"/>
    <w:basedOn w:val="1"/>
    <w:next w:val="1"/>
    <w:semiHidden/>
    <w:uiPriority w:val="0"/>
    <w:pPr>
      <w:ind w:left="2100"/>
    </w:pPr>
  </w:style>
  <w:style w:type="paragraph" w:styleId="19">
    <w:name w:val="toc 2"/>
    <w:basedOn w:val="1"/>
    <w:next w:val="1"/>
    <w:semiHidden/>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qFormat/>
    <w:uiPriority w:val="99"/>
    <w:rPr>
      <w:vertAlign w:val="superscript"/>
    </w:rPr>
  </w:style>
  <w:style w:type="character" w:styleId="23">
    <w:name w:val="page number"/>
    <w:basedOn w:val="21"/>
    <w:semiHidden/>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20</Pages>
  <Words>6243</Words>
  <Characters>7398</Characters>
  <Lines>61</Lines>
  <Paragraphs>27</Paragraphs>
  <TotalTime>0</TotalTime>
  <ScaleCrop>false</ScaleCrop>
  <LinksUpToDate>false</LinksUpToDate>
  <CharactersWithSpaces>13614</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2019-09-25T18:55:00Z</dcterms:created>
  <dc:creator>24548</dc:creator>
  <cp:lastModifiedBy>boboge</cp:lastModifiedBy>
  <cp:lastPrinted>1901-01-01T00:00:00Z</cp:lastPrinted>
  <dcterms:modified xsi:type="dcterms:W3CDTF">2021-07-01T04:08:15Z</dcterms:modified>
  <dc:title>第1章</dc:title>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