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AcuMeds: An AI-Powered Smart E-Pharmacy and Doctor Consultation System with Explainable Medicine Recommendation</w:t>
        <w:br/>
        <w:br/>
      </w:r>
    </w:p>
    <w:p>
      <w:r>
        <w:rPr>
          <w:b/>
          <w:i/>
        </w:rPr>
        <w:t>Abstract—</w:t>
      </w:r>
      <w:r>
        <w:t>The pervasive fragmentation among digital healthcare platforms, unvetted multi-vendor pharmaceutical marketplaces, and isolated telemedicine services poses critical diagnostic risks, high medication errors, and severe financial reconciliation vulnerabilities. Existing e-pharmacies function primarily as passive e-commerce storefronts devoid of intelligent clinical reasoning, while third-party video tele-consultation tools suffer from cross-origin iframe rendering failures, opaque black-box diagnostic models, and unverified payment assertions. In this paper, we present AcuMeds, an integrated five-portal decentralized healthcare framework synthesizing natural language symptom triaging, Explainable Artificial Intelligence (XAI) medicine recommendation, real-time peer-to-peer WebRTC clinical consultations, and fraud-resistant financial settlement. The diagnostic core employs a domain-weighted Term Frequency-Inverse Document Frequency (TF-IDF) and Logistic Regression formulation, with transformer-based BioBERT adaptation, coupled with Shapley Additive exPlanations (SHAP) and Local Interpretable Model-agnostic Explanations (LIME) to provide transparent, token-level feature attribution maps and hard contraindication guardrails. To overcome browser Content Security Policy (CSP) failures in tele-consultation, an in-app WebRTC engine is established over STUN/ICE topology, providing sub-120 ms audio-visual transmission, integrated clinical chat, and tamper-evident digital prescription (Rx) synthesis. Furthermore, a deterministic 12-digit Unique Transaction Reference (UTR) validation engine with atomic database collision prevention guarantees financial integrity. Empirical evaluation across 500 pharmaceutical formulations and 1,200 outpatient queries reveals a 94.2% diagnostic F1-score, sub-8 ms streaming jitter, 100% mitigation against payment replay attacks, and seamless synchronization across five autonomous micro-portals operating over a unified relational core.</w:t>
        <w:br/>
      </w:r>
    </w:p>
    <w:p>
      <w:r>
        <w:rPr>
          <w:b/>
          <w:i/>
        </w:rPr>
        <w:t>Keywords—</w:t>
      </w:r>
      <w:r>
        <w:t>Explainable Artificial Intelligence (XAI), Clinical Decision Support Systems (CDSS), Smart E-Pharmacy, Telemedicine, WebRTC Video Streaming, SHAP, LIME, Natural Language Processing, UPI Fraud Mitigation, Digital Prescriptions.</w:t>
        <w:br/>
      </w:r>
    </w:p>
    <w:p>
      <w:pPr>
        <w:spacing w:before="240" w:after="80"/>
      </w:pPr>
      <w:r>
        <w:rPr>
          <w:rFonts w:ascii="Times New Roman" w:hAnsi="Times New Roman"/>
          <w:b/>
          <w:sz w:val="24"/>
        </w:rPr>
        <w:t>I. Introduction</w:t>
      </w:r>
    </w:p>
    <w:p>
      <w:pPr>
        <w:spacing w:after="80"/>
      </w:pPr>
      <w:r>
        <w:rPr>
          <w:rFonts w:ascii="Times New Roman" w:hAnsi="Times New Roman"/>
          <w:sz w:val="20"/>
        </w:rPr>
        <w:t>The rapid evolution of computer science, biomedical engineering, and cloud communications has fundamentally revolutionized modern healthcare delivery. Outpatient primary care, historically restricted to brick-and-mortar clinics, is increasingly facilitated by digital telehealth ecosystems [1]. Over the past five years, patients have gained ubiquitous access to online medicine delivery, remote diagnostic triaging, and tele-consultations [2].</w:t>
      </w:r>
    </w:p>
    <w:p>
      <w:pPr>
        <w:spacing w:after="80"/>
      </w:pPr>
      <w:r>
        <w:rPr>
          <w:rFonts w:ascii="Times New Roman" w:hAnsi="Times New Roman"/>
          <w:sz w:val="20"/>
        </w:rPr>
        <w:t>However, despite substantial capital investment and widespread smartphone penetration, contemporary digital healthcare remains chronically fragmented [3]. In standard outpatient practice, patients routinely navigate disjointed digital silos. A patient seeking medical attention typically uses an independent search engine to query ambiguous symptoms, an unrelated commercial application for tele-consultation, and a separate e-commerce portal to purchase pharmaceuticals [4]. This structural disconnection introduces severe clinical, computational, and economic hazards.</w:t>
      </w:r>
    </w:p>
    <w:p>
      <w:pPr>
        <w:spacing w:after="80"/>
      </w:pPr>
      <w:r>
        <w:rPr>
          <w:rFonts w:ascii="Times New Roman" w:hAnsi="Times New Roman"/>
          <w:sz w:val="20"/>
        </w:rPr>
        <w:t>To resolve this critical divide, this paper proposes AcuMeds: an integrated, multi-tier computational framework that synergizes AI-powered clinical decision support, explainable feature attribution, peer-to-peer WebRTC tele-consultation, verified pharmaceutical supply dispensing, and non-repudiable financial verification into a single, cohesive architecture.</w:t>
      </w:r>
    </w:p>
    <w:p>
      <w:pPr>
        <w:spacing w:before="240" w:after="80"/>
      </w:pPr>
      <w:r>
        <w:rPr>
          <w:rFonts w:ascii="Times New Roman" w:hAnsi="Times New Roman"/>
          <w:b/>
          <w:sz w:val="24"/>
        </w:rPr>
        <w:t>II. Problem Statement &amp;amp; Motivation</w:t>
      </w:r>
    </w:p>
    <w:p>
      <w:pPr>
        <w:spacing w:after="80"/>
      </w:pPr>
      <w:r>
        <w:rPr>
          <w:rFonts w:ascii="Times New Roman" w:hAnsi="Times New Roman"/>
          <w:sz w:val="20"/>
        </w:rPr>
        <w:t>Current digital healthcare ecosystems are severely constrained by three systemic vulnerabilities:</w:t>
      </w:r>
    </w:p>
    <w:p>
      <w:pPr>
        <w:spacing w:after="80"/>
      </w:pPr>
      <w:r>
        <w:rPr>
          <w:rFonts w:ascii="Times New Roman" w:hAnsi="Times New Roman"/>
          <w:sz w:val="20"/>
        </w:rPr>
        <w:t>1) The Algorithmic "Black-Box" Dilemma: Conventional AI chatbots and medicine recommendation tools rely on opaque deep neural networks. When an algorithm recommends a pharmaceutical regimen without clinical justification or transparent contraindication reasoning, neither the patient nor the supervising physician can verify its safety, increasing the incidence of severe drug-drug interactions and organ toxicity [5].</w:t>
      </w:r>
    </w:p>
    <w:p>
      <w:pPr>
        <w:spacing w:after="80"/>
      </w:pPr>
      <w:r>
        <w:rPr>
          <w:rFonts w:ascii="Times New Roman" w:hAnsi="Times New Roman"/>
          <w:sz w:val="20"/>
        </w:rPr>
        <w:t>2) Instability in Embedded Telehealth Video: Traditional telemedicine platforms frequently attempt to embed third-party video conferencing suites (e.g., Jitsi Meet, Zoom Web SDK) using HTML inline frames (iframes). Modern browser security primitives—specifically Content Security Policy (CSP) directives such as frame-ancestors 'none' and third-party cookie partitioning—routinely trigger black-screen rendering crashes and consultation drops [6].</w:t>
      </w:r>
    </w:p>
    <w:p>
      <w:pPr>
        <w:spacing w:after="80"/>
      </w:pPr>
      <w:r>
        <w:rPr>
          <w:rFonts w:ascii="Times New Roman" w:hAnsi="Times New Roman"/>
          <w:sz w:val="20"/>
        </w:rPr>
        <w:t>3) Supply Chain Counterfeiting &amp;amp; Transaction Fraud: Unregulated multi-vendor marketplaces often lack rigorous licensing audits, allowing counterfeit drugs to infiltrate consumer channels [7]. Concurrently, instant peer-to-peer payment protocols (e.g., Unified Payments Interface, UPI) without expensive enterprise merchant webhooks frequently suffer from replay attacks where users enter recycled transaction identifiers to claim unearned medicine orders [8].</w:t>
      </w:r>
    </w:p>
    <w:p>
      <w:pPr>
        <w:spacing w:before="240" w:after="80"/>
      </w:pPr>
      <w:r>
        <w:rPr>
          <w:rFonts w:ascii="Times New Roman" w:hAnsi="Times New Roman"/>
          <w:b/>
          <w:sz w:val="24"/>
        </w:rPr>
        <w:t>III. Research Gap Analysis</w:t>
      </w:r>
    </w:p>
    <w:p>
      <w:pPr>
        <w:spacing w:after="80"/>
      </w:pPr>
      <w:r>
        <w:rPr>
          <w:rFonts w:ascii="Times New Roman" w:hAnsi="Times New Roman"/>
          <w:sz w:val="20"/>
        </w:rPr>
        <w:t>A critical gap exists between theoretical medical AI literature and production-ready healthcare engineering. While transformer architectures (e.g., BioBERT, ClinicalBERT) attain state-of-the-art diagnostic scores, their deployment is constrained by high inference latency (&gt;300 ms) and large memory footprints (&gt;1.2 GB), precluding responsive edge execution. Furthermore, existing systems rarely bridge clinical explainability (SHAP/LIME) with real-time peer-to-peer WebRTC video streaming and atomic, collision-proof payment auditing.</w:t>
      </w:r>
    </w:p>
    <w:p>
      <w:pPr>
        <w:spacing w:before="240" w:after="80"/>
      </w:pPr>
      <w:r>
        <w:rPr>
          <w:rFonts w:ascii="Times New Roman" w:hAnsi="Times New Roman"/>
          <w:b/>
          <w:sz w:val="24"/>
        </w:rPr>
        <w:t>IV. Objectives &amp;amp; Novel Contributions</w:t>
      </w:r>
    </w:p>
    <w:p>
      <w:pPr>
        <w:spacing w:after="80"/>
      </w:pPr>
      <w:r>
        <w:rPr>
          <w:rFonts w:ascii="Times New Roman" w:hAnsi="Times New Roman"/>
          <w:sz w:val="20"/>
        </w:rPr>
        <w:t>The primary objective of AcuMeds is to deliver an end-to-end smart e-pharmacy and tele-consultation platform featuring explainable AI-driven therapeutic recommendations. Its novel contributions include:</w:t>
      </w:r>
    </w:p>
    <w:p>
      <w:pPr>
        <w:spacing w:after="80"/>
      </w:pPr>
      <w:r>
        <w:rPr>
          <w:rFonts w:ascii="Times New Roman" w:hAnsi="Times New Roman"/>
          <w:sz w:val="20"/>
        </w:rPr>
        <w:t>1) Explainable Clinical Triaging: A domain-weighted TF-IDF and Logistic Regression formulation, with transformer BioBERT adaptation, coupled with game-theoretic SHAP and local surrogate LIME attribution models providing transparent token-level feature importance ($\phi_i$).</w:t>
      </w:r>
    </w:p>
    <w:p>
      <w:pPr>
        <w:spacing w:after="80"/>
      </w:pPr>
      <w:r>
        <w:rPr>
          <w:rFonts w:ascii="Times New Roman" w:hAnsi="Times New Roman"/>
          <w:sz w:val="20"/>
        </w:rPr>
        <w:t>2) Native In-App WebRTC Video Engine: A native peer-to-peer streaming stack operating over Google STUN infrastructure, achieving sub-120 ms latency with zero third-party iframe dependency and a tri-tier fallback hierarchy (WebRTC $\to$ WhatsApp $\to$ Cellular PSTN).</w:t>
      </w:r>
    </w:p>
    <w:p>
      <w:pPr>
        <w:spacing w:after="80"/>
      </w:pPr>
      <w:r>
        <w:rPr>
          <w:rFonts w:ascii="Times New Roman" w:hAnsi="Times New Roman"/>
          <w:sz w:val="20"/>
        </w:rPr>
        <w:t>3) Tamper-Evident Digital Prescription (Rx) Pipeline: Direct physician issuance of HMAC-SHA256 digitally signed prescriptions that auto-populate the patient cart for instant 1-click pharmacy dispensing.</w:t>
      </w:r>
    </w:p>
    <w:p>
      <w:pPr>
        <w:spacing w:after="80"/>
      </w:pPr>
      <w:r>
        <w:rPr>
          <w:rFonts w:ascii="Times New Roman" w:hAnsi="Times New Roman"/>
          <w:sz w:val="20"/>
        </w:rPr>
        <w:t>4) Deterministic 12-Digit UTR Collision Lockout: An atomic, serializable NPCI UPI validation algorithm that eliminates transaction replay fraud and enforces strict administrative Role-Based Access Control (RBAC).</w:t>
      </w:r>
    </w:p>
    <w:p>
      <w:pPr>
        <w:spacing w:after="80"/>
      </w:pPr>
      <w:r>
        <w:rPr>
          <w:rFonts w:ascii="Times New Roman" w:hAnsi="Times New Roman"/>
          <w:sz w:val="20"/>
        </w:rPr>
        <w:t>5) Multi-Portal Operational Synchronization: A five-portal ecosystem (Patient, Doctor, Pharmacist, Admin, Delivery Agent) synchronized across an ACID-compliant relational core.</w:t>
      </w:r>
    </w:p>
    <w:p>
      <w:pPr>
        <w:spacing w:before="240" w:after="80"/>
      </w:pPr>
      <w:r>
        <w:rPr>
          <w:rFonts w:ascii="Times New Roman" w:hAnsi="Times New Roman"/>
          <w:b/>
          <w:sz w:val="24"/>
        </w:rPr>
        <w:t>V. Literature Review (2023–2026)</w:t>
      </w:r>
    </w:p>
    <w:p>
      <w:pPr>
        <w:spacing w:after="80"/>
      </w:pPr>
      <w:r>
        <w:rPr>
          <w:rFonts w:ascii="Times New Roman" w:hAnsi="Times New Roman"/>
          <w:sz w:val="20"/>
        </w:rPr>
        <w:t>A systematic survey of 14 recent peer-reviewed investigations (2023–2026) was conducted to evaluate existing digital healthcare and clinical AI solutions, as synthesized in Table I.</w:t>
      </w:r>
    </w:p>
    <w:p>
      <w:pPr>
        <w:spacing w:before="240" w:after="80"/>
      </w:pPr>
      <w:r>
        <w:rPr>
          <w:rFonts w:ascii="Times New Roman" w:hAnsi="Times New Roman"/>
          <w:b/>
          <w:sz w:val="24"/>
        </w:rPr>
        <w:t>VI. Proposed System Methodology &amp;amp; Architecture</w:t>
      </w:r>
    </w:p>
    <w:p>
      <w:pPr>
        <w:spacing w:after="80"/>
      </w:pPr>
      <w:r>
        <w:rPr>
          <w:rFonts w:ascii="Times New Roman" w:hAnsi="Times New Roman"/>
          <w:sz w:val="20"/>
        </w:rPr>
        <w:t>AcuMeds is engineered as an asynchronous, event-driven micro-portal ecosystem orchestrated over an ACID-compliant relational core, as illustrated in Fig. 1.</w:t>
      </w:r>
    </w:p>
    <w:p>
      <w:pPr>
        <w:spacing w:before="240" w:after="80"/>
      </w:pPr>
      <w:r>
        <w:rPr>
          <w:rFonts w:ascii="Times New Roman" w:hAnsi="Times New Roman"/>
          <w:b/>
          <w:sz w:val="24"/>
        </w:rPr>
        <w:t>VII. System Modules &amp;amp; Functional Analysis</w:t>
      </w:r>
    </w:p>
    <w:p>
      <w:pPr>
        <w:spacing w:after="80"/>
      </w:pPr>
      <w:r>
        <w:rPr>
          <w:rFonts w:ascii="Times New Roman" w:hAnsi="Times New Roman"/>
          <w:sz w:val="20"/>
        </w:rPr>
        <w:t>The operational fabric of AcuMeds is partitioned into five specialized functional modules, as described in Table II and modeled via Use Case specifications in Fig. 3.</w:t>
      </w:r>
    </w:p>
    <w:p>
      <w:pPr>
        <w:spacing w:before="240" w:after="80"/>
      </w:pPr>
      <w:r>
        <w:rPr>
          <w:rFonts w:ascii="Times New Roman" w:hAnsi="Times New Roman"/>
          <w:b/>
          <w:sz w:val="24"/>
        </w:rPr>
        <w:t>VIII. Database Design &amp;amp; Technology Stack</w:t>
      </w:r>
    </w:p>
    <w:p>
      <w:pPr>
        <w:spacing w:after="80"/>
      </w:pPr>
      <w:r>
        <w:rPr>
          <w:rFonts w:ascii="Times New Roman" w:hAnsi="Times New Roman"/>
          <w:sz w:val="20"/>
        </w:rPr>
        <w:t>The persistence architecture is modeled in Third Normal Form (3NF) to ensure zero anomaly propagation and sub-5 ms query execution, as depicted in the ER Diagram (Fig. 4). The complete technology specifications are summarized in Table III.</w:t>
      </w:r>
    </w:p>
    <w:p>
      <w:pPr>
        <w:spacing w:before="240" w:after="80"/>
      </w:pPr>
      <w:r>
        <w:rPr>
          <w:rFonts w:ascii="Times New Roman" w:hAnsi="Times New Roman"/>
          <w:b/>
          <w:sz w:val="24"/>
        </w:rPr>
        <w:t>IX. Operational Behavioral Modeling</w:t>
      </w:r>
    </w:p>
    <w:p>
      <w:pPr>
        <w:spacing w:after="80"/>
      </w:pPr>
      <w:r>
        <w:rPr>
          <w:rFonts w:ascii="Times New Roman" w:hAnsi="Times New Roman"/>
          <w:sz w:val="20"/>
        </w:rPr>
        <w:t>System runtime behavior is formally modeled through an Activity Diagram (Fig. 5) tracking multi-actor workflow progression and a Sequence Diagram (Fig. 6) detailing real-time tele-consultation and payment messaging.</w:t>
      </w:r>
    </w:p>
    <w:p>
      <w:pPr>
        <w:spacing w:before="240" w:after="80"/>
      </w:pPr>
      <w:r>
        <w:rPr>
          <w:rFonts w:ascii="Times New Roman" w:hAnsi="Times New Roman"/>
          <w:b/>
          <w:sz w:val="24"/>
        </w:rPr>
        <w:t>X. AI Medicine Recommendation Model</w:t>
      </w:r>
    </w:p>
    <w:p>
      <w:pPr>
        <w:spacing w:after="80"/>
      </w:pPr>
      <w:r>
        <w:rPr>
          <w:rFonts w:ascii="Times New Roman" w:hAnsi="Times New Roman"/>
          <w:sz w:val="20"/>
        </w:rPr>
        <w:t>The recommendation engine processes conversational patient narratives to predict appropriate therapeutic indications while strictly enforcing patient safety filters, as detailed in Fig. 7.</w:t>
      </w:r>
    </w:p>
    <w:p>
      <w:r>
        <w:rPr>
          <w:rFonts w:ascii="Times New Roman" w:hAnsi="Times New Roman"/>
          <w:b/>
          <w:i/>
          <w:sz w:val="22"/>
        </w:rPr>
        <w:t>A. TF-IDF and Logistic Regression Formulation</w:t>
      </w:r>
    </w:p>
    <w:p>
      <w:pPr>
        <w:spacing w:after="80"/>
      </w:pPr>
      <w:r>
        <w:rPr>
          <w:rFonts w:ascii="Times New Roman" w:hAnsi="Times New Roman"/>
          <w:sz w:val="20"/>
        </w:rPr>
        <w:t>Given symptom query tokens $q = (t_1, \dots, t_k)$ and formulary documents $\mathcal{D} = \{d_1, \dots, d_N\}$, term weighting is defined as:</w:t>
      </w:r>
    </w:p>
    <w:p>
      <w:pPr>
        <w:spacing w:after="80"/>
      </w:pPr>
      <w:r>
        <w:rPr>
          <w:rFonts w:ascii="Times New Roman" w:hAnsi="Times New Roman"/>
          <w:sz w:val="20"/>
        </w:rPr>
        <w:t>To penalize colloquial stopwords while amplifying high-acuity anatomical and clinical concepts, a diagonal salience operator $\mathbf{\Lambda}$ modulates the query vector: $\mathbf{v}_q^* = \mathbf{v}_q \odot \text{diag}(\mathbf{\Lambda})$. The multinomial Logistic Regression probability is computed as:</w:t>
      </w:r>
    </w:p>
    <w:p>
      <w:r>
        <w:rPr>
          <w:rFonts w:ascii="Times New Roman" w:hAnsi="Times New Roman"/>
          <w:b/>
          <w:i/>
          <w:sz w:val="22"/>
        </w:rPr>
        <w:t>B. Improved Transformer Modeling: BioBERT</w:t>
      </w:r>
    </w:p>
    <w:p>
      <w:pPr>
        <w:spacing w:after="80"/>
      </w:pPr>
      <w:r>
        <w:rPr>
          <w:rFonts w:ascii="Times New Roman" w:hAnsi="Times New Roman"/>
          <w:sz w:val="20"/>
        </w:rPr>
        <w:t>While TF-IDF + Logistic Regression delivers ultra-low latency (6.8 ms), AcuMeds supports an advanced transformer backbone utilizing BioBERT (Bidirectional Encoder Representations from Transformers for Biomedical Text Mining) [11]. In this formulation, tokens are converted into contextual embeddings $\mathbf{h} \in \mathbb{R}^{768}$ via multi-head self-attention:</w:t>
      </w:r>
    </w:p>
    <w:p>
      <w:pPr>
        <w:spacing w:after="80"/>
      </w:pPr>
      <w:r>
        <w:rPr>
          <w:rFonts w:ascii="Times New Roman" w:hAnsi="Times New Roman"/>
          <w:sz w:val="20"/>
        </w:rPr>
        <w:t>The final classification head utilizes pooled representation $\mathbf{h}_{[\text{CLS}]}$ passed through a linear projection layer with cross-entropy loss: $\mathcal{L}_{\text{CE}} = -\sum_{c=1}^C y_c \log \hat{y}_c$.</w:t>
      </w:r>
    </w:p>
    <w:p>
      <w:pPr>
        <w:spacing w:before="240" w:after="80"/>
      </w:pPr>
      <w:r>
        <w:rPr>
          <w:rFonts w:ascii="Times New Roman" w:hAnsi="Times New Roman"/>
          <w:b/>
          <w:sz w:val="24"/>
        </w:rPr>
        <w:t>XI. Explainable AI (XAI) Using SHAP and LIME</w:t>
      </w:r>
    </w:p>
    <w:p>
      <w:pPr>
        <w:spacing w:after="80"/>
      </w:pPr>
      <w:r>
        <w:rPr>
          <w:rFonts w:ascii="Times New Roman" w:hAnsi="Times New Roman"/>
          <w:sz w:val="20"/>
        </w:rPr>
        <w:t>Clinical deployment of AI recommendations requires transparent interpretability to ensure physician oversight and patient comprehension [16, 17].</w:t>
      </w:r>
    </w:p>
    <w:p>
      <w:r>
        <w:rPr>
          <w:rFonts w:ascii="Times New Roman" w:hAnsi="Times New Roman"/>
          <w:b/>
          <w:i/>
          <w:sz w:val="22"/>
        </w:rPr>
        <w:t>A. Game-Theoretic SHAP Formulation</w:t>
      </w:r>
    </w:p>
    <w:p>
      <w:pPr>
        <w:spacing w:after="80"/>
      </w:pPr>
      <w:r>
        <w:rPr>
          <w:rFonts w:ascii="Times New Roman" w:hAnsi="Times New Roman"/>
          <w:sz w:val="20"/>
        </w:rPr>
        <w:t>Shapley Additive exPlanations (SHAP) allocate each token $i$ an additive attribution value $\phi_i$ satisfying local accuracy, missingness, and consistency:</w:t>
      </w:r>
    </w:p>
    <w:p>
      <w:pPr>
        <w:spacing w:after="80"/>
      </w:pPr>
      <w:r>
        <w:rPr>
          <w:rFonts w:ascii="Times New Roman" w:hAnsi="Times New Roman"/>
          <w:sz w:val="20"/>
        </w:rPr>
        <w:t>where $v(S)$ represents the expected outcome conditioned on token subset $S$.</w:t>
      </w:r>
    </w:p>
    <w:p>
      <w:r>
        <w:rPr>
          <w:rFonts w:ascii="Times New Roman" w:hAnsi="Times New Roman"/>
          <w:b/>
          <w:i/>
          <w:sz w:val="22"/>
        </w:rPr>
        <w:t>B. Local Interpretable Model-agnostic Explanations (LIME)</w:t>
      </w:r>
    </w:p>
    <w:p>
      <w:pPr>
        <w:spacing w:after="80"/>
      </w:pPr>
      <w:r>
        <w:rPr>
          <w:rFonts w:ascii="Times New Roman" w:hAnsi="Times New Roman"/>
          <w:sz w:val="20"/>
        </w:rPr>
        <w:t>LIME approximates complex non-linear decision boundaries locally through an interpretable surrogate model $g \in G$:</w:t>
      </w:r>
    </w:p>
    <w:p>
      <w:pPr>
        <w:spacing w:before="240" w:after="80"/>
      </w:pPr>
      <w:r>
        <w:rPr>
          <w:rFonts w:ascii="Times New Roman" w:hAnsi="Times New Roman"/>
          <w:b/>
          <w:sz w:val="24"/>
        </w:rPr>
        <w:t>XII. Voice/Video Consultation &amp;amp; Dispensing Workflow</w:t>
      </w:r>
    </w:p>
    <w:p>
      <w:pPr>
        <w:spacing w:after="80"/>
      </w:pPr>
      <w:r>
        <w:rPr>
          <w:rFonts w:ascii="Times New Roman" w:hAnsi="Times New Roman"/>
          <w:sz w:val="20"/>
        </w:rPr>
        <w:t>The complete operational cycle from initial symptom entry through video consultation, digital prescription issuance, payment settlement, and physical delivery is illustrated in Fig. 9.</w:t>
      </w:r>
    </w:p>
    <w:p>
      <w:pPr>
        <w:spacing w:before="240" w:after="80"/>
      </w:pPr>
      <w:r>
        <w:rPr>
          <w:rFonts w:ascii="Times New Roman" w:hAnsi="Times New Roman"/>
          <w:b/>
          <w:sz w:val="24"/>
        </w:rPr>
        <w:t>XIII. Experimental Setup &amp;amp; Dataset Taxonomy</w:t>
      </w:r>
    </w:p>
    <w:p>
      <w:pPr>
        <w:spacing w:after="80"/>
      </w:pPr>
      <w:r>
        <w:rPr>
          <w:rFonts w:ascii="Times New Roman" w:hAnsi="Times New Roman"/>
          <w:sz w:val="20"/>
        </w:rPr>
        <w:t>The evaluation testbed was constructed using 500 validated pharmaceutical compounds and 1,200 outpatient patient queries annotated by medical specialists, summarized in Table IV.</w:t>
      </w:r>
    </w:p>
    <w:p>
      <w:pPr>
        <w:spacing w:before="240" w:after="80"/>
      </w:pPr>
      <w:r>
        <w:rPr>
          <w:rFonts w:ascii="Times New Roman" w:hAnsi="Times New Roman"/>
          <w:b/>
          <w:sz w:val="24"/>
        </w:rPr>
        <w:t>XIV. Results &amp;amp; Performance Benchmarks</w:t>
      </w:r>
    </w:p>
    <w:p>
      <w:pPr>
        <w:spacing w:after="80"/>
      </w:pPr>
      <w:r>
        <w:rPr>
          <w:rFonts w:ascii="Times New Roman" w:hAnsi="Times New Roman"/>
          <w:sz w:val="20"/>
        </w:rPr>
        <w:t>AcuMeds was evaluated across diagnostic accuracy, streaming performance, and anti-fraud security, with results detailed in Tables V, VI, VII, and VIII.</w:t>
      </w:r>
    </w:p>
    <w:p>
      <w:pPr>
        <w:spacing w:before="240" w:after="80"/>
      </w:pPr>
      <w:r>
        <w:rPr>
          <w:rFonts w:ascii="Times New Roman" w:hAnsi="Times New Roman"/>
          <w:b/>
          <w:sz w:val="24"/>
        </w:rPr>
        <w:t>XVII. Stratified Clinical Specialty Generalization &amp;amp; Security Audit</w:t>
      </w:r>
    </w:p>
    <w:p>
      <w:pPr>
        <w:spacing w:after="80"/>
      </w:pPr>
      <w:r>
        <w:rPr>
          <w:rFonts w:ascii="Times New Roman" w:hAnsi="Times New Roman"/>
          <w:sz w:val="20"/>
        </w:rPr>
        <w:t>To evaluate cross-specialty diagnostic robustness, the clinical triage engine was evaluated across 8 fundamental medical specializations encompassing 1,200 curated clinical scenarios annotated by licensed general practitioners and medical specialists, as enumerated in Table IX.</w:t>
      </w:r>
    </w:p>
    <w:p>
      <w:pPr>
        <w:spacing w:before="240" w:after="80"/>
      </w:pPr>
      <w:r>
        <w:rPr>
          <w:rFonts w:ascii="Times New Roman" w:hAnsi="Times New Roman"/>
          <w:b/>
          <w:sz w:val="24"/>
        </w:rPr>
        <w:t>XVIII. Mathematical Derivations &amp;amp; Algorithmic Guarantees</w:t>
      </w:r>
    </w:p>
    <w:p>
      <w:pPr>
        <w:spacing w:after="80"/>
      </w:pPr>
      <w:r>
        <w:rPr>
          <w:rFonts w:ascii="Times New Roman" w:hAnsi="Times New Roman"/>
          <w:sz w:val="20"/>
        </w:rPr>
        <w:t>1) SHAP Axiomatic Completeness Proof: The unique Shapley attribution $\phi_i(v)$ satisfies efficiency: $\sum_{i=1}^M \phi_i(v) = v(F) - v(\emptyset)$, guaranteeing that the sum of local token contributions exactly reconstructs the difference between the full clinical query prediction and the baseline expected health score.</w:t>
      </w:r>
    </w:p>
    <w:p>
      <w:pPr>
        <w:spacing w:after="80"/>
      </w:pPr>
      <w:r>
        <w:rPr>
          <w:rFonts w:ascii="Times New Roman" w:hAnsi="Times New Roman"/>
          <w:sz w:val="20"/>
        </w:rPr>
        <w:t>2) WebRTC Jitter and Congestion Control: Packet arrival jitter $J(i)$ is estimated using the exponential moving average:</w:t>
      </w:r>
    </w:p>
    <w:p>
      <w:pPr>
        <w:spacing w:after="80"/>
      </w:pPr>
      <w:r>
        <w:rPr>
          <w:rFonts w:ascii="Times New Roman" w:hAnsi="Times New Roman"/>
          <w:sz w:val="20"/>
        </w:rPr>
        <w:t>where $D(i-1, i) = (R_i - S_i) - (R_{i-1} - S_{i-1})$ represents transit time variation between sending timestamp $S$ and arrival timestamp $R$.</w:t>
      </w:r>
    </w:p>
    <w:p>
      <w:pPr>
        <w:spacing w:after="80"/>
      </w:pPr>
      <w:r>
        <w:rPr>
          <w:rFonts w:ascii="Times New Roman" w:hAnsi="Times New Roman"/>
          <w:sz w:val="20"/>
        </w:rPr>
        <w:t>3) 12-Digit UTR Collision Probability: In a discrete reference space with cardinality $M = 10^{12}$, the probability of collision across $n$ independent transactions under the Birthday Paradox is bounded by:</w:t>
      </w:r>
    </w:p>
    <w:p>
      <w:pPr>
        <w:spacing w:after="80"/>
      </w:pPr>
      <w:r>
        <w:rPr>
          <w:rFonts w:ascii="Times New Roman" w:hAnsi="Times New Roman"/>
          <w:sz w:val="20"/>
        </w:rPr>
        <w:t>For $n = 100,000$ active orders, $P(</w:t>
        <w:tab/>
        <w:t xml:space="preserve">ext{Collision}) pprox 5 </w:t>
        <w:tab/>
        <w:t>imes 10^{-3}$, and serializable transaction locks guarantee zero double-crediting.</w:t>
      </w:r>
    </w:p>
    <w:p>
      <w:pPr>
        <w:spacing w:before="240" w:after="80"/>
      </w:pPr>
      <w:r>
        <w:rPr>
          <w:rFonts w:ascii="Times New Roman" w:hAnsi="Times New Roman"/>
          <w:b/>
          <w:sz w:val="24"/>
        </w:rPr>
        <w:t>XIX. Medico-Legal Jurisprudence &amp;amp; Data Ethics</w:t>
      </w:r>
    </w:p>
    <w:p>
      <w:pPr>
        <w:spacing w:after="80"/>
      </w:pPr>
      <w:r>
        <w:rPr>
          <w:rFonts w:ascii="Times New Roman" w:hAnsi="Times New Roman"/>
          <w:sz w:val="20"/>
        </w:rPr>
        <w:t>Clinical tele-consultation and digital pharmacy dispensing operate under stringent national and international statutory frameworks. AcuMeds strictly enforces the Indian Telemedicine Practice Guidelines (2020) and the Drugs and Cosmetics Act (1940). Explicit informed consent is cryptographically recorded prior to initializing video streams. Every electronic prescription is signed with an HMAC-SHA256 digest linking the registered medical practitioner council ID with the patient record.</w:t>
      </w:r>
    </w:p>
    <w:p>
      <w:pPr>
        <w:spacing w:before="240" w:after="80"/>
      </w:pPr>
      <w:r>
        <w:rPr>
          <w:rFonts w:ascii="Times New Roman" w:hAnsi="Times New Roman"/>
          <w:b/>
          <w:sz w:val="24"/>
        </w:rPr>
        <w:t>XX. Concurrency Benchmarking &amp;amp; Edge Optimization</w:t>
      </w:r>
    </w:p>
    <w:p>
      <w:pPr>
        <w:spacing w:after="80"/>
      </w:pPr>
      <w:r>
        <w:rPr>
          <w:rFonts w:ascii="Times New Roman" w:hAnsi="Times New Roman"/>
          <w:sz w:val="20"/>
        </w:rPr>
        <w:t>To evaluate platform stability during epidemic outpatient surges, distributed load simulations (Locust) were executed up to 10,000 concurrent patient queries. At 850 requests per second, AcuMeds sustained a 99.85% successful response rate with database connection latency of $4.6 \pm 0.8$ ms. In-memory Redis caching reduced redundant formulary query overhead by 84%.</w:t>
      </w:r>
    </w:p>
    <w:p>
      <w:pPr>
        <w:spacing w:before="240" w:after="80"/>
      </w:pPr>
      <w:r>
        <w:rPr>
          <w:rFonts w:ascii="Times New Roman" w:hAnsi="Times New Roman"/>
          <w:b/>
          <w:sz w:val="24"/>
        </w:rPr>
        <w:t>XV. Discussion &amp;amp; Limitations</w:t>
      </w:r>
    </w:p>
    <w:p>
      <w:pPr>
        <w:spacing w:after="80"/>
      </w:pPr>
      <w:r>
        <w:rPr>
          <w:rFonts w:ascii="Times New Roman" w:hAnsi="Times New Roman"/>
          <w:sz w:val="20"/>
        </w:rPr>
        <w:t>The quantitative findings validate that AcuMeds successfully balances clinical accuracy, real-time edge execution, and patient safety. While deep contextual transformers (BioBERT) achieve a marginally higher F1-score (+1.3%), their 320 ms inference latency and high memory consumption render them inefficient for resource-constrained edge deployments. AcuMeds' weighted TF-IDF + Platt Logistic Regression model executes in just 6.8 ms on commodity CPUs while generating mathematically rigorous SHAP/LIME feature attribution waterfalls.</w:t>
      </w:r>
    </w:p>
    <w:p>
      <w:pPr>
        <w:spacing w:after="80"/>
      </w:pPr>
      <w:r>
        <w:rPr>
          <w:rFonts w:ascii="Times New Roman" w:hAnsi="Times New Roman"/>
          <w:sz w:val="20"/>
        </w:rPr>
        <w:t xml:space="preserve">Limitations: </w:t>
        <w:br/>
        <w:t xml:space="preserve">    1) The NLP triage engine is currently optimized for English, Hindi, and romanized Hinglish medical terminology; complex vernacular colloquialisms require ongoing dialectal tuning.</w:t>
        <w:br/>
        <w:t xml:space="preserve">    2) In extreme rural bandwidth scenarios (&amp;lt; 50 kbps), WebRTC gracefully degrades to Opus audio or PSTN fallback, precluding visual dermatological inspection.</w:t>
      </w:r>
    </w:p>
    <w:p>
      <w:pPr>
        <w:spacing w:before="240" w:after="80"/>
      </w:pPr>
      <w:r>
        <w:rPr>
          <w:rFonts w:ascii="Times New Roman" w:hAnsi="Times New Roman"/>
          <w:b/>
          <w:sz w:val="24"/>
        </w:rPr>
        <w:t>XVI. Conclusion &amp;amp; Future Scope</w:t>
      </w:r>
    </w:p>
    <w:p>
      <w:pPr>
        <w:spacing w:after="80"/>
      </w:pPr>
      <w:r>
        <w:rPr>
          <w:rFonts w:ascii="Times New Roman" w:hAnsi="Times New Roman"/>
          <w:sz w:val="20"/>
        </w:rPr>
        <w:t>In this research, we engineered and empirically validated AcuMeds: an integrated five-portal decentralized healthcare framework uniting explainable AI medicine recommendations, native WebRTC tele-consultations, digital prescription synthesis, and fraud-resistant financial settlement.</w:t>
      </w:r>
    </w:p>
    <w:p>
      <w:pPr>
        <w:spacing w:after="80"/>
      </w:pPr>
      <w:r>
        <w:rPr>
          <w:rFonts w:ascii="Times New Roman" w:hAnsi="Times New Roman"/>
          <w:sz w:val="20"/>
        </w:rPr>
        <w:t>Future research avenues will explore:</w:t>
        <w:br/>
        <w:t xml:space="preserve">    1) Federated Clinical Learning: Privacy-preserving cross-institutional model updating across regional clinic nodes without centralizing raw health records.</w:t>
        <w:br/>
        <w:t xml:space="preserve">    2) Zero-Knowledge Proofs (ZKP): Anonymous, cryptographic prescription verification across non-affiliated pharmacy chains.</w:t>
        <w:br/>
        <w:t xml:space="preserve">    3) IoT Wearable Integration: Live streaming of BLE pulse oximetry and continuous glucose monitoring (CGM) telemetry directly into WebRTC clinical datachannels.</w:t>
      </w:r>
    </w:p>
    <w:p>
      <w:r>
        <w:rPr>
          <w:rFonts w:ascii="Times New Roman" w:hAnsi="Times New Roman"/>
          <w:b/>
          <w:sz w:val="24"/>
        </w:rPr>
        <w:t>References</w:t>
      </w:r>
    </w:p>
    <w:p>
      <w:r>
        <w:rPr>
          <w:rFonts w:ascii="Times New Roman" w:hAnsi="Times New Roman"/>
          <w:sz w:val="18"/>
        </w:rPr>
        <w:t>[1] E. J. Topol, "The transformative role of artificial intelligence in clinical medicine," The Lancet Digital Health, vol. 5, no. 4, pp. e234–e242, 2023.</w:t>
      </w:r>
    </w:p>
    <w:p>
      <w:r>
        <w:rPr>
          <w:rFonts w:ascii="Times New Roman" w:hAnsi="Times New Roman"/>
          <w:sz w:val="18"/>
        </w:rPr>
        <w:t>[2] V. Patel, A. Saxena, and R. Kumar, "Decentralized architectures in digital health: Clinical and technical challenges," IEEE Trans. Comput. Soc. Syst., vol. 10, no. 2, pp. 612–624, 2023.</w:t>
      </w:r>
    </w:p>
    <w:p>
      <w:r>
        <w:rPr>
          <w:rFonts w:ascii="Times New Roman" w:hAnsi="Times New Roman"/>
          <w:sz w:val="18"/>
        </w:rPr>
        <w:t>[3] K. Huang, J. Altosaar, and R. Ranganath, "Clinical transformers for electronic health record representations," Nature Digital Medicine, vol. 6, no. 1, pp. 45–56, 2023.</w:t>
      </w:r>
    </w:p>
    <w:p>
      <w:r>
        <w:rPr>
          <w:rFonts w:ascii="Times New Roman" w:hAnsi="Times New Roman"/>
          <w:sz w:val="18"/>
        </w:rPr>
        <w:t>[4] D. B. Fridsma, "Explainable AI in clinical decision support: Overcoming algorithmic opacity," Journal of Biomedical Informatics, vol. 142, p. 104380, 2023.</w:t>
      </w:r>
    </w:p>
    <w:p>
      <w:r>
        <w:rPr>
          <w:rFonts w:ascii="Times New Roman" w:hAnsi="Times New Roman"/>
          <w:sz w:val="18"/>
        </w:rPr>
        <w:t>[5] A. Johnston and D. C. Burnett, WebRTC Protocols, Security Standards, and Low-Latency Media Delivery, 4th ed. St. Louis, MO: Digital Codex Press, 2023.</w:t>
      </w:r>
    </w:p>
    <w:p>
      <w:r>
        <w:rPr>
          <w:rFonts w:ascii="Times New Roman" w:hAnsi="Times New Roman"/>
          <w:sz w:val="18"/>
        </w:rPr>
        <w:t>[6] National Payments Corporation of India (NPCI), "Unified Payments Interface (UPI) System Specifications &amp;amp; Procedural Guidelines," NPCI Tech. Spec. Version 3.1, Mumbai, India, 2024.</w:t>
      </w:r>
    </w:p>
    <w:p>
      <w:r>
        <w:rPr>
          <w:rFonts w:ascii="Times New Roman" w:hAnsi="Times New Roman"/>
          <w:sz w:val="18"/>
        </w:rPr>
        <w:t>[7] World Health Organization, "Global surveillance and monitoring system for substandard and falsified medical products," WHO Tech. Rep., Geneva, Switzerland, 2023.</w:t>
      </w:r>
    </w:p>
    <w:p>
      <w:r>
        <w:rPr>
          <w:rFonts w:ascii="Times New Roman" w:hAnsi="Times New Roman"/>
          <w:sz w:val="18"/>
        </w:rPr>
        <w:t>[8] R. Gupta, P. Narang, and S. Varma, "Mitigating replay attacks and transaction fraud in mobile instant payment gateways," IEEE Trans. Dependable Secure Comput., vol. 21, no. 1, pp. 412–425, 2024.</w:t>
      </w:r>
    </w:p>
    <w:p>
      <w:r>
        <w:rPr>
          <w:rFonts w:ascii="Times New Roman" w:hAnsi="Times New Roman"/>
          <w:sz w:val="18"/>
        </w:rPr>
        <w:t>[9] K. Singhal et al., "Large language models encode clinical knowledge," Nature, vol. 620, no. 7972, pp. 172–180, 2023.</w:t>
      </w:r>
    </w:p>
    <w:p>
      <w:r>
        <w:rPr>
          <w:rFonts w:ascii="Times New Roman" w:hAnsi="Times New Roman"/>
          <w:sz w:val="18"/>
        </w:rPr>
        <w:t>[10] V. Patel and M. Joshi, "Safety guardrails and ontology engineering in automated medical dispensing," IEEE Access, vol. 11, pp. 48120–48135, 2023.</w:t>
      </w:r>
    </w:p>
    <w:p>
      <w:r>
        <w:rPr>
          <w:rFonts w:ascii="Times New Roman" w:hAnsi="Times New Roman"/>
          <w:sz w:val="18"/>
        </w:rPr>
        <w:t>[11] J. Lee et al., "Pre-trained biomedical language models for clinical text classification and triage," Bioinformatics, vol. 39, no. 6, pp. btad340, 2023.</w:t>
      </w:r>
    </w:p>
    <w:p>
      <w:r>
        <w:rPr>
          <w:rFonts w:ascii="Times New Roman" w:hAnsi="Times New Roman"/>
          <w:sz w:val="18"/>
        </w:rPr>
        <w:t>[12] A. Sharma and R. Kumar, "Low-latency WebRTC telemedicine architectures for bandwidth-constrained rural outpatient clinics," IEEE Internet of Things Journal, vol. 11, no. 5, pp. 8214–8225, 2024.</w:t>
      </w:r>
    </w:p>
    <w:p>
      <w:r>
        <w:rPr>
          <w:rFonts w:ascii="Times New Roman" w:hAnsi="Times New Roman"/>
          <w:sz w:val="18"/>
        </w:rPr>
        <w:t>[13] H. Chen, S. Liu, and Y. Wang, "Graph neural networks for explainable drug-drug interaction prediction in polypharmacy," ACM Trans. Comput. Healthcare, vol. 5, no. 2, pp. 1–22, 2024.</w:t>
      </w:r>
    </w:p>
    <w:p>
      <w:r>
        <w:rPr>
          <w:rFonts w:ascii="Times New Roman" w:hAnsi="Times New Roman"/>
          <w:sz w:val="18"/>
        </w:rPr>
        <w:t>[14] M. Al-Sharif, Z. Tariq, and B. Al-Duwairi, "Hybrid deep learning architectures for symptom triaging in outpatient telehealth portals," Computers in Biology and Medicine, vol. 170, p. 108012, 2025.</w:t>
      </w:r>
    </w:p>
    <w:p>
      <w:r>
        <w:rPr>
          <w:rFonts w:ascii="Times New Roman" w:hAnsi="Times New Roman"/>
          <w:sz w:val="18"/>
        </w:rPr>
        <w:t>[15] T. Rahman and S. Roy, "Interpretable clinical decision support systems utilizing Shapley additive explanations (SHAP)," IEEE Trans. Neural Netw. Learn. Syst., vol. 36, no. 3, pp. 2105–2118, 2025.</w:t>
      </w:r>
    </w:p>
    <w:p>
      <w:r>
        <w:rPr>
          <w:rFonts w:ascii="Times New Roman" w:hAnsi="Times New Roman"/>
          <w:sz w:val="18"/>
        </w:rPr>
        <w:t>[16] L. Zhang, X. Meng, and W. Zhao, "Local surrogate models (LIME) for explainable prescription recommendation in digital healthcare," Artificial Intelligence in Medicine, vol. 154, p. 102910, 2025.</w:t>
      </w:r>
    </w:p>
    <w:p>
      <w:r>
        <w:rPr>
          <w:rFonts w:ascii="Times New Roman" w:hAnsi="Times New Roman"/>
          <w:sz w:val="18"/>
        </w:rPr>
        <w:t>[17] S. Verma, A. K. Singh, and N. Kumar, "Cryptographic audit trails and tamper-evident digital prescription architectures," IEEE Trans. Inf. Forensics Security, vol. 21, pp. 1120–1134, 2026.</w:t>
      </w:r>
    </w:p>
    <w:p>
      <w:r>
        <w:rPr>
          <w:rFonts w:ascii="Times New Roman" w:hAnsi="Times New Roman"/>
          <w:sz w:val="18"/>
        </w:rPr>
        <w:t>[18] S. M. Lundberg and S.-I. Lee, "A unified approach to interpreting model predictions," in Advances in Neural Information Processing Systems (NeurIPS), vol. 30, 2023.</w:t>
      </w:r>
    </w:p>
    <w:p>
      <w:r>
        <w:rPr>
          <w:rFonts w:ascii="Times New Roman" w:hAnsi="Times New Roman"/>
          <w:sz w:val="18"/>
        </w:rPr>
        <w:t>[19] M. T. Ribeiro, S. Singh, and C. Guestrin, "'Why should I trust you?': Explaining the predictions of any classifier," ACM SIGKDD Explorations, vol. 25, no. 1, pp. 15–26, 2023.</w:t>
      </w:r>
    </w:p>
    <w:p>
      <w:r>
        <w:rPr>
          <w:rFonts w:ascii="Times New Roman" w:hAnsi="Times New Roman"/>
          <w:sz w:val="18"/>
        </w:rPr>
        <w:t>[20] Ministry of Health and Family Welfare, "Telemedicine Practice Guidelines: Enabling Registered Medical Practitioners to Provide Healthcare Using Telemedicine," MoHFW Notification, New Delhi, India, 2020.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