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3FC7" w14:textId="77777777" w:rsidR="00E63E4D" w:rsidRDefault="00000000" w:rsidP="00A76B5F">
      <w:pPr>
        <w:spacing w:before="200" w:after="80"/>
      </w:pPr>
      <w:r>
        <w:rPr>
          <w:b/>
          <w:bCs/>
          <w:sz w:val="44"/>
          <w:szCs w:val="44"/>
          <w:rtl/>
        </w:rPr>
        <w:t>שיטת חמשת הכוכבים לאיתור מניות פריצה</w:t>
      </w:r>
    </w:p>
    <w:p w14:paraId="1DFCAF34" w14:textId="77777777" w:rsidR="00E63E4D" w:rsidRDefault="00000000" w:rsidP="00A76B5F">
      <w:pPr>
        <w:spacing w:after="60"/>
      </w:pPr>
      <w:r>
        <w:rPr>
          <w:color w:val="444444"/>
          <w:sz w:val="28"/>
          <w:szCs w:val="28"/>
          <w:rtl/>
        </w:rPr>
        <w:t>דוח מחקרי: הבסיס המדעי, תנאי הפעולה, מגבלות ונקודות תורפה</w:t>
      </w:r>
    </w:p>
    <w:p w14:paraId="01DA25AD" w14:textId="77777777" w:rsidR="00E63E4D" w:rsidRDefault="00000000" w:rsidP="00A76B5F">
      <w:pPr>
        <w:spacing w:after="300"/>
      </w:pPr>
      <w:r>
        <w:rPr>
          <w:color w:val="777777"/>
          <w:sz w:val="20"/>
          <w:szCs w:val="20"/>
          <w:rtl/>
        </w:rPr>
        <w:t>הוכן עבור אבי חזן | 12 ביוני 2026 | מבוסס על מקורות אקדמיים הניתנים לאימות</w:t>
      </w:r>
    </w:p>
    <w:p w14:paraId="28E411C6" w14:textId="77777777" w:rsidR="00E63E4D" w:rsidRDefault="00000000" w:rsidP="00A76B5F">
      <w:pPr>
        <w:pStyle w:val="1"/>
        <w:bidi/>
      </w:pPr>
      <w:r>
        <w:rPr>
          <w:rtl/>
        </w:rPr>
        <w:t>1. תקציר מנהלים</w:t>
      </w:r>
    </w:p>
    <w:p w14:paraId="508AAE0D" w14:textId="77777777" w:rsidR="00E63E4D" w:rsidRDefault="00000000" w:rsidP="00A76B5F">
      <w:pPr>
        <w:spacing w:after="120" w:line="312" w:lineRule="auto"/>
      </w:pPr>
      <w:r>
        <w:rPr>
          <w:rtl/>
        </w:rPr>
        <w:t xml:space="preserve">שיטת חמשת הכוכבים היא מערכת סינון שיטתית (Systematic Screening) לאיתור מניות בפריצת מומנטום, מהמשפחה המכונה בספרות המקצועית </w:t>
      </w:r>
      <w:r>
        <w:rPr>
          <w:i/>
          <w:iCs/>
        </w:rPr>
        <w:t>Momentum / Trend-Following</w:t>
      </w:r>
      <w:r>
        <w:rPr>
          <w:rtl/>
        </w:rPr>
        <w:t>. היא איננה ניתוח טכני קלאסי של קריאת גרפים בעין, אלא מימוש כמותי של חוקים בינאריים על נתוני שוק גולמיים. כל אחד מחמשת הקריטריונים נשען על גוף מחקר מתועד: אפקט המומנטום (Jegadeesh &amp; Titman 1993), אפקט הקרבה לשיא (George &amp; Hwang 2004), פרמיית הנפח הגבוה (Gervais, Kaniel &amp; Mingelgrin 2001; Lee &amp; Swaminathan 2000), אנומליית הבטא הנמוכה (Frazzini &amp; Pedersen 2014), וניהול חשיפה לפי תנודתיות (Moreira &amp; Muir 2017; Daniel &amp; Moskowitz 2016).</w:t>
      </w:r>
    </w:p>
    <w:p w14:paraId="73440063" w14:textId="77777777" w:rsidR="00E63E4D" w:rsidRDefault="00000000" w:rsidP="00A76B5F">
      <w:pPr>
        <w:spacing w:after="120" w:line="312" w:lineRule="auto"/>
      </w:pPr>
      <w:r>
        <w:rPr>
          <w:rtl/>
        </w:rPr>
        <w:t>המסקנה המרכזית של הדוח: לשיטה יש בסיס אמפירי מוצק בתנאי שוק של מגמה עולה ותנודתיות נמוכה-בינונית, אך היא חשופה לכשלים מתועדים היטב - פריצות שווא בשווקים צידיים, קריסות מומנטום אחרי משברים, ופערי מחיר שעוקפים את הסטופ. מי שמציג אותה למומחה חייב להציג גם את הצד הזה - וזה בדיוק מה שמבדיל מערכת רצינית ממכונת הבטחות.</w:t>
      </w:r>
    </w:p>
    <w:p w14:paraId="12CFC3BD" w14:textId="77777777" w:rsidR="00E63E4D" w:rsidRDefault="00000000" w:rsidP="00A76B5F">
      <w:pPr>
        <w:pStyle w:val="1"/>
        <w:bidi/>
      </w:pPr>
      <w:r>
        <w:rPr>
          <w:rtl/>
        </w:rPr>
        <w:t>2. סיווג מתודולוגי: איפה השיטה יושבת במפת ההשקעות</w:t>
      </w:r>
    </w:p>
    <w:p w14:paraId="4794E12F" w14:textId="77777777" w:rsidR="00E63E4D" w:rsidRDefault="00000000" w:rsidP="00A76B5F">
      <w:pPr>
        <w:spacing w:after="120" w:line="312" w:lineRule="auto"/>
      </w:pPr>
      <w:r>
        <w:rPr>
          <w:rtl/>
        </w:rPr>
        <w:t>עולם ההשקעות נחלק לשלוש אסכולות עיקריות: ניתוח פונדמנטלי (שווי חברה מול מחיר), ניתוח טכני שיקול-דעתי (קריאת תבניות בעין), והשקעה כמותית מבוססת-חוקים (Rules-Based Quantitative). השיטה שייכת לאסכולה השלישית: היא משתמשת באינדיקטורים שמקורם בניתוח הטכני (ממוצע נע, שיא מחיר, נפח), אך מפעילה אותם כחוקים מתמטיים חד-משמעיים, ללא פרשנות אנושית. בכך היא קרובה ברוחה לאסטרטגיות המומנטום האקדמיות ולשיטות המעשיות של William O'Neil (מערכת CAN SLIM) ו-Mark Minervini (תבנית VCP - התכווצות תנודתיות לפני פריצה), שתיהן מתועדות בספרות המקצועית.</w:t>
      </w:r>
    </w:p>
    <w:p w14:paraId="358F9267" w14:textId="77777777" w:rsidR="00E63E4D" w:rsidRDefault="00000000" w:rsidP="00A76B5F">
      <w:pPr>
        <w:spacing w:after="120" w:line="312" w:lineRule="auto"/>
      </w:pPr>
      <w:r>
        <w:rPr>
          <w:rtl/>
        </w:rPr>
        <w:t>חשוב להבהיר למומחה: זו איננה אסטרטגיית תיק במובן של מרקוביץ (ראו פרק 4), אלא שכבת בחירה ותזמון (Stock Selection &amp; Timing). היא עונה על השאלה אילו מניות ומתי - לא על השאלה כיצד להרכיב תיק אופטימלי.</w:t>
      </w:r>
    </w:p>
    <w:p w14:paraId="5FF05A73" w14:textId="77777777" w:rsidR="00E63E4D" w:rsidRDefault="00000000" w:rsidP="00A76B5F">
      <w:pPr>
        <w:pStyle w:val="1"/>
        <w:bidi/>
      </w:pPr>
      <w:r>
        <w:rPr>
          <w:rtl/>
        </w:rPr>
        <w:t>3. הבסיס המדעי, קריטריון אחר קריטריון</w:t>
      </w:r>
    </w:p>
    <w:p w14:paraId="22CAD03C" w14:textId="77777777" w:rsidR="00E63E4D" w:rsidRDefault="00000000" w:rsidP="00A76B5F">
      <w:pPr>
        <w:pStyle w:val="2"/>
        <w:bidi/>
        <w:spacing w:before="220" w:after="120"/>
      </w:pPr>
      <w:r>
        <w:rPr>
          <w:rtl/>
        </w:rPr>
        <w:t>K1 - מחיר מעל ממוצע נע 200 יום (מגמה ראשית)</w:t>
      </w:r>
    </w:p>
    <w:p w14:paraId="59A35B32" w14:textId="77777777" w:rsidR="00E63E4D" w:rsidRDefault="00000000" w:rsidP="00A76B5F">
      <w:pPr>
        <w:spacing w:after="120" w:line="312" w:lineRule="auto"/>
        <w:rPr>
          <w:rtl/>
        </w:rPr>
      </w:pPr>
      <w:r>
        <w:rPr>
          <w:rtl/>
        </w:rPr>
        <w:t xml:space="preserve">הבסיס: אפקט המומנטום - מניות שעלו ממשיכות לעלות בטווח של 3-12 חודשים. המאמר המכונן של </w:t>
      </w:r>
      <w:r>
        <w:rPr>
          <w:i/>
          <w:iCs/>
        </w:rPr>
        <w:t>Jegadeesh &amp; Titman (1993, Journal of Finance 48, 65-91)</w:t>
      </w:r>
      <w:r>
        <w:rPr>
          <w:rtl/>
        </w:rPr>
        <w:t xml:space="preserve"> מצא שתיק קונה-מנצחות-מוכר-מפסידות הניב בממוצע כ-1.3% לחודש, ממצא ששוחזר בעשרות שווקים ונחשב לאחת האנומליות החזקות בספרות הפיננסית - אתגר ישיר להשערת השוק היעיל. ממוצע נע 200 יום הוא הפרוקסי המעשי הנפוץ ביותר למגמה ראשית: דרישה שהמחיר מעליו מסננת מראש מניות במגמת ירידה ארוכת טווח.</w:t>
      </w:r>
    </w:p>
    <w:p w14:paraId="0D6B539F" w14:textId="77777777" w:rsidR="00A76B5F" w:rsidRDefault="00A76B5F" w:rsidP="00A76B5F">
      <w:pPr>
        <w:spacing w:after="120" w:line="312" w:lineRule="auto"/>
        <w:rPr>
          <w:rtl/>
        </w:rPr>
      </w:pPr>
    </w:p>
    <w:p w14:paraId="1826725C" w14:textId="77777777" w:rsidR="00A76B5F" w:rsidRDefault="00A76B5F" w:rsidP="00A76B5F">
      <w:pPr>
        <w:spacing w:after="120" w:line="312" w:lineRule="auto"/>
        <w:rPr>
          <w:rtl/>
        </w:rPr>
      </w:pPr>
    </w:p>
    <w:p w14:paraId="479002BD" w14:textId="77777777" w:rsidR="00A76B5F" w:rsidRDefault="00A76B5F" w:rsidP="00A76B5F">
      <w:pPr>
        <w:spacing w:after="120" w:line="312" w:lineRule="auto"/>
        <w:rPr>
          <w:rtl/>
        </w:rPr>
      </w:pPr>
    </w:p>
    <w:p w14:paraId="12908C0D" w14:textId="77777777" w:rsidR="00A76B5F" w:rsidRDefault="00A76B5F" w:rsidP="00A76B5F">
      <w:pPr>
        <w:spacing w:after="120" w:line="312" w:lineRule="auto"/>
      </w:pPr>
    </w:p>
    <w:p w14:paraId="6AEE7F5A" w14:textId="77777777" w:rsidR="00E63E4D" w:rsidRDefault="00000000" w:rsidP="00A76B5F">
      <w:pPr>
        <w:pStyle w:val="2"/>
        <w:bidi/>
        <w:spacing w:before="220" w:after="120"/>
      </w:pPr>
      <w:r>
        <w:rPr>
          <w:rtl/>
        </w:rPr>
        <w:t>K2 - בסיס איחוד צר מ-12% (התכווצות תנודתיות)</w:t>
      </w:r>
    </w:p>
    <w:p w14:paraId="5A989901" w14:textId="77777777" w:rsidR="00E63E4D" w:rsidRDefault="00000000" w:rsidP="00A76B5F">
      <w:pPr>
        <w:spacing w:after="120" w:line="312" w:lineRule="auto"/>
      </w:pPr>
      <w:r>
        <w:rPr>
          <w:rtl/>
        </w:rPr>
        <w:t xml:space="preserve">הבסיס כאן בעיקרו מעשי-סטטיסטי ולא אקדמי שפיט, וחובה לומר זאת ביושר. הרעיון - טווח מסחר מתכווץ מעיד שההיצע מתייבש לפני פריצה - הוא ליבת תבנית ה-VCP של Minervini ותבנית הספל-עם-ידית של O'Neil. התיעוד הכמותי הרחב ביותר הוא של </w:t>
      </w:r>
      <w:r>
        <w:rPr>
          <w:i/>
          <w:iCs/>
        </w:rPr>
        <w:t>Thomas Bulkowski (Encyclopedia of Chart Patterns, Wiley)</w:t>
      </w:r>
      <w:r>
        <w:rPr>
          <w:rtl/>
        </w:rPr>
        <w:t>, שמדד באלפי מקרים את שיעורי ההצלחה והכישלון של תבניות איחוד: פריצה מאושרת מתבנית מלבן כלפי מעלה הצליחה בכ-85% מהמקרים בשוק שורי - אך שיעורי הכישלון הוכפלו לכ-28% בתקופות שוק אחרות. במונחים סטטיסטיים, רוחב הבסיס הוא מדד מקומי לסטיית תקן: K2 הוא למעשה מסנן סטיית-תקן-נמוכה.</w:t>
      </w:r>
    </w:p>
    <w:p w14:paraId="2B329833" w14:textId="77777777" w:rsidR="00E63E4D" w:rsidRDefault="00000000" w:rsidP="00A76B5F">
      <w:pPr>
        <w:pStyle w:val="2"/>
        <w:bidi/>
        <w:spacing w:before="220" w:after="120"/>
      </w:pPr>
      <w:r>
        <w:rPr>
          <w:rtl/>
        </w:rPr>
        <w:t>K3 - מחיר בטווח 3% מהשיא (קרבה לפריצה)</w:t>
      </w:r>
    </w:p>
    <w:p w14:paraId="4F05B864" w14:textId="77777777" w:rsidR="00E63E4D" w:rsidRDefault="00000000" w:rsidP="00A76B5F">
      <w:pPr>
        <w:spacing w:after="120" w:line="312" w:lineRule="auto"/>
      </w:pPr>
      <w:r>
        <w:rPr>
          <w:i/>
          <w:iCs/>
        </w:rPr>
        <w:t>George &amp; Hwang (2004, Journal of Finance 59, 2145-2176)</w:t>
      </w:r>
      <w:r>
        <w:rPr>
          <w:rtl/>
        </w:rPr>
        <w:t xml:space="preserve"> הראו שהיחס בין המחיר הנוכחי לשיא 52 השבועות מסביר את רוב רווחי המומנטום, ושכוח הניבוי שלו עולה על זה של תשואות העבר עצמן - והרווחים אינם מתהפכים בטווח הארוך. ההסבר ההתנהגותי: משקיעים מעגנים את תפיסת השווי בשיא הקודם ומהססים לקנות לידו, ולכן מידע חיובי מתומחר באיטיות - מי שקונה ליד השיא רוכב על תמחור החסר הזה. השיטה משתמשת בשיא 30 יום (חלון קצר מזה שבמאמר) - גרסה טקטית לסווינג, שהיא הסתעפות מהממצא ולא העתק שלו. זו נקודה לגילוי נאות.</w:t>
      </w:r>
    </w:p>
    <w:p w14:paraId="297FA255" w14:textId="77777777" w:rsidR="00E63E4D" w:rsidRDefault="00000000" w:rsidP="00A76B5F">
      <w:pPr>
        <w:pStyle w:val="2"/>
        <w:bidi/>
        <w:spacing w:before="220" w:after="120"/>
      </w:pPr>
      <w:r>
        <w:rPr>
          <w:rtl/>
        </w:rPr>
        <w:t>K4 - נפח כפול 1.5 מהממוצע (אישור מוסדי)</w:t>
      </w:r>
    </w:p>
    <w:p w14:paraId="20834DBB" w14:textId="77777777" w:rsidR="00E63E4D" w:rsidRDefault="00000000" w:rsidP="00A76B5F">
      <w:pPr>
        <w:spacing w:after="120" w:line="312" w:lineRule="auto"/>
      </w:pPr>
      <w:r>
        <w:rPr>
          <w:i/>
          <w:iCs/>
        </w:rPr>
        <w:t>Gervais, Kaniel &amp; Mingelgrin (2001, Journal of Finance 56, 877-919)</w:t>
      </w:r>
      <w:r>
        <w:rPr>
          <w:rtl/>
        </w:rPr>
        <w:t xml:space="preserve"> תיעדו את פרמיית הנפח הגבוה: מניות עם נפח חריג ביום-שבוע נתון נטו להניב תשואה עודפת בחודש שאחריו. </w:t>
      </w:r>
      <w:r>
        <w:rPr>
          <w:i/>
          <w:iCs/>
        </w:rPr>
        <w:t>Lee &amp; Swaminathan (2000, Journal of Finance 55, 2017-2069)</w:t>
      </w:r>
      <w:r>
        <w:rPr>
          <w:rtl/>
        </w:rPr>
        <w:t xml:space="preserve"> הראו שנפח המסחר מנבא גם את העוצמה וגם את ההתמדה של המומנטום. המשמעות המעשית: פריצה ללא נפח היא חשודה; פריצה עם נפח כפול ומעלה מהממוצע מאותתת על השתתפות מוסדית - הכסף שמסוגל להחזיק מהלך לאורך שבועות.</w:t>
      </w:r>
    </w:p>
    <w:p w14:paraId="6849B0E9" w14:textId="77777777" w:rsidR="00E63E4D" w:rsidRDefault="00000000" w:rsidP="00A76B5F">
      <w:pPr>
        <w:pStyle w:val="2"/>
        <w:bidi/>
        <w:spacing w:before="220" w:after="120"/>
      </w:pPr>
      <w:r>
        <w:rPr>
          <w:rtl/>
        </w:rPr>
        <w:t>K5 - יחס סיכון-תגמול 2.5 לפחות (מתמטיקת התוחלת)</w:t>
      </w:r>
    </w:p>
    <w:p w14:paraId="6E14BA67" w14:textId="77777777" w:rsidR="00E63E4D" w:rsidRDefault="00000000" w:rsidP="00A76B5F">
      <w:pPr>
        <w:spacing w:after="120" w:line="312" w:lineRule="auto"/>
      </w:pPr>
      <w:r>
        <w:rPr>
          <w:rtl/>
        </w:rPr>
        <w:t>זהו קריטריון של ניהול סיכון, לא של ניבוי. הלוגיקה היא נוסחת התוחלת: אסטרטגיה רווחית דורשת ש(אחוז הצלחה כפול רווח ממוצע) יעלה על (אחוז כישלון כפול הפסד ממוצע). עם יחס 1:2.5, מספיק שיעור הצלחה של כ-29% כדי לא להפסיד - וכל אחוז הצלחה מעבר לכך הוא הרווח. בשילוב כלל סיכון של 1% מההון לעסקה, סדרת הפסדים רצופה איננה מחסלת את התיק - עיקרון שמופיע בכל ספרות ניהול הסיכונים המקצועית. במערכת: הסטופ בתחתית הבסיס (רמה טכנית אובייקטיבית) והיעד השמרני +20% (כלל אצבע של O'Neil לרווח ממוצע בפריצה מוצלחת).</w:t>
      </w:r>
    </w:p>
    <w:p w14:paraId="2C3FE081" w14:textId="77777777" w:rsidR="00E63E4D" w:rsidRDefault="00000000" w:rsidP="00A76B5F">
      <w:pPr>
        <w:pStyle w:val="2"/>
        <w:bidi/>
        <w:spacing w:before="220" w:after="120"/>
      </w:pPr>
      <w:r>
        <w:rPr>
          <w:rtl/>
        </w:rPr>
        <w:t>חוקי הברזל - בטא, דוחות, גודל ונזילות</w:t>
      </w:r>
    </w:p>
    <w:p w14:paraId="29947BAC" w14:textId="77777777" w:rsidR="00E63E4D" w:rsidRDefault="00000000" w:rsidP="00A76B5F">
      <w:pPr>
        <w:spacing w:after="120" w:line="312" w:lineRule="auto"/>
        <w:rPr>
          <w:rtl/>
        </w:rPr>
      </w:pPr>
      <w:r>
        <w:rPr>
          <w:rtl/>
        </w:rPr>
        <w:t xml:space="preserve">פסילת בטא מעל 1.8 נשענת על אחד הממצאים המשפיעים בספרות העשורים האחרונים: </w:t>
      </w:r>
      <w:r>
        <w:rPr>
          <w:i/>
          <w:iCs/>
        </w:rPr>
        <w:t>Frazzini &amp; Pedersen (2014, Journal of Financial Economics 111, 1-25, Betting Against Beta)</w:t>
      </w:r>
      <w:r>
        <w:rPr>
          <w:rtl/>
        </w:rPr>
        <w:t xml:space="preserve"> הראו שנכסי בטא גבוהה מניבים אלפא נמוכה באופן שיטתי - בארהב, ב-20 שווקים בינלאומיים, באגח ובחוזים. כלומר, תנודתיות גבוהה איננה מתוגמלת; היא נקנסת. הימנעות מדוחות בתוך 21 יום מנטרלת את סיכון האירוע הגדול ביותר ברמת המניה הבודדת - פער לילה שעוקף כל סטופ. דרישות שווי שוק ונפח מינימליים הן דרישות נזילות שמבטיחות שניתן לצאת מהפוזיציה במחיר סביר.</w:t>
      </w:r>
    </w:p>
    <w:p w14:paraId="59C53D21" w14:textId="77777777" w:rsidR="00A76B5F" w:rsidRDefault="00A76B5F" w:rsidP="00A76B5F">
      <w:pPr>
        <w:spacing w:after="120" w:line="312" w:lineRule="auto"/>
        <w:rPr>
          <w:rtl/>
        </w:rPr>
      </w:pPr>
    </w:p>
    <w:p w14:paraId="35DE4A52" w14:textId="77777777" w:rsidR="00A76B5F" w:rsidRDefault="00A76B5F" w:rsidP="00A76B5F">
      <w:pPr>
        <w:spacing w:after="120" w:line="312" w:lineRule="auto"/>
      </w:pPr>
    </w:p>
    <w:p w14:paraId="405941E9" w14:textId="77777777" w:rsidR="00E63E4D" w:rsidRDefault="00000000" w:rsidP="00A76B5F">
      <w:pPr>
        <w:pStyle w:val="2"/>
        <w:bidi/>
        <w:spacing w:before="220" w:after="120"/>
      </w:pPr>
      <w:r>
        <w:rPr>
          <w:rtl/>
        </w:rPr>
        <w:lastRenderedPageBreak/>
        <w:t>מסנן משטר ה-VIX - ההגנה החשובה ביותר במערכת</w:t>
      </w:r>
    </w:p>
    <w:p w14:paraId="3B426BF9" w14:textId="77777777" w:rsidR="00E63E4D" w:rsidRDefault="00000000" w:rsidP="00A76B5F">
      <w:pPr>
        <w:spacing w:after="120" w:line="312" w:lineRule="auto"/>
      </w:pPr>
      <w:r>
        <w:rPr>
          <w:i/>
          <w:iCs/>
        </w:rPr>
        <w:t>Moreira &amp; Muir (2017, Journal of Finance 72, 1611-1644)</w:t>
      </w:r>
      <w:r>
        <w:rPr>
          <w:rtl/>
        </w:rPr>
        <w:t xml:space="preserve"> הוכיחו שהקטנת חשיפה בתקופות תנודתיות גבוהה מעלה את מדד שארפ ואת האלפא כמעט בכל פקטור שנבדק - כולל מומנטום. </w:t>
      </w:r>
      <w:r>
        <w:rPr>
          <w:i/>
          <w:iCs/>
        </w:rPr>
        <w:t>Daniel &amp; Moskowitz (2016, Journal of Financial Economics 122, 221-247, Momentum Crashes)</w:t>
      </w:r>
      <w:r>
        <w:rPr>
          <w:rtl/>
        </w:rPr>
        <w:t xml:space="preserve"> הראו שקריסות המומנטום מתרחשות דווקא במצבי פאניקה - אחרי ירידות חדות וכשהתנודתיות גבוהה - ושהן ניתנות לחיזוי חלקי. כלל הרמזור של המערכת (ירוק מתחת ל-VIX 20, צהוב 20-25 עם בטא נמוכה בלבד, אדום מעל 25 - אין קניות) הוא מימוש ישיר של שני המאמרים הללו.</w:t>
      </w:r>
    </w:p>
    <w:p w14:paraId="7E35119C" w14:textId="77777777" w:rsidR="00E63E4D" w:rsidRDefault="00000000" w:rsidP="00A76B5F">
      <w:pPr>
        <w:pStyle w:val="1"/>
        <w:bidi/>
      </w:pPr>
      <w:r>
        <w:rPr>
          <w:rtl/>
        </w:rPr>
        <w:t>4. מרקוביץ, שארפ, סטיית תקן ובטא - מה רלוונטי ומה לא</w:t>
      </w:r>
    </w:p>
    <w:p w14:paraId="54F18BED" w14:textId="77777777" w:rsidR="00E63E4D" w:rsidRDefault="00000000" w:rsidP="00A76B5F">
      <w:pPr>
        <w:spacing w:after="120" w:line="312" w:lineRule="auto"/>
      </w:pPr>
      <w:r>
        <w:rPr>
          <w:rtl/>
        </w:rPr>
        <w:t xml:space="preserve">האם זה מודל מרקוביץ? לא. </w:t>
      </w:r>
      <w:r>
        <w:rPr>
          <w:i/>
          <w:iCs/>
        </w:rPr>
        <w:t>Markowitz (1952, Portfolio Selection, Journal of Finance)</w:t>
      </w:r>
      <w:r>
        <w:rPr>
          <w:rtl/>
        </w:rPr>
        <w:t xml:space="preserve"> עוסק בהרכבה אופטימלית של תיק שלם לפי תוחלת-שונות ומתאמים בין נכסים. השיטה שלנו פועלת שכבה אחת מתחת: בחירת נכסים ותזמון כניסה. עם זאת, שלושה כללים במערכת הם יורשים ישירים של עקרון הפיזור של מרקוביץ: תקרת 30% חשיפה למגזר יחיד, תקרת 25% מההון לפוזיציה, וסיכון 1% לעסקה. מומחה יזהה זאת מיד כ-Risk Budgeting - תקצוב סיכון בשפה מודרנית.</w:t>
      </w:r>
    </w:p>
    <w:p w14:paraId="5191DF7C" w14:textId="77777777" w:rsidR="00E63E4D" w:rsidRDefault="00000000" w:rsidP="00A76B5F">
      <w:pPr>
        <w:spacing w:after="120" w:line="312" w:lineRule="auto"/>
      </w:pPr>
      <w:r>
        <w:rPr>
          <w:rtl/>
        </w:rPr>
        <w:t>מדד שארפ - רלוונטי בשני מובנים. ראשית, ככלי ההערכה: את ביצועי המערכת יש לשפוט לא לפי תשואה גולמית אלא לפי תשואה ליחידת סיכון (שארפ), עומק נסיגה מרבי (Max Drawdown) ותוחלת לעסקה. שנית, כממצא: Moreira &amp; Muir הראו שניהול תנודתיות מעלה את שארפ - מסנן ה-VIX הוא בדיוק זה. סטיית תקן מופיעה במערכת בשתי נקודות: K2 הוא מסנן סטיית תקן מקומית נמוכה, וכלל ה-1% מתרגם את הסיכון הפרטני לגודל פוזיציה.</w:t>
      </w:r>
    </w:p>
    <w:p w14:paraId="64377076" w14:textId="77777777" w:rsidR="00E63E4D" w:rsidRDefault="00000000" w:rsidP="00A76B5F">
      <w:pPr>
        <w:spacing w:after="120" w:line="312" w:lineRule="auto"/>
      </w:pPr>
      <w:r>
        <w:rPr>
          <w:rtl/>
        </w:rPr>
        <w:t>בטא מול השוק - כן, ויש לה משמעות כפולה. כמסנן סיכון (עד 1.8) היא מגבילה את הרגישות לתנועות שוק חדות, ולפי Frazzini &amp; Pedersen היא גם משפרת תוחלת, כי בטא גבוהה מתומחרת ביוקר. במשטר צהוב המערכת מקשיחה לבטא מתחת ל-1.0 - הקטנת חשיפה סיסטמטית בדיוק כשהסיכון הסיסטמטי עולה. לעומת זאת, מודל CAPM של Sharpe כמודל תמחור - דווקא כישלונו האמפירי הוא שמאפשר לאנומליות כמו מומנטום להתקיים. השיטה חיה בפער שבין התיאוריה לנתונים.</w:t>
      </w:r>
    </w:p>
    <w:p w14:paraId="3DE24598" w14:textId="77777777" w:rsidR="00E63E4D" w:rsidRDefault="00000000" w:rsidP="00A76B5F">
      <w:pPr>
        <w:pStyle w:val="1"/>
        <w:bidi/>
      </w:pPr>
      <w:r>
        <w:rPr>
          <w:rtl/>
        </w:rPr>
        <w:t>5. באילו תנאי שוק השיטה עובדת</w:t>
      </w:r>
    </w:p>
    <w:p w14:paraId="2C94B32F" w14:textId="77777777" w:rsidR="00E63E4D" w:rsidRDefault="00000000" w:rsidP="00A76B5F">
      <w:pPr>
        <w:spacing w:after="120" w:line="312" w:lineRule="auto"/>
      </w:pPr>
      <w:r>
        <w:rPr>
          <w:rtl/>
        </w:rPr>
        <w:t>מהספרות ומנתוני Bulkowski מצטיירת תמונה עקבית - השיטה בנויה לסביבה אחת מובהקת:</w:t>
      </w:r>
    </w:p>
    <w:p w14:paraId="5FAAD92E" w14:textId="77777777" w:rsidR="00E63E4D" w:rsidRDefault="00000000" w:rsidP="00A76B5F">
      <w:pPr>
        <w:pStyle w:val="a4"/>
        <w:numPr>
          <w:ilvl w:val="0"/>
          <w:numId w:val="2"/>
        </w:numPr>
        <w:bidi/>
        <w:spacing w:after="80" w:line="300" w:lineRule="auto"/>
      </w:pPr>
      <w:r>
        <w:rPr>
          <w:rtl/>
        </w:rPr>
        <w:t>שוק שורי במגמה מבוססת, VIX מתחת ל-20: זה הבית הטבעי. רוחב שוק חיובי, פריצות מצליחות בשיעורים הגבוהים שתיעד Bulkowski, והמומנטום מתפקד כפי שמצאו Jegadeesh &amp; Titman.</w:t>
      </w:r>
    </w:p>
    <w:p w14:paraId="385AA203" w14:textId="77777777" w:rsidR="00E63E4D" w:rsidRDefault="00000000" w:rsidP="00A76B5F">
      <w:pPr>
        <w:pStyle w:val="a4"/>
        <w:numPr>
          <w:ilvl w:val="0"/>
          <w:numId w:val="2"/>
        </w:numPr>
        <w:bidi/>
        <w:spacing w:after="80" w:line="300" w:lineRule="auto"/>
      </w:pPr>
      <w:r>
        <w:rPr>
          <w:rtl/>
        </w:rPr>
        <w:t>שוק עולה אך עצבני (VIX 20-25): המערכת ממשיכה לעבוד אך בסלקטיביות - רק בטא נמוכה. לפי Moreira &amp; Muir, צמצום כזה משפר את התשואה מותאמת הסיכון.</w:t>
      </w:r>
    </w:p>
    <w:p w14:paraId="080620F0" w14:textId="77777777" w:rsidR="00E63E4D" w:rsidRDefault="00000000" w:rsidP="00A76B5F">
      <w:pPr>
        <w:pStyle w:val="a4"/>
        <w:numPr>
          <w:ilvl w:val="0"/>
          <w:numId w:val="2"/>
        </w:numPr>
        <w:bidi/>
        <w:spacing w:after="80" w:line="300" w:lineRule="auto"/>
      </w:pPr>
      <w:r>
        <w:rPr>
          <w:rtl/>
        </w:rPr>
        <w:t>שוק דובי או פאניקה (VIX מעל 25): המערכת מושבתת בכוונה. רוב המניות ממילא מתחת ל-MA200, ופריצות בסביבה כזו הן ברובן מלכודות. אפס אותות הוא התנהגות נכונה, לא תקלה.</w:t>
      </w:r>
    </w:p>
    <w:p w14:paraId="6E2A547A" w14:textId="77777777" w:rsidR="00E63E4D" w:rsidRDefault="00000000" w:rsidP="00A76B5F">
      <w:pPr>
        <w:spacing w:after="120" w:line="312" w:lineRule="auto"/>
        <w:rPr>
          <w:rtl/>
        </w:rPr>
      </w:pPr>
      <w:r>
        <w:rPr>
          <w:rtl/>
        </w:rPr>
        <w:t>נקודה שמומחה יעריך: המערכת מכוילת להיות בררנית. ביום נתון בשוק תקין היא תציג לרוב 0-5 מועמדות מתוך כ-1,900 נסרקות - שיעור של פחות מ-0.3%. סלקטיביות קיצונית היא תכונה, לא חולשה.</w:t>
      </w:r>
    </w:p>
    <w:p w14:paraId="4B8ECF93" w14:textId="77777777" w:rsidR="00A76B5F" w:rsidRDefault="00A76B5F" w:rsidP="00A76B5F">
      <w:pPr>
        <w:spacing w:after="120" w:line="312" w:lineRule="auto"/>
        <w:rPr>
          <w:rtl/>
        </w:rPr>
      </w:pPr>
    </w:p>
    <w:p w14:paraId="58D60C47" w14:textId="77777777" w:rsidR="00A76B5F" w:rsidRDefault="00A76B5F" w:rsidP="00A76B5F">
      <w:pPr>
        <w:spacing w:after="120" w:line="312" w:lineRule="auto"/>
        <w:rPr>
          <w:rtl/>
        </w:rPr>
      </w:pPr>
    </w:p>
    <w:p w14:paraId="2CB6500A" w14:textId="77777777" w:rsidR="00A76B5F" w:rsidRDefault="00A76B5F" w:rsidP="00A76B5F">
      <w:pPr>
        <w:spacing w:after="120" w:line="312" w:lineRule="auto"/>
        <w:rPr>
          <w:rtl/>
        </w:rPr>
      </w:pPr>
    </w:p>
    <w:p w14:paraId="71DA79FE" w14:textId="77777777" w:rsidR="00A76B5F" w:rsidRDefault="00A76B5F" w:rsidP="00A76B5F">
      <w:pPr>
        <w:spacing w:after="120" w:line="312" w:lineRule="auto"/>
      </w:pPr>
    </w:p>
    <w:p w14:paraId="68F7BC7C" w14:textId="77777777" w:rsidR="00E63E4D" w:rsidRDefault="00000000" w:rsidP="00A76B5F">
      <w:pPr>
        <w:pStyle w:val="1"/>
        <w:bidi/>
      </w:pPr>
      <w:r>
        <w:rPr>
          <w:rtl/>
        </w:rPr>
        <w:lastRenderedPageBreak/>
        <w:t>6. מתי השיטה נכשלת - התיעוד ההיסטורי</w:t>
      </w:r>
    </w:p>
    <w:p w14:paraId="0306DE1B" w14:textId="77777777" w:rsidR="00E63E4D" w:rsidRDefault="00000000" w:rsidP="00A76B5F">
      <w:pPr>
        <w:spacing w:after="120" w:line="312" w:lineRule="auto"/>
      </w:pPr>
      <w:r>
        <w:rPr>
          <w:rtl/>
        </w:rPr>
        <w:t>זהו הפרק שחובה להציג למומחה, כי בו נבחנת רצינות המערכת.</w:t>
      </w:r>
    </w:p>
    <w:p w14:paraId="39836B5B" w14:textId="77777777" w:rsidR="00E63E4D" w:rsidRDefault="00000000" w:rsidP="00A76B5F">
      <w:pPr>
        <w:pStyle w:val="2"/>
        <w:bidi/>
        <w:spacing w:before="220" w:after="120"/>
      </w:pPr>
      <w:r>
        <w:rPr>
          <w:rtl/>
        </w:rPr>
        <w:t>קריסות מומנטום (Momentum Crashes)</w:t>
      </w:r>
    </w:p>
    <w:p w14:paraId="01BA48B9" w14:textId="77777777" w:rsidR="00E63E4D" w:rsidRDefault="00000000" w:rsidP="00A76B5F">
      <w:pPr>
        <w:spacing w:after="120" w:line="312" w:lineRule="auto"/>
      </w:pPr>
      <w:r>
        <w:rPr>
          <w:rtl/>
        </w:rPr>
        <w:t>Daniel &amp; Moskowitz תיעדו שאסטרטגיות מומנטום סובלות מהתרסקויות נדירות אך קיצוניות, המתרחשות דווקא בהתאוששות חדה אחרי משבר: ב-1932 וב-2009 תיק המומנטום הקלאסי איבד עשרות אחוזים בתוך חודשים ספורים, כשהמניות המוכות זינקו והמנצחות פיגרו. הרלוונטיות לשיטה שלנו חלקית - היא לונג בלבד ואינה משתמשת בשורט, ומסנן ה-VIX היה מחזיק אותה מחוץ לשוק ברוב התקופות הללו - אבל הלקח עומד: בנקודות מפנה חדות, מי שקונה את אתמול נענש.</w:t>
      </w:r>
    </w:p>
    <w:p w14:paraId="62849056" w14:textId="77777777" w:rsidR="00E63E4D" w:rsidRDefault="00000000" w:rsidP="00A76B5F">
      <w:pPr>
        <w:pStyle w:val="2"/>
        <w:bidi/>
        <w:spacing w:before="220" w:after="120"/>
      </w:pPr>
      <w:r>
        <w:rPr>
          <w:rtl/>
        </w:rPr>
        <w:t>שווקים צידיים ותקופות מקצצות (Whipsaw)</w:t>
      </w:r>
    </w:p>
    <w:p w14:paraId="12A216C1" w14:textId="77777777" w:rsidR="00E63E4D" w:rsidRDefault="00000000" w:rsidP="00A76B5F">
      <w:pPr>
        <w:spacing w:after="120" w:line="312" w:lineRule="auto"/>
      </w:pPr>
      <w:r>
        <w:rPr>
          <w:rtl/>
        </w:rPr>
        <w:t>נקודת התורפה התפעולית הגדולה ביותר. בשוק חסר כיוון, מניות פורצות את השיא ונסוגות מיד - הסטופ נחתך שוב ושוב. נתוני Bulkowski מראים ששיעורי כישלון הפריצות אינם קבועים: הם הוכפלו בין תקופות שוק שונות (מכ-10-14% לכ-28% ויותר). שורת הפסדים קטנים ורצופים היא התרחיש השכיח של השיטה - כלל ה-1% נועד בדיוק לשרוד אותו.</w:t>
      </w:r>
    </w:p>
    <w:p w14:paraId="6F4F969E" w14:textId="77777777" w:rsidR="00E63E4D" w:rsidRDefault="00000000" w:rsidP="00A76B5F">
      <w:pPr>
        <w:pStyle w:val="2"/>
        <w:bidi/>
        <w:spacing w:before="220" w:after="120"/>
      </w:pPr>
      <w:r>
        <w:rPr>
          <w:rtl/>
        </w:rPr>
        <w:t>פערי לילה (Gap Risk)</w:t>
      </w:r>
    </w:p>
    <w:p w14:paraId="5B52278E" w14:textId="77777777" w:rsidR="00E63E4D" w:rsidRDefault="00000000" w:rsidP="00A76B5F">
      <w:pPr>
        <w:spacing w:after="120" w:line="312" w:lineRule="auto"/>
      </w:pPr>
      <w:r>
        <w:rPr>
          <w:rtl/>
        </w:rPr>
        <w:t>סטופ אינו חוזה ביטוח. מניה שפותחת 15% מתחת לסטופ בעקבות אזהרת רווח, החלטת רגולטור או אירוע גיאופוליטי - תימכר במחיר הפתיחה, לא במחיר הסטופ. הרחקת דוחות (21 יום) מנטרלת את הגורם השכיח ביותר לפערים, אך לא את כולם. זו הסיבה המתמטית לכלל ה-1%: גם הפסד כפול מהמתוכנן נשאר נסבל.</w:t>
      </w:r>
    </w:p>
    <w:p w14:paraId="79C44BAC" w14:textId="77777777" w:rsidR="00E63E4D" w:rsidRDefault="00000000" w:rsidP="00A76B5F">
      <w:pPr>
        <w:pStyle w:val="2"/>
        <w:bidi/>
        <w:spacing w:before="220" w:after="120"/>
      </w:pPr>
      <w:r>
        <w:rPr>
          <w:rtl/>
        </w:rPr>
        <w:t>היפוכי V חדים</w:t>
      </w:r>
    </w:p>
    <w:p w14:paraId="7A98048F" w14:textId="77777777" w:rsidR="00E63E4D" w:rsidRDefault="00000000" w:rsidP="00A76B5F">
      <w:pPr>
        <w:spacing w:after="120" w:line="312" w:lineRule="auto"/>
      </w:pPr>
      <w:r>
        <w:rPr>
          <w:rtl/>
        </w:rPr>
        <w:t>במרץ 2020 השוק קרס ואז זינק בעוצמה תוך שבועות. מערכת כמו שלנו נעצרת בצד (VIX מעל 25) ומפספסת את תחילת הראלי - ועד שה-VIX נרגע, חלק מהמהלך כבר מאחור. זהו מחיר מובנה של מסנן הבטיחות: הוא קונה הגנה בתשלום של איחור.</w:t>
      </w:r>
    </w:p>
    <w:p w14:paraId="34F3E48D" w14:textId="77777777" w:rsidR="00E63E4D" w:rsidRDefault="00000000" w:rsidP="00A76B5F">
      <w:pPr>
        <w:pStyle w:val="1"/>
        <w:bidi/>
      </w:pPr>
      <w:r>
        <w:rPr>
          <w:rtl/>
        </w:rPr>
        <w:t>7. דוגמאות, מספרים, ומה עדיין לא ידוע</w:t>
      </w:r>
    </w:p>
    <w:p w14:paraId="0B93BFC8" w14:textId="77777777" w:rsidR="00E63E4D" w:rsidRDefault="00000000" w:rsidP="00A76B5F">
      <w:pPr>
        <w:spacing w:after="120" w:line="312" w:lineRule="auto"/>
      </w:pPr>
      <w:r>
        <w:rPr>
          <w:rtl/>
        </w:rPr>
        <w:t>מה מתועד בספרות: תיק המומנטום של Jegadeesh &amp; Titman הניב כ-1.3% לחודש לפני עלויות; אסטרטגיית הקרבה לשיא של George &amp; Hwang הניבה תוצאות חזקות אף יותר מתשואות עבר; פרמיית הנפח של Gervais ועמיתיו נמדדה לאורך עשרות שנים; ושיעורי ההצלחה של תבניות איחוד אצל Bulkowski נעו בין כ-70% ל-90% בתנאים נוחים. אלו מספרים של רכיבי השיטה, כל אחד בנפרד, על נתונים היסטוריים ארוכים.</w:t>
      </w:r>
    </w:p>
    <w:p w14:paraId="3E3104DE" w14:textId="77777777" w:rsidR="00E63E4D" w:rsidRDefault="00000000" w:rsidP="00A76B5F">
      <w:pPr>
        <w:spacing w:after="120" w:line="312" w:lineRule="auto"/>
        <w:rPr>
          <w:rtl/>
        </w:rPr>
      </w:pPr>
      <w:r>
        <w:rPr>
          <w:rtl/>
        </w:rPr>
        <w:t>מה איננו מתועד עדיין - וזו ההצהרה החשובה ביותר בדוח: לשילוב הספציפי של חמשת הקריטריונים, על חלון 30 יום, אין עדיין רקורד ביצועים עצמאי. שילוב מסננים מוכחים איננו מתחייב לחבר את התשואות שלהם. בריצת האמת הראשונה (12.6.26, נתוני סגירה) המערכת איתרה 10 מניות חמישה כוכבים - בהן GTLS, CINF, WBS, KW - וכולן אומתו מול מקור נתונים שני בסטייה אפסית. זהו אימות של איכות הנתונים והחוקים, לא של התשואה העתידית. טבלת ההתראות שהמערכת מנהלת היא יומן המחקר: אחרי 50 אותות ומעלה ניתן יהיה לחשב שיעור הצלחה, תוחלת, שארפ ועומק נסיגה - ורק אז לדבר על ביצועים.</w:t>
      </w:r>
    </w:p>
    <w:p w14:paraId="0634FEBA" w14:textId="77777777" w:rsidR="00A76B5F" w:rsidRDefault="00A76B5F" w:rsidP="00A76B5F">
      <w:pPr>
        <w:spacing w:after="120" w:line="312" w:lineRule="auto"/>
        <w:rPr>
          <w:rtl/>
        </w:rPr>
      </w:pPr>
    </w:p>
    <w:p w14:paraId="029C720F" w14:textId="77777777" w:rsidR="00A76B5F" w:rsidRDefault="00A76B5F" w:rsidP="00A76B5F">
      <w:pPr>
        <w:spacing w:after="120" w:line="312" w:lineRule="auto"/>
        <w:rPr>
          <w:rtl/>
        </w:rPr>
      </w:pPr>
    </w:p>
    <w:p w14:paraId="4036BC8B" w14:textId="77777777" w:rsidR="00A76B5F" w:rsidRDefault="00A76B5F" w:rsidP="00A76B5F">
      <w:pPr>
        <w:spacing w:after="120" w:line="312" w:lineRule="auto"/>
        <w:rPr>
          <w:rtl/>
        </w:rPr>
      </w:pPr>
    </w:p>
    <w:p w14:paraId="0CECD28F" w14:textId="77777777" w:rsidR="00A76B5F" w:rsidRDefault="00A76B5F" w:rsidP="00A76B5F">
      <w:pPr>
        <w:spacing w:after="120" w:line="312" w:lineRule="auto"/>
      </w:pPr>
    </w:p>
    <w:p w14:paraId="79948EBD" w14:textId="77777777" w:rsidR="00E63E4D" w:rsidRDefault="00000000" w:rsidP="00A76B5F">
      <w:pPr>
        <w:pStyle w:val="1"/>
        <w:bidi/>
      </w:pPr>
      <w:r>
        <w:rPr>
          <w:rtl/>
        </w:rPr>
        <w:lastRenderedPageBreak/>
        <w:t>8. נקודות התורפה - רשימה מלאה וכנה</w:t>
      </w:r>
    </w:p>
    <w:p w14:paraId="5334DD8C" w14:textId="77777777" w:rsidR="00E63E4D" w:rsidRDefault="00000000" w:rsidP="00A76B5F">
      <w:pPr>
        <w:pStyle w:val="a4"/>
        <w:numPr>
          <w:ilvl w:val="0"/>
          <w:numId w:val="2"/>
        </w:numPr>
        <w:bidi/>
        <w:spacing w:after="80" w:line="300" w:lineRule="auto"/>
      </w:pPr>
      <w:r>
        <w:rPr>
          <w:rtl/>
        </w:rPr>
        <w:t>עיוורון פונדמנטלי: המערכת אינה יודעת דבר על רווחיות, חוב, תחרות או הנהלה. מניה במומנטום יכולה להיות גם בועה רגע לפני פיצוץ.</w:t>
      </w:r>
    </w:p>
    <w:p w14:paraId="2E242B7D" w14:textId="77777777" w:rsidR="00E63E4D" w:rsidRDefault="00000000" w:rsidP="00A76B5F">
      <w:pPr>
        <w:pStyle w:val="a4"/>
        <w:numPr>
          <w:ilvl w:val="0"/>
          <w:numId w:val="2"/>
        </w:numPr>
        <w:bidi/>
        <w:spacing w:after="80" w:line="300" w:lineRule="auto"/>
      </w:pPr>
      <w:r>
        <w:rPr>
          <w:rtl/>
        </w:rPr>
        <w:t>חלון 30 יום הוא בחירה הנדסית: הספרות האקדמית עבדה עם 52 שבועות ו-3-12 חודשים. החלון הקצר מתאים לסווינג אך פחות מגובה מחקרית - סיכון התאמת-יתר (Overfitting) שיש להכיר בו.</w:t>
      </w:r>
    </w:p>
    <w:p w14:paraId="3CA515E7" w14:textId="77777777" w:rsidR="00E63E4D" w:rsidRDefault="00000000" w:rsidP="00A76B5F">
      <w:pPr>
        <w:pStyle w:val="a4"/>
        <w:numPr>
          <w:ilvl w:val="0"/>
          <w:numId w:val="2"/>
        </w:numPr>
        <w:bidi/>
        <w:spacing w:after="80" w:line="300" w:lineRule="auto"/>
      </w:pPr>
      <w:r>
        <w:rPr>
          <w:rtl/>
        </w:rPr>
        <w:t>השלכת נפח תוך-יומית: בריצות אמצע יום יחס הנפח מוערך לפי עקומת נפח טיפוסית. ימים חריגים (פקיעות אופציות, ימי מדד) מעוותים את ההערכה - ולכן האות האמין ביותר הוא של סוף היום.</w:t>
      </w:r>
    </w:p>
    <w:p w14:paraId="2446214D" w14:textId="77777777" w:rsidR="00E63E4D" w:rsidRDefault="00000000" w:rsidP="00A76B5F">
      <w:pPr>
        <w:pStyle w:val="a4"/>
        <w:numPr>
          <w:ilvl w:val="0"/>
          <w:numId w:val="2"/>
        </w:numPr>
        <w:bidi/>
        <w:spacing w:after="80" w:line="300" w:lineRule="auto"/>
      </w:pPr>
      <w:r>
        <w:rPr>
          <w:rtl/>
        </w:rPr>
        <w:t>צפיפות (Crowding): קריטריונים דומים מריצים אלפי סורקים דומים. כשכולם רואים את אותה פריצה, חלק מהיתרון נשחק בביצוע.</w:t>
      </w:r>
    </w:p>
    <w:p w14:paraId="31784D68" w14:textId="77777777" w:rsidR="00E63E4D" w:rsidRDefault="00000000" w:rsidP="00A76B5F">
      <w:pPr>
        <w:pStyle w:val="a4"/>
        <w:numPr>
          <w:ilvl w:val="0"/>
          <w:numId w:val="2"/>
        </w:numPr>
        <w:bidi/>
        <w:spacing w:after="80" w:line="300" w:lineRule="auto"/>
      </w:pPr>
      <w:r>
        <w:rPr>
          <w:rtl/>
        </w:rPr>
        <w:t>תלות בספק נתונים: שגיאת נתון אחת מייצרת אות שווא. מנגנון ההצלבה הדו-מקורי מצמצם זאת אך אינו מאפס.</w:t>
      </w:r>
    </w:p>
    <w:p w14:paraId="6F3E5EBA" w14:textId="77777777" w:rsidR="00E63E4D" w:rsidRDefault="00000000" w:rsidP="00A76B5F">
      <w:pPr>
        <w:pStyle w:val="a4"/>
        <w:numPr>
          <w:ilvl w:val="0"/>
          <w:numId w:val="2"/>
        </w:numPr>
        <w:bidi/>
        <w:spacing w:after="80" w:line="300" w:lineRule="auto"/>
      </w:pPr>
      <w:r>
        <w:rPr>
          <w:rtl/>
        </w:rPr>
        <w:t>מכירות בעלי עניין אינן ממוכנות - נבדקות ידנית בקישור ייעודי בכל התראה.</w:t>
      </w:r>
    </w:p>
    <w:p w14:paraId="46C4FE81" w14:textId="77777777" w:rsidR="00E63E4D" w:rsidRDefault="00000000" w:rsidP="00A76B5F">
      <w:pPr>
        <w:pStyle w:val="a4"/>
        <w:numPr>
          <w:ilvl w:val="0"/>
          <w:numId w:val="2"/>
        </w:numPr>
        <w:bidi/>
        <w:spacing w:after="80" w:line="300" w:lineRule="auto"/>
      </w:pPr>
      <w:r>
        <w:rPr>
          <w:rtl/>
        </w:rPr>
        <w:t>הגורם האנושי: המערכת מסננת, האדם מבצע. כניסה באיחור, הזזת סטופ, הכפלת פוזיציה - אלו הכשלים שהורגים אסטרטגיות טובות, ואף קריטריון אינו מגן מפניהם.</w:t>
      </w:r>
    </w:p>
    <w:p w14:paraId="0E647B4D" w14:textId="77777777" w:rsidR="00E63E4D" w:rsidRDefault="00000000" w:rsidP="00A76B5F">
      <w:pPr>
        <w:pStyle w:val="1"/>
        <w:bidi/>
      </w:pPr>
      <w:r>
        <w:rPr>
          <w:rtl/>
        </w:rPr>
        <w:t>9. כיצד לבחון את המערכת מדעית - פרוטוקול מומלץ</w:t>
      </w:r>
    </w:p>
    <w:p w14:paraId="3FDAE3AF" w14:textId="77777777" w:rsidR="00E63E4D" w:rsidRDefault="00000000" w:rsidP="00A76B5F">
      <w:pPr>
        <w:spacing w:after="120" w:line="312" w:lineRule="auto"/>
      </w:pPr>
      <w:r>
        <w:rPr>
          <w:rtl/>
        </w:rPr>
        <w:t>ההצעה למומחה: לשפוט את המערכת כפי ששופטים כל אסטרטגיה כמותית.</w:t>
      </w:r>
    </w:p>
    <w:p w14:paraId="4B5D7894" w14:textId="77777777" w:rsidR="00E63E4D" w:rsidRDefault="00000000" w:rsidP="00A76B5F">
      <w:pPr>
        <w:pStyle w:val="a4"/>
        <w:numPr>
          <w:ilvl w:val="0"/>
          <w:numId w:val="2"/>
        </w:numPr>
        <w:bidi/>
        <w:spacing w:after="80" w:line="300" w:lineRule="auto"/>
      </w:pPr>
      <w:r>
        <w:rPr>
          <w:rtl/>
        </w:rPr>
        <w:t>צבירת מדגם: לפחות 50-100 אותות מתועדים ביומן ההתראות לפני כל מסקנה (מדגם קטן מזה חסר תוקף סטטיסטי).</w:t>
      </w:r>
    </w:p>
    <w:p w14:paraId="5BE7B4F5" w14:textId="77777777" w:rsidR="00E63E4D" w:rsidRDefault="00000000" w:rsidP="00A76B5F">
      <w:pPr>
        <w:pStyle w:val="a4"/>
        <w:numPr>
          <w:ilvl w:val="0"/>
          <w:numId w:val="2"/>
        </w:numPr>
        <w:bidi/>
        <w:spacing w:after="80" w:line="300" w:lineRule="auto"/>
      </w:pPr>
      <w:r>
        <w:rPr>
          <w:rtl/>
        </w:rPr>
        <w:t>מדדים: שיעור הצלחה, יחס רווח-הפסד ממומש, תוחלת לעסקה, מדד שארפ שנתי, עומק נסיגה מרבי, והשוואה לבנצ'מרק קנה-והחזק על SPY.</w:t>
      </w:r>
    </w:p>
    <w:p w14:paraId="63160A1F" w14:textId="77777777" w:rsidR="00E63E4D" w:rsidRDefault="00000000" w:rsidP="00A76B5F">
      <w:pPr>
        <w:pStyle w:val="a4"/>
        <w:numPr>
          <w:ilvl w:val="0"/>
          <w:numId w:val="2"/>
        </w:numPr>
        <w:bidi/>
        <w:spacing w:after="80" w:line="300" w:lineRule="auto"/>
      </w:pPr>
      <w:r>
        <w:rPr>
          <w:rtl/>
        </w:rPr>
        <w:t>פילוח לפי משטר: ביצועים בנפרד לימי שוק ירוק, צהוב ואדום - כדי לוודא שמסנן ה-VIX אכן מוסיף ערך.</w:t>
      </w:r>
    </w:p>
    <w:p w14:paraId="5F8F2F69" w14:textId="77777777" w:rsidR="00E63E4D" w:rsidRDefault="00000000" w:rsidP="00A76B5F">
      <w:pPr>
        <w:pStyle w:val="a4"/>
        <w:numPr>
          <w:ilvl w:val="0"/>
          <w:numId w:val="2"/>
        </w:numPr>
        <w:bidi/>
        <w:spacing w:after="80" w:line="300" w:lineRule="auto"/>
      </w:pPr>
      <w:r>
        <w:rPr>
          <w:rtl/>
        </w:rPr>
        <w:t>כלל עצירה: אם אחרי 100 אותות התוחלת שלילית אחרי עלויות - לעצור ולכייל מחדש, לא להתווכח עם הנתונים.</w:t>
      </w:r>
    </w:p>
    <w:p w14:paraId="131ABB6B" w14:textId="77777777" w:rsidR="00E63E4D" w:rsidRDefault="00000000" w:rsidP="00A76B5F">
      <w:pPr>
        <w:pStyle w:val="1"/>
        <w:bidi/>
      </w:pPr>
      <w:r>
        <w:rPr>
          <w:rtl/>
        </w:rPr>
        <w:t>10. טבלה מסכמת: קריטריון, מקור, ממצא</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060"/>
        <w:gridCol w:w="4400"/>
      </w:tblGrid>
      <w:tr w:rsidR="00E63E4D" w14:paraId="0F249D5C"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DCE9F5"/>
            <w:tcMar>
              <w:top w:w="60" w:type="dxa"/>
              <w:left w:w="100" w:type="dxa"/>
              <w:bottom w:w="60" w:type="dxa"/>
              <w:right w:w="100" w:type="dxa"/>
            </w:tcMar>
          </w:tcPr>
          <w:p w14:paraId="0394BD69" w14:textId="77777777" w:rsidR="00E63E4D" w:rsidRDefault="00000000" w:rsidP="00A76B5F">
            <w:r>
              <w:rPr>
                <w:b/>
                <w:bCs/>
                <w:sz w:val="20"/>
                <w:szCs w:val="20"/>
                <w:rtl/>
              </w:rPr>
              <w:t>רכיב</w:t>
            </w:r>
          </w:p>
        </w:tc>
        <w:tc>
          <w:tcPr>
            <w:tcW w:w="3060" w:type="dxa"/>
            <w:tcBorders>
              <w:top w:val="single" w:sz="1" w:space="0" w:color="BBBBBB"/>
              <w:left w:val="single" w:sz="1" w:space="0" w:color="BBBBBB"/>
              <w:bottom w:val="single" w:sz="1" w:space="0" w:color="BBBBBB"/>
              <w:right w:val="single" w:sz="1" w:space="0" w:color="BBBBBB"/>
            </w:tcBorders>
            <w:shd w:val="clear" w:color="auto" w:fill="DCE9F5"/>
            <w:tcMar>
              <w:top w:w="60" w:type="dxa"/>
              <w:left w:w="100" w:type="dxa"/>
              <w:bottom w:w="60" w:type="dxa"/>
              <w:right w:w="100" w:type="dxa"/>
            </w:tcMar>
          </w:tcPr>
          <w:p w14:paraId="7C3307D5" w14:textId="77777777" w:rsidR="00E63E4D" w:rsidRDefault="00000000" w:rsidP="00A76B5F">
            <w:r>
              <w:rPr>
                <w:b/>
                <w:bCs/>
                <w:sz w:val="20"/>
                <w:szCs w:val="20"/>
                <w:rtl/>
              </w:rPr>
              <w:t>מקור מדעי</w:t>
            </w:r>
          </w:p>
        </w:tc>
        <w:tc>
          <w:tcPr>
            <w:tcW w:w="4400" w:type="dxa"/>
            <w:tcBorders>
              <w:top w:val="single" w:sz="1" w:space="0" w:color="BBBBBB"/>
              <w:left w:val="single" w:sz="1" w:space="0" w:color="BBBBBB"/>
              <w:bottom w:val="single" w:sz="1" w:space="0" w:color="BBBBBB"/>
              <w:right w:val="single" w:sz="1" w:space="0" w:color="BBBBBB"/>
            </w:tcBorders>
            <w:shd w:val="clear" w:color="auto" w:fill="DCE9F5"/>
            <w:tcMar>
              <w:top w:w="60" w:type="dxa"/>
              <w:left w:w="100" w:type="dxa"/>
              <w:bottom w:w="60" w:type="dxa"/>
              <w:right w:w="100" w:type="dxa"/>
            </w:tcMar>
          </w:tcPr>
          <w:p w14:paraId="4CC07A67" w14:textId="77777777" w:rsidR="00E63E4D" w:rsidRDefault="00000000" w:rsidP="00A76B5F">
            <w:r>
              <w:rPr>
                <w:b/>
                <w:bCs/>
                <w:sz w:val="20"/>
                <w:szCs w:val="20"/>
                <w:rtl/>
              </w:rPr>
              <w:t>הממצא הרלוונטי</w:t>
            </w:r>
          </w:p>
        </w:tc>
      </w:tr>
      <w:tr w:rsidR="00E63E4D" w14:paraId="2A862BE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AB58108" w14:textId="77777777" w:rsidR="00E63E4D" w:rsidRDefault="00000000" w:rsidP="00A76B5F">
            <w:r>
              <w:rPr>
                <w:sz w:val="20"/>
                <w:szCs w:val="20"/>
                <w:rtl/>
              </w:rPr>
              <w:t>K1 מגמה</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023C2A1" w14:textId="77777777" w:rsidR="00E63E4D" w:rsidRDefault="00000000" w:rsidP="00A76B5F">
            <w:pPr>
              <w:bidi w:val="0"/>
            </w:pPr>
            <w:r>
              <w:rPr>
                <w:sz w:val="20"/>
                <w:szCs w:val="20"/>
              </w:rPr>
              <w:t>Jegadeesh &amp; Titman 1993, JF</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6EE9992" w14:textId="77777777" w:rsidR="00E63E4D" w:rsidRDefault="00000000" w:rsidP="00A76B5F">
            <w:r>
              <w:rPr>
                <w:sz w:val="20"/>
                <w:szCs w:val="20"/>
                <w:rtl/>
              </w:rPr>
              <w:t>מומנטום 3-12 חודשים, כ-1.3% לחודש</w:t>
            </w:r>
          </w:p>
        </w:tc>
      </w:tr>
      <w:tr w:rsidR="00E63E4D" w14:paraId="792E1B2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4F7A7C" w14:textId="77777777" w:rsidR="00E63E4D" w:rsidRDefault="00000000" w:rsidP="00A76B5F">
            <w:r>
              <w:rPr>
                <w:sz w:val="20"/>
                <w:szCs w:val="20"/>
                <w:rtl/>
              </w:rPr>
              <w:t>K2 בסיס צר</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1AD605" w14:textId="77777777" w:rsidR="00E63E4D" w:rsidRDefault="00000000" w:rsidP="00A76B5F">
            <w:pPr>
              <w:bidi w:val="0"/>
            </w:pPr>
            <w:r>
              <w:rPr>
                <w:sz w:val="20"/>
                <w:szCs w:val="20"/>
              </w:rPr>
              <w:t>Bulkowski; O'Neil; Minervini</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C9131BE" w14:textId="77777777" w:rsidR="00E63E4D" w:rsidRDefault="00000000" w:rsidP="00A76B5F">
            <w:r>
              <w:rPr>
                <w:sz w:val="20"/>
                <w:szCs w:val="20"/>
                <w:rtl/>
              </w:rPr>
              <w:t>איחוד צר לפני פריצה; 70-90% הצלחה בשוק נוח, כישלונות מוכפלים בשוק עוין</w:t>
            </w:r>
          </w:p>
        </w:tc>
      </w:tr>
      <w:tr w:rsidR="00E63E4D" w14:paraId="0CA286B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D41B1A" w14:textId="77777777" w:rsidR="00E63E4D" w:rsidRDefault="00000000" w:rsidP="00A76B5F">
            <w:r>
              <w:rPr>
                <w:sz w:val="20"/>
                <w:szCs w:val="20"/>
                <w:rtl/>
              </w:rPr>
              <w:t>K3 קרבה לשיא</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20AB5A" w14:textId="77777777" w:rsidR="00E63E4D" w:rsidRDefault="00000000" w:rsidP="00A76B5F">
            <w:pPr>
              <w:bidi w:val="0"/>
            </w:pPr>
            <w:r>
              <w:rPr>
                <w:sz w:val="20"/>
                <w:szCs w:val="20"/>
              </w:rPr>
              <w:t>George &amp; Hwang 2004, JF</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5AA617" w14:textId="77777777" w:rsidR="00E63E4D" w:rsidRDefault="00000000" w:rsidP="00A76B5F">
            <w:r>
              <w:rPr>
                <w:sz w:val="20"/>
                <w:szCs w:val="20"/>
                <w:rtl/>
              </w:rPr>
              <w:t>קרבה לשיא מנבאת טוב יותר מתשואות עבר, ללא היפוך ארוך טווח</w:t>
            </w:r>
          </w:p>
        </w:tc>
      </w:tr>
      <w:tr w:rsidR="00E63E4D" w14:paraId="3103939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16E376" w14:textId="77777777" w:rsidR="00E63E4D" w:rsidRDefault="00000000" w:rsidP="00A76B5F">
            <w:r>
              <w:rPr>
                <w:sz w:val="20"/>
                <w:szCs w:val="20"/>
                <w:rtl/>
              </w:rPr>
              <w:t>K4 נפח</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20FC8F" w14:textId="77777777" w:rsidR="00E63E4D" w:rsidRDefault="00000000" w:rsidP="00A76B5F">
            <w:pPr>
              <w:bidi w:val="0"/>
            </w:pPr>
            <w:r>
              <w:rPr>
                <w:sz w:val="20"/>
                <w:szCs w:val="20"/>
              </w:rPr>
              <w:t>Gervais et al. 2001; Lee &amp; Swaminathan 2000, JF</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85D9DC" w14:textId="77777777" w:rsidR="00E63E4D" w:rsidRDefault="00000000" w:rsidP="00A76B5F">
            <w:r>
              <w:rPr>
                <w:sz w:val="20"/>
                <w:szCs w:val="20"/>
                <w:rtl/>
              </w:rPr>
              <w:t>נפח חריג מנבא תשואה עודפת והתמדת מומנטום</w:t>
            </w:r>
          </w:p>
        </w:tc>
      </w:tr>
      <w:tr w:rsidR="00E63E4D" w14:paraId="7D736A60"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141799E" w14:textId="77777777" w:rsidR="00E63E4D" w:rsidRDefault="00000000" w:rsidP="00A76B5F">
            <w:r>
              <w:rPr>
                <w:sz w:val="20"/>
                <w:szCs w:val="20"/>
                <w:rtl/>
              </w:rPr>
              <w:t>K5 יחס סיכון</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7E38EF7" w14:textId="77777777" w:rsidR="00E63E4D" w:rsidRDefault="00000000" w:rsidP="00A76B5F">
            <w:r>
              <w:rPr>
                <w:sz w:val="20"/>
                <w:szCs w:val="20"/>
                <w:rtl/>
              </w:rPr>
              <w:t>מתמטיקת תוחלת; ניהול סיכונים</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FF0A193" w14:textId="77777777" w:rsidR="00E63E4D" w:rsidRDefault="00000000" w:rsidP="00A76B5F">
            <w:r>
              <w:rPr>
                <w:sz w:val="20"/>
                <w:szCs w:val="20"/>
                <w:rtl/>
              </w:rPr>
              <w:t>יחס 1:2.5 דורש רק כ-29% הצלחה לאיזון</w:t>
            </w:r>
          </w:p>
        </w:tc>
      </w:tr>
      <w:tr w:rsidR="00E63E4D" w14:paraId="508A352F"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C4ED52" w14:textId="77777777" w:rsidR="00E63E4D" w:rsidRDefault="00000000" w:rsidP="00A76B5F">
            <w:r>
              <w:rPr>
                <w:sz w:val="20"/>
                <w:szCs w:val="20"/>
                <w:rtl/>
              </w:rPr>
              <w:t>מסנן בטא</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D133C9" w14:textId="77777777" w:rsidR="00E63E4D" w:rsidRDefault="00000000" w:rsidP="00A76B5F">
            <w:pPr>
              <w:bidi w:val="0"/>
            </w:pPr>
            <w:r>
              <w:rPr>
                <w:sz w:val="20"/>
                <w:szCs w:val="20"/>
              </w:rPr>
              <w:t>Frazzini &amp; Pedersen 2014, JFE</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4BC8D6D" w14:textId="77777777" w:rsidR="00E63E4D" w:rsidRDefault="00000000" w:rsidP="00A76B5F">
            <w:r>
              <w:rPr>
                <w:sz w:val="20"/>
                <w:szCs w:val="20"/>
                <w:rtl/>
              </w:rPr>
              <w:t>בטא גבוהה = אלפא נמוכה (Betting Against Beta)</w:t>
            </w:r>
          </w:p>
        </w:tc>
      </w:tr>
      <w:tr w:rsidR="00E63E4D" w14:paraId="219931BF"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1273AD1" w14:textId="77777777" w:rsidR="00E63E4D" w:rsidRDefault="00000000" w:rsidP="00A76B5F">
            <w:r>
              <w:rPr>
                <w:sz w:val="20"/>
                <w:szCs w:val="20"/>
                <w:rtl/>
              </w:rPr>
              <w:t>משטר VIX</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9084F99" w14:textId="77777777" w:rsidR="00E63E4D" w:rsidRDefault="00000000" w:rsidP="00A76B5F">
            <w:pPr>
              <w:bidi w:val="0"/>
            </w:pPr>
            <w:r>
              <w:rPr>
                <w:sz w:val="20"/>
                <w:szCs w:val="20"/>
              </w:rPr>
              <w:t>Moreira &amp; Muir 2017, JF; Daniel &amp; Moskowitz 2016, JFE</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E27B19" w14:textId="77777777" w:rsidR="00E63E4D" w:rsidRDefault="00000000" w:rsidP="00A76B5F">
            <w:r>
              <w:rPr>
                <w:sz w:val="20"/>
                <w:szCs w:val="20"/>
                <w:rtl/>
              </w:rPr>
              <w:t>הפחתת חשיפה בתנודתיות גבוהה מעלה שארפ; קריסות מומנטום במצבי פאניקה</w:t>
            </w:r>
          </w:p>
        </w:tc>
      </w:tr>
      <w:tr w:rsidR="00E63E4D" w14:paraId="23EEF52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1620B1" w14:textId="77777777" w:rsidR="00E63E4D" w:rsidRDefault="00000000" w:rsidP="00A76B5F">
            <w:r>
              <w:rPr>
                <w:sz w:val="20"/>
                <w:szCs w:val="20"/>
                <w:rtl/>
              </w:rPr>
              <w:t>פיזור ותקצוב סיכון</w:t>
            </w:r>
          </w:p>
        </w:tc>
        <w:tc>
          <w:tcPr>
            <w:tcW w:w="30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F0D189" w14:textId="77777777" w:rsidR="00E63E4D" w:rsidRDefault="00000000" w:rsidP="00A76B5F">
            <w:pPr>
              <w:bidi w:val="0"/>
            </w:pPr>
            <w:r>
              <w:rPr>
                <w:sz w:val="20"/>
                <w:szCs w:val="20"/>
              </w:rPr>
              <w:t>Markowitz 1952, JF</w:t>
            </w:r>
          </w:p>
        </w:tc>
        <w:tc>
          <w:tcPr>
            <w:tcW w:w="4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5A34731" w14:textId="77777777" w:rsidR="00E63E4D" w:rsidRDefault="00000000" w:rsidP="00A76B5F">
            <w:r>
              <w:rPr>
                <w:sz w:val="20"/>
                <w:szCs w:val="20"/>
                <w:rtl/>
              </w:rPr>
              <w:t>תקרות מגזר ופוזיציה כיישום עקרון הפיזור</w:t>
            </w:r>
          </w:p>
        </w:tc>
      </w:tr>
    </w:tbl>
    <w:p w14:paraId="213F7E2F" w14:textId="77777777" w:rsidR="00E63E4D" w:rsidRDefault="00000000" w:rsidP="00A76B5F">
      <w:r>
        <w:br w:type="page"/>
      </w:r>
    </w:p>
    <w:p w14:paraId="1BD8A093" w14:textId="77777777" w:rsidR="00E63E4D" w:rsidRDefault="00000000" w:rsidP="00A76B5F">
      <w:pPr>
        <w:pStyle w:val="1"/>
        <w:bidi/>
      </w:pPr>
      <w:r>
        <w:rPr>
          <w:rtl/>
        </w:rPr>
        <w:lastRenderedPageBreak/>
        <w:t>11. ביבליוגרפיה - מקורות הניתנים לבדיקה</w:t>
      </w:r>
    </w:p>
    <w:p w14:paraId="6094F686" w14:textId="77777777" w:rsidR="00E63E4D" w:rsidRDefault="00000000" w:rsidP="00A76B5F">
      <w:pPr>
        <w:spacing w:after="100" w:line="300" w:lineRule="auto"/>
      </w:pPr>
      <w:r>
        <w:rPr>
          <w:rtl/>
        </w:rPr>
        <w:t xml:space="preserve">Jegadeesh, N. &amp; Titman, S. (1993). Returns to Buying Winners and Selling Losers. Journal of Finance 48(1), 65-91. </w:t>
      </w:r>
      <w:hyperlink r:id="rId5" w:history="1">
        <w:r>
          <w:rPr>
            <w:rStyle w:val="Hyperlink"/>
          </w:rPr>
          <w:t>https://onlinelibrary.wiley.com/doi/abs/10.1111/j.1540-6261.1993.tb04702.x</w:t>
        </w:r>
      </w:hyperlink>
    </w:p>
    <w:p w14:paraId="4DC26BB0" w14:textId="77777777" w:rsidR="00E63E4D" w:rsidRDefault="00000000" w:rsidP="00A76B5F">
      <w:pPr>
        <w:spacing w:after="100" w:line="300" w:lineRule="auto"/>
      </w:pPr>
      <w:r>
        <w:rPr>
          <w:rtl/>
        </w:rPr>
        <w:t xml:space="preserve">George, T. &amp; Hwang, C-Y. (2004). The 52-Week High and Momentum Investing. Journal of Finance 59(5), 2145-2176. </w:t>
      </w:r>
      <w:hyperlink r:id="rId6" w:history="1">
        <w:r>
          <w:rPr>
            <w:rStyle w:val="Hyperlink"/>
          </w:rPr>
          <w:t>https://onlinelibrary.wiley.com/doi/abs/10.1111/j.1540-6261.2004.00695.x</w:t>
        </w:r>
      </w:hyperlink>
    </w:p>
    <w:p w14:paraId="36AA2631" w14:textId="77777777" w:rsidR="00E63E4D" w:rsidRDefault="00000000" w:rsidP="00A76B5F">
      <w:pPr>
        <w:spacing w:after="100" w:line="300" w:lineRule="auto"/>
      </w:pPr>
      <w:r>
        <w:rPr>
          <w:rtl/>
        </w:rPr>
        <w:t xml:space="preserve">Gervais, S., Kaniel, R. &amp; Mingelgrin, D. (2001). The High-Volume Return Premium. Journal of Finance 56(3), 877-919. </w:t>
      </w:r>
      <w:hyperlink r:id="rId7" w:history="1">
        <w:r>
          <w:rPr>
            <w:rStyle w:val="Hyperlink"/>
          </w:rPr>
          <w:t>https://onlinelibrary.wiley.com/doi/abs/10.1111/0022-1082.00349</w:t>
        </w:r>
      </w:hyperlink>
    </w:p>
    <w:p w14:paraId="3887E4D1" w14:textId="77777777" w:rsidR="00E63E4D" w:rsidRDefault="00000000" w:rsidP="00A76B5F">
      <w:pPr>
        <w:spacing w:after="100" w:line="300" w:lineRule="auto"/>
      </w:pPr>
      <w:r>
        <w:rPr>
          <w:rtl/>
        </w:rPr>
        <w:t xml:space="preserve">Lee, C. &amp; Swaminathan, B. (2000). Price Momentum and Trading Volume. Journal of Finance 55(5), 2017-2069. </w:t>
      </w:r>
      <w:hyperlink r:id="rId8" w:history="1">
        <w:r>
          <w:rPr>
            <w:rStyle w:val="Hyperlink"/>
          </w:rPr>
          <w:t>https://onlinelibrary.wiley.com/doi/abs/10.1111/0022-1082.00280</w:t>
        </w:r>
      </w:hyperlink>
    </w:p>
    <w:p w14:paraId="5061F68C" w14:textId="77777777" w:rsidR="00E63E4D" w:rsidRDefault="00000000" w:rsidP="00A76B5F">
      <w:pPr>
        <w:spacing w:after="100" w:line="300" w:lineRule="auto"/>
      </w:pPr>
      <w:r>
        <w:rPr>
          <w:rtl/>
        </w:rPr>
        <w:t xml:space="preserve">Daniel, K. &amp; Moskowitz, T. (2016). Momentum Crashes. Journal of Financial Economics 122(2), 221-247. </w:t>
      </w:r>
      <w:hyperlink r:id="rId9" w:history="1">
        <w:r>
          <w:rPr>
            <w:rStyle w:val="Hyperlink"/>
          </w:rPr>
          <w:t>https://www.nber.org/papers/w20439</w:t>
        </w:r>
      </w:hyperlink>
    </w:p>
    <w:p w14:paraId="593C43C8" w14:textId="77777777" w:rsidR="00E63E4D" w:rsidRDefault="00000000" w:rsidP="00A76B5F">
      <w:pPr>
        <w:spacing w:after="100" w:line="300" w:lineRule="auto"/>
      </w:pPr>
      <w:r>
        <w:rPr>
          <w:rtl/>
        </w:rPr>
        <w:t xml:space="preserve">Frazzini, A. &amp; Pedersen, L.H. (2014). Betting Against Beta. Journal of Financial Economics 111(1), 1-25. </w:t>
      </w:r>
      <w:hyperlink r:id="rId10" w:history="1">
        <w:r>
          <w:rPr>
            <w:rStyle w:val="Hyperlink"/>
          </w:rPr>
          <w:t>https://research-api.cbs.dk/ws/portalfiles/portal/60082899/lasse_heje_pedersen_et_al_betting_against_beta_publishersversion.pdf</w:t>
        </w:r>
      </w:hyperlink>
    </w:p>
    <w:p w14:paraId="78013136" w14:textId="77777777" w:rsidR="00E63E4D" w:rsidRDefault="00000000" w:rsidP="00A76B5F">
      <w:pPr>
        <w:spacing w:after="100" w:line="300" w:lineRule="auto"/>
      </w:pPr>
      <w:r>
        <w:rPr>
          <w:rtl/>
        </w:rPr>
        <w:t xml:space="preserve">Moreira, A. &amp; Muir, T. (2017). Volatility-Managed Portfolios. Journal of Finance 72(4), 1611-1644. </w:t>
      </w:r>
      <w:hyperlink r:id="rId11" w:history="1">
        <w:r>
          <w:rPr>
            <w:rStyle w:val="Hyperlink"/>
          </w:rPr>
          <w:t>https://onlinelibrary.wiley.com/doi/abs/10.1111/jofi.12513</w:t>
        </w:r>
      </w:hyperlink>
    </w:p>
    <w:p w14:paraId="60C9D17C" w14:textId="77777777" w:rsidR="00E63E4D" w:rsidRDefault="00000000" w:rsidP="00A76B5F">
      <w:pPr>
        <w:spacing w:after="100" w:line="300" w:lineRule="auto"/>
      </w:pPr>
      <w:r>
        <w:rPr>
          <w:rtl/>
        </w:rPr>
        <w:t xml:space="preserve">Markowitz, H. (1952). Portfolio Selection. Journal of Finance 7(1), 77-91. </w:t>
      </w:r>
      <w:hyperlink r:id="rId12" w:history="1">
        <w:r>
          <w:rPr>
            <w:rStyle w:val="Hyperlink"/>
          </w:rPr>
          <w:t>https://onlinelibrary.wiley.com/doi/full/10.1111/j.1540-6261.1952.tb01525.x</w:t>
        </w:r>
      </w:hyperlink>
    </w:p>
    <w:p w14:paraId="39767F67" w14:textId="77777777" w:rsidR="00E63E4D" w:rsidRDefault="00000000" w:rsidP="00A76B5F">
      <w:pPr>
        <w:spacing w:after="100" w:line="300" w:lineRule="auto"/>
      </w:pPr>
      <w:r>
        <w:rPr>
          <w:rtl/>
        </w:rPr>
        <w:t xml:space="preserve">Bulkowski, T. Encyclopedia of Chart Patterns (Wiley). נתוני שיעורי כישלון: </w:t>
      </w:r>
      <w:hyperlink r:id="rId13" w:history="1">
        <w:r>
          <w:rPr>
            <w:rStyle w:val="Hyperlink"/>
          </w:rPr>
          <w:t>https://thepatternsite.com/FailureRates.html</w:t>
        </w:r>
      </w:hyperlink>
    </w:p>
    <w:p w14:paraId="120267D7" w14:textId="77777777" w:rsidR="00E63E4D" w:rsidRDefault="00000000" w:rsidP="00A76B5F">
      <w:pPr>
        <w:spacing w:after="120" w:line="312" w:lineRule="auto"/>
      </w:pPr>
      <w:r>
        <w:rPr>
          <w:color w:val="555555"/>
          <w:sz w:val="20"/>
          <w:szCs w:val="20"/>
          <w:rtl/>
        </w:rPr>
        <w:t>ספרות מעשית משלימה: O'Neil, W. - How to Make Money in Stocks (CAN SLIM); Minervini, M. - Trade Like a Stock Market Wizard (VCP).</w:t>
      </w:r>
    </w:p>
    <w:p w14:paraId="01565948" w14:textId="77777777" w:rsidR="00E63E4D" w:rsidRDefault="00000000" w:rsidP="00A76B5F">
      <w:pPr>
        <w:spacing w:before="200"/>
      </w:pPr>
      <w:r>
        <w:rPr>
          <w:i/>
          <w:iCs/>
          <w:color w:val="777777"/>
          <w:sz w:val="18"/>
          <w:szCs w:val="18"/>
          <w:rtl/>
        </w:rPr>
        <w:t>גילוי נאות: דוח זה הוא ניתוח מתודולוגי ואינו ייעוץ השקעות. ביצועי עבר ומחקרים אקדמיים אינם ערובה לתוצאות עתידיות.</w:t>
      </w:r>
    </w:p>
    <w:sectPr w:rsidR="00E63E4D">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6351"/>
    <w:multiLevelType w:val="hybridMultilevel"/>
    <w:tmpl w:val="60C6FD9A"/>
    <w:lvl w:ilvl="0" w:tplc="B880948C">
      <w:start w:val="1"/>
      <w:numFmt w:val="bullet"/>
      <w:lvlText w:val="●"/>
      <w:lvlJc w:val="left"/>
      <w:pPr>
        <w:ind w:left="720" w:hanging="360"/>
      </w:pPr>
    </w:lvl>
    <w:lvl w:ilvl="1" w:tplc="461403F0">
      <w:start w:val="1"/>
      <w:numFmt w:val="bullet"/>
      <w:lvlText w:val="○"/>
      <w:lvlJc w:val="left"/>
      <w:pPr>
        <w:ind w:left="1440" w:hanging="360"/>
      </w:pPr>
    </w:lvl>
    <w:lvl w:ilvl="2" w:tplc="48963792">
      <w:start w:val="1"/>
      <w:numFmt w:val="bullet"/>
      <w:lvlText w:val="■"/>
      <w:lvlJc w:val="left"/>
      <w:pPr>
        <w:ind w:left="2160" w:hanging="360"/>
      </w:pPr>
    </w:lvl>
    <w:lvl w:ilvl="3" w:tplc="3CA261A2">
      <w:start w:val="1"/>
      <w:numFmt w:val="bullet"/>
      <w:lvlText w:val="●"/>
      <w:lvlJc w:val="left"/>
      <w:pPr>
        <w:ind w:left="2880" w:hanging="360"/>
      </w:pPr>
    </w:lvl>
    <w:lvl w:ilvl="4" w:tplc="0FCEB8D4">
      <w:start w:val="1"/>
      <w:numFmt w:val="bullet"/>
      <w:lvlText w:val="○"/>
      <w:lvlJc w:val="left"/>
      <w:pPr>
        <w:ind w:left="3600" w:hanging="360"/>
      </w:pPr>
    </w:lvl>
    <w:lvl w:ilvl="5" w:tplc="23B41814">
      <w:start w:val="1"/>
      <w:numFmt w:val="bullet"/>
      <w:lvlText w:val="■"/>
      <w:lvlJc w:val="left"/>
      <w:pPr>
        <w:ind w:left="4320" w:hanging="360"/>
      </w:pPr>
    </w:lvl>
    <w:lvl w:ilvl="6" w:tplc="F5789F1C">
      <w:start w:val="1"/>
      <w:numFmt w:val="bullet"/>
      <w:lvlText w:val="●"/>
      <w:lvlJc w:val="left"/>
      <w:pPr>
        <w:ind w:left="5040" w:hanging="360"/>
      </w:pPr>
    </w:lvl>
    <w:lvl w:ilvl="7" w:tplc="904A02F0">
      <w:start w:val="1"/>
      <w:numFmt w:val="bullet"/>
      <w:lvlText w:val="●"/>
      <w:lvlJc w:val="left"/>
      <w:pPr>
        <w:ind w:left="5760" w:hanging="360"/>
      </w:pPr>
    </w:lvl>
    <w:lvl w:ilvl="8" w:tplc="1CFC3BFA">
      <w:start w:val="1"/>
      <w:numFmt w:val="bullet"/>
      <w:lvlText w:val="●"/>
      <w:lvlJc w:val="left"/>
      <w:pPr>
        <w:ind w:left="6480" w:hanging="360"/>
      </w:pPr>
    </w:lvl>
  </w:abstractNum>
  <w:abstractNum w:abstractNumId="1" w15:restartNumberingAfterBreak="0">
    <w:nsid w:val="43014EFA"/>
    <w:multiLevelType w:val="hybridMultilevel"/>
    <w:tmpl w:val="36A841F8"/>
    <w:lvl w:ilvl="0" w:tplc="2304BE50">
      <w:start w:val="1"/>
      <w:numFmt w:val="bullet"/>
      <w:lvlText w:val="•"/>
      <w:lvlJc w:val="right"/>
      <w:pPr>
        <w:ind w:right="360" w:hanging="220"/>
      </w:pPr>
    </w:lvl>
    <w:lvl w:ilvl="1" w:tplc="A7A4E3D6">
      <w:numFmt w:val="decimal"/>
      <w:lvlText w:val=""/>
      <w:lvlJc w:val="left"/>
    </w:lvl>
    <w:lvl w:ilvl="2" w:tplc="19F2BD34">
      <w:numFmt w:val="decimal"/>
      <w:lvlText w:val=""/>
      <w:lvlJc w:val="left"/>
    </w:lvl>
    <w:lvl w:ilvl="3" w:tplc="EC946EEE">
      <w:numFmt w:val="decimal"/>
      <w:lvlText w:val=""/>
      <w:lvlJc w:val="left"/>
    </w:lvl>
    <w:lvl w:ilvl="4" w:tplc="1406A5EE">
      <w:numFmt w:val="decimal"/>
      <w:lvlText w:val=""/>
      <w:lvlJc w:val="left"/>
    </w:lvl>
    <w:lvl w:ilvl="5" w:tplc="15E8D13E">
      <w:numFmt w:val="decimal"/>
      <w:lvlText w:val=""/>
      <w:lvlJc w:val="left"/>
    </w:lvl>
    <w:lvl w:ilvl="6" w:tplc="D8921AC8">
      <w:numFmt w:val="decimal"/>
      <w:lvlText w:val=""/>
      <w:lvlJc w:val="left"/>
    </w:lvl>
    <w:lvl w:ilvl="7" w:tplc="F2F67FC0">
      <w:numFmt w:val="decimal"/>
      <w:lvlText w:val=""/>
      <w:lvlJc w:val="left"/>
    </w:lvl>
    <w:lvl w:ilvl="8" w:tplc="7F764A80">
      <w:numFmt w:val="decimal"/>
      <w:lvlText w:val=""/>
      <w:lvlJc w:val="left"/>
    </w:lvl>
  </w:abstractNum>
  <w:num w:numId="1" w16cid:durableId="360473908">
    <w:abstractNumId w:val="0"/>
    <w:lvlOverride w:ilvl="0">
      <w:startOverride w:val="1"/>
    </w:lvlOverride>
  </w:num>
  <w:num w:numId="2" w16cid:durableId="13848635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E4D"/>
    <w:rsid w:val="00826413"/>
    <w:rsid w:val="00A76B5F"/>
    <w:rsid w:val="00E63E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06D6"/>
  <w15:docId w15:val="{2F0CE87A-0AE2-489F-82EF-EF6276385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80" w:after="160"/>
      <w:outlineLvl w:val="0"/>
    </w:pPr>
    <w:rPr>
      <w:b/>
      <w:bCs/>
      <w:color w:val="1F4E79"/>
      <w:sz w:val="30"/>
      <w:szCs w:val="30"/>
    </w:rPr>
  </w:style>
  <w:style w:type="paragraph" w:styleId="2">
    <w:name w:val="heading 2"/>
    <w:uiPriority w:val="9"/>
    <w:unhideWhenUsed/>
    <w:qFormat/>
    <w:pPr>
      <w:spacing w:before="200" w:after="100"/>
      <w:outlineLvl w:val="1"/>
    </w:pPr>
    <w:rPr>
      <w:b/>
      <w:bCs/>
      <w:color w:val="2E75B6"/>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linelibrary.wiley.com/doi/abs/10.1111/0022-1082.00280" TargetMode="External"/><Relationship Id="rId13" Type="http://schemas.openxmlformats.org/officeDocument/2006/relationships/hyperlink" Target="https://thepatternsite.com/FailureRates.html" TargetMode="External"/><Relationship Id="rId3" Type="http://schemas.openxmlformats.org/officeDocument/2006/relationships/settings" Target="settings.xml"/><Relationship Id="rId7" Type="http://schemas.openxmlformats.org/officeDocument/2006/relationships/hyperlink" Target="https://onlinelibrary.wiley.com/doi/abs/10.1111/0022-1082.00349" TargetMode="External"/><Relationship Id="rId12" Type="http://schemas.openxmlformats.org/officeDocument/2006/relationships/hyperlink" Target="https://onlinelibrary.wiley.com/doi/full/10.1111/j.1540-6261.1952.tb01525.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abs/10.1111/j.1540-6261.2004.00695.x" TargetMode="External"/><Relationship Id="rId11" Type="http://schemas.openxmlformats.org/officeDocument/2006/relationships/hyperlink" Target="https://onlinelibrary.wiley.com/doi/abs/10.1111/jofi.12513" TargetMode="External"/><Relationship Id="rId5" Type="http://schemas.openxmlformats.org/officeDocument/2006/relationships/hyperlink" Target="https://onlinelibrary.wiley.com/doi/abs/10.1111/j.1540-6261.1993.tb04702.x" TargetMode="External"/><Relationship Id="rId15" Type="http://schemas.openxmlformats.org/officeDocument/2006/relationships/theme" Target="theme/theme1.xml"/><Relationship Id="rId10" Type="http://schemas.openxmlformats.org/officeDocument/2006/relationships/hyperlink" Target="https://research-api.cbs.dk/ws/portalfiles/portal/60082899/lasse_heje_pedersen_et_al_betting_against_beta_publishersversion.pdf" TargetMode="External"/><Relationship Id="rId4" Type="http://schemas.openxmlformats.org/officeDocument/2006/relationships/webSettings" Target="webSettings.xml"/><Relationship Id="rId9" Type="http://schemas.openxmlformats.org/officeDocument/2006/relationships/hyperlink" Target="https://www.nber.org/papers/w20439" TargetMode="External"/><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2468</Words>
  <Characters>12342</Characters>
  <Application>Microsoft Office Word</Application>
  <DocSecurity>0</DocSecurity>
  <Lines>102</Lines>
  <Paragraphs>29</Paragraphs>
  <ScaleCrop>false</ScaleCrop>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אבי חזן - פתרונות זהב</cp:lastModifiedBy>
  <cp:revision>2</cp:revision>
  <dcterms:created xsi:type="dcterms:W3CDTF">2026-06-12T16:51:00Z</dcterms:created>
  <dcterms:modified xsi:type="dcterms:W3CDTF">2026-06-12T16:51:00Z</dcterms:modified>
</cp:coreProperties>
</file>