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120"/>
        <w:jc w:val="center"/>
      </w:pPr>
      <w:r>
        <w:rPr>
          <w:rFonts w:ascii="Arial" w:cs="Arial" w:eastAsia="Arial" w:hAnsi="Arial"/>
          <w:b/>
          <w:bCs/>
          <w:color w:val="1F4E79"/>
          <w:sz w:val="26"/>
          <w:szCs w:val="26"/>
        </w:rPr>
        <w:t xml:space="preserve">AVI HUNTER</w:t>
      </w:r>
    </w:p>
    <w:p>
      <w:pPr>
        <w:bidi/>
        <w:spacing w:after="40"/>
        <w:jc w:val="center"/>
      </w:pPr>
      <w:r>
        <w:rPr>
          <w:rFonts w:ascii="Arial" w:cs="Arial" w:eastAsia="Arial" w:hAnsi="Arial"/>
          <w:b/>
          <w:bCs/>
          <w:color w:val="000000"/>
          <w:sz w:val="36"/>
          <w:szCs w:val="36"/>
          <w:rtl/>
        </w:rPr>
        <w:t xml:space="preserve">דוקטרינת Core-Satellite + תוכנית פריסת הון</w:t>
      </w:r>
    </w:p>
    <w:p>
      <w:pPr>
        <w:bidi/>
        <w:spacing w:after="200"/>
        <w:jc w:val="center"/>
      </w:pPr>
      <w:r>
        <w:rPr>
          <w:rFonts w:ascii="Arial" w:cs="Arial" w:eastAsia="Arial" w:hAnsi="Arial"/>
          <w:i/>
          <w:iCs/>
          <w:color w:val="595959"/>
          <w:sz w:val="20"/>
          <w:szCs w:val="20"/>
          <w:rtl/>
        </w:rPr>
        <w:t xml:space="preserve">מסמך אסטרטגי | 16 ביוני 2026 | חשבון IBKR U24234851</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9360"/>
      </w:tblGrid>
      <w:tr>
        <w:tc>
          <w:tcPr>
            <w:tcW w:type="dxa" w:w="9360"/>
            <w:shd w:fill="D5E8F0" w:val="clear"/>
            <w:tcMar>
              <w:top w:type="dxa" w:w="70"/>
              <w:left w:type="dxa" w:w="110"/>
              <w:bottom w:type="dxa" w:w="70"/>
              <w:right w:type="dxa" w:w="110"/>
            </w:tcMar>
            <w:vAlign w:val="center"/>
          </w:tcPr>
          <w:p>
            <w:pPr>
              <w:bidi/>
              <w:spacing w:after="80" w:before="0" w:line="276"/>
              <w:jc w:val="right"/>
            </w:pPr>
            <w:r>
              <w:rPr>
                <w:rFonts w:ascii="Arial" w:cs="Arial" w:eastAsia="Arial" w:hAnsi="Arial"/>
                <w:b/>
                <w:bCs/>
                <w:color w:val="1F4E79"/>
                <w:sz w:val="24"/>
                <w:szCs w:val="24"/>
                <w:rtl/>
              </w:rPr>
              <w:t xml:space="preserve">תקציר מנהלים</w:t>
            </w:r>
          </w:p>
          <w:p>
            <w:pPr>
              <w:bidi/>
              <w:spacing w:after="0" w:before="0" w:line="276"/>
              <w:jc w:val="right"/>
            </w:pPr>
            <w:r>
              <w:rPr>
                <w:rFonts w:ascii="Arial" w:cs="Arial" w:eastAsia="Arial" w:hAnsi="Arial"/>
                <w:b w:val="false"/>
                <w:bCs w:val="false"/>
                <w:i w:val="false"/>
                <w:iCs w:val="false"/>
                <w:color w:val="000000"/>
                <w:sz w:val="22"/>
                <w:szCs w:val="22"/>
                <w:rtl/>
              </w:rPr>
              <w:t xml:space="preserve">חמש בדיקות edge עצמאיות הוכיחו שלסווינג/תזמון טכני על מניות גדולות בארה"ב </w:t>
            </w:r>
            <w:r>
              <w:rPr>
                <w:rFonts w:ascii="Arial" w:cs="Arial" w:eastAsia="Arial" w:hAnsi="Arial"/>
                <w:b/>
                <w:bCs/>
                <w:i w:val="false"/>
                <w:iCs w:val="false"/>
                <w:color w:val="000000"/>
                <w:sz w:val="22"/>
                <w:szCs w:val="22"/>
                <w:rtl/>
              </w:rPr>
              <w:t xml:space="preserve">אין אלפא מוכח</w:t>
            </w:r>
            <w:r>
              <w:rPr>
                <w:rFonts w:ascii="Arial" w:cs="Arial" w:eastAsia="Arial" w:hAnsi="Arial"/>
                <w:b w:val="false"/>
                <w:bCs w:val="false"/>
                <w:i w:val="false"/>
                <w:iCs w:val="false"/>
                <w:color w:val="000000"/>
                <w:sz w:val="22"/>
                <w:szCs w:val="22"/>
                <w:rtl/>
              </w:rPr>
              <w:t xml:space="preserve"> (CAGR 1.47% מול ~9-10% של SPY). המסקנה: המנוע האמין היחיד הוא </w:t>
            </w:r>
            <w:r>
              <w:rPr>
                <w:rFonts w:ascii="Arial" w:cs="Arial" w:eastAsia="Arial" w:hAnsi="Arial"/>
                <w:b/>
                <w:bCs/>
                <w:i w:val="false"/>
                <w:iCs w:val="false"/>
                <w:color w:val="000000"/>
                <w:sz w:val="22"/>
                <w:szCs w:val="22"/>
                <w:rtl/>
              </w:rPr>
              <w:t xml:space="preserve">ליבת מדד</w:t>
            </w:r>
            <w:r>
              <w:rPr>
                <w:rFonts w:ascii="Arial" w:cs="Arial" w:eastAsia="Arial" w:hAnsi="Arial"/>
                <w:b w:val="false"/>
                <w:bCs w:val="false"/>
                <w:i w:val="false"/>
                <w:iCs w:val="false"/>
                <w:color w:val="000000"/>
                <w:sz w:val="22"/>
                <w:szCs w:val="22"/>
                <w:rtl/>
              </w:rPr>
              <w:t xml:space="preserve">. מסמך זה קובע את דוקטרינת ה-Core-Satellite שמחליפה את יעד הפנטזיה של 30% תשואה שנתית, ומתרגם אותה לתוכנית פריסה קונקרטית של מזומן בהיקף ~₪673K שיושב כיום ALL CASH ונשחק.</w:t>
            </w:r>
          </w:p>
        </w:tc>
      </w:tr>
    </w:tbl>
    <w:p>
      <w:pPr>
        <w:bidi/>
        <w:spacing w:after="60" w:before="0" w:line="276"/>
        <w:jc w:val="right"/>
      </w:pPr>
      <w:r>
        <w:rPr>
          <w:rFonts w:ascii="Arial" w:cs="Arial" w:eastAsia="Arial" w:hAnsi="Arial"/>
          <w:b w:val="false"/>
          <w:bCs w:val="false"/>
          <w:i w:val="false"/>
          <w:iCs w:val="false"/>
          <w:color w:val="000000"/>
          <w:sz w:val="22"/>
          <w:szCs w:val="22"/>
          <w:rtl/>
        </w:rPr>
        <w:t xml:space="preserve"/>
      </w:r>
    </w:p>
    <w:p>
      <w:pPr>
        <w:shd w:fill="1F4E79" w:val="clear"/>
        <w:bidi/>
        <w:spacing w:after="120" w:before="120"/>
        <w:jc w:val="center"/>
      </w:pPr>
      <w:r>
        <w:rPr>
          <w:rFonts w:ascii="Arial" w:cs="Arial" w:eastAsia="Arial" w:hAnsi="Arial"/>
          <w:b/>
          <w:bCs/>
          <w:color w:val="FFFFFF"/>
          <w:sz w:val="28"/>
          <w:szCs w:val="28"/>
          <w:rtl/>
        </w:rPr>
        <w:t xml:space="preserve">חלק א׳ — הדוקטרינה</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1. הרקע: למה אנחנו כאן</w:t>
      </w:r>
    </w:p>
    <w:p>
      <w:pPr>
        <w:bidi/>
        <w:spacing w:after="120" w:before="0" w:line="276"/>
        <w:jc w:val="right"/>
      </w:pPr>
      <w:r>
        <w:rPr>
          <w:rFonts w:ascii="Arial" w:cs="Arial" w:eastAsia="Arial" w:hAnsi="Arial"/>
          <w:b w:val="false"/>
          <w:bCs w:val="false"/>
          <w:i w:val="false"/>
          <w:iCs w:val="false"/>
          <w:color w:val="000000"/>
          <w:sz w:val="22"/>
          <w:szCs w:val="22"/>
          <w:rtl/>
        </w:rPr>
        <w:t xml:space="preserve">העבודה האמפירית של החודשים האחרונים הגיעה למסקנה עקבית, ואמיצה. חמש בדיקות נפרדות, כל אחת על מאות-אלפי עסקאות לאורך 10 שנים, מול SPY ומול יום אקראי ו-walk-forward, נתנו את אותה תשובה:</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3600"/>
        <w:gridCol w:w="2300"/>
        <w:gridCol w:w="3460"/>
      </w:tblGrid>
      <w:tr>
        <w:tc>
          <w:tcPr>
            <w:tcW w:type="dxa" w:w="3600"/>
            <w:shd w:fill="1F4E79" w:val="clear"/>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FFFFFF"/>
                <w:sz w:val="22"/>
                <w:szCs w:val="22"/>
                <w:rtl/>
              </w:rPr>
              <w:t xml:space="preserve">בדיקה</w:t>
            </w:r>
          </w:p>
        </w:tc>
        <w:tc>
          <w:tcPr>
            <w:tcW w:type="dxa" w:w="230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תוצאה</w:t>
            </w:r>
          </w:p>
        </w:tc>
        <w:tc>
          <w:tcPr>
            <w:tcW w:type="dxa" w:w="346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שנים חיוביות</w:t>
            </w:r>
          </w:p>
        </w:tc>
      </w:tr>
      <w:tr>
        <w:tc>
          <w:tcPr>
            <w:tcW w:type="dxa" w:w="360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יציאות (Fixed/Chandelier/Scaled)</w:t>
            </w:r>
          </w:p>
        </w:tc>
        <w:tc>
          <w:tcPr>
            <w:tcW w:type="dxa" w:w="230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Fixed מנצח, לא מובהק</w:t>
            </w:r>
          </w:p>
        </w:tc>
        <w:tc>
          <w:tcPr>
            <w:tcW w:type="dxa" w:w="346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w:t>
            </w:r>
          </w:p>
        </w:tc>
      </w:tr>
      <w:tr>
        <w:tc>
          <w:tcPr>
            <w:tcW w:type="dxa" w:w="360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5★ מקורי (קונה בשיא)</w:t>
            </w:r>
          </w:p>
        </w:tc>
        <w:tc>
          <w:tcPr>
            <w:tcW w:type="dxa" w:w="230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+0.89% / אלפא −0.37%</w:t>
            </w:r>
          </w:p>
        </w:tc>
        <w:tc>
          <w:tcPr>
            <w:tcW w:type="dxa" w:w="346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5 מתוך 10</w:t>
            </w:r>
          </w:p>
        </w:tc>
      </w:tr>
      <w:tr>
        <w:tc>
          <w:tcPr>
            <w:tcW w:type="dxa" w:w="360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כניסה מוקדמת + חוזק יחסי</w:t>
            </w:r>
          </w:p>
        </w:tc>
        <w:tc>
          <w:tcPr>
            <w:tcW w:type="dxa" w:w="230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+3.16% (הכי יציב)</w:t>
            </w:r>
          </w:p>
        </w:tc>
        <w:tc>
          <w:tcPr>
            <w:tcW w:type="dxa" w:w="346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9 מתוך 10</w:t>
            </w:r>
          </w:p>
        </w:tc>
      </w:tr>
      <w:tr>
        <w:tc>
          <w:tcPr>
            <w:tcW w:type="dxa" w:w="360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מנהיגים + סטופ נגרר + VIX&lt;20</w:t>
            </w:r>
          </w:p>
        </w:tc>
        <w:tc>
          <w:tcPr>
            <w:tcW w:type="dxa" w:w="230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whipsaw, נחות</w:t>
            </w:r>
          </w:p>
        </w:tc>
        <w:tc>
          <w:tcPr>
            <w:tcW w:type="dxa" w:w="346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5 מתוך 10</w:t>
            </w:r>
          </w:p>
        </w:tc>
      </w:tr>
      <w:tr>
        <w:tc>
          <w:tcPr>
            <w:tcW w:type="dxa" w:w="360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30/2/8 (שיטת 17.2)</w:t>
            </w:r>
          </w:p>
        </w:tc>
        <w:tc>
          <w:tcPr>
            <w:tcW w:type="dxa" w:w="230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יעד 30% הושג ב-0%</w:t>
            </w:r>
          </w:p>
        </w:tc>
        <w:tc>
          <w:tcPr>
            <w:tcW w:type="dxa" w:w="346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8 מתוך 10</w:t>
            </w:r>
          </w:p>
        </w:tc>
      </w:tr>
    </w:tbl>
    <w:p>
      <w:pPr>
        <w:bidi/>
        <w:spacing w:after="120" w:before="80" w:line="276"/>
        <w:jc w:val="right"/>
      </w:pPr>
      <w:r>
        <w:rPr>
          <w:rFonts w:ascii="Arial" w:cs="Arial" w:eastAsia="Arial" w:hAnsi="Arial"/>
          <w:b/>
          <w:bCs/>
          <w:i w:val="false"/>
          <w:iCs w:val="false"/>
          <w:color w:val="000000"/>
          <w:sz w:val="22"/>
          <w:szCs w:val="22"/>
          <w:rtl/>
        </w:rPr>
        <w:t xml:space="preserve">המסקנה העקבית: </w:t>
      </w:r>
      <w:r>
        <w:rPr>
          <w:rFonts w:ascii="Arial" w:cs="Arial" w:eastAsia="Arial" w:hAnsi="Arial"/>
          <w:b w:val="false"/>
          <w:bCs w:val="false"/>
          <w:i w:val="false"/>
          <w:iCs w:val="false"/>
          <w:color w:val="000000"/>
          <w:sz w:val="22"/>
          <w:szCs w:val="22"/>
          <w:rtl/>
        </w:rPr>
        <w:t xml:space="preserve">לתזמון טכני על מניות גדולות בארה"ב אין יתרון מוכח. ה-"1:6" של 30/2/8 הוא תיאורטי בלבד - תשואה של 30% תוך חודש כמעט לא קורה במציאות (74% מהעסקאות הסתיימו כ"כסף מת").</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2. הסתירה שיש להכריע</w:t>
      </w:r>
    </w:p>
    <w:p>
      <w:pPr>
        <w:bidi/>
        <w:spacing w:after="120" w:before="0" w:line="276"/>
        <w:jc w:val="right"/>
      </w:pPr>
      <w:r>
        <w:rPr>
          <w:rFonts w:ascii="Arial" w:cs="Arial" w:eastAsia="Arial" w:hAnsi="Arial"/>
          <w:b w:val="false"/>
          <w:bCs w:val="false"/>
          <w:i w:val="false"/>
          <w:iCs w:val="false"/>
          <w:color w:val="000000"/>
          <w:sz w:val="22"/>
          <w:szCs w:val="22"/>
          <w:rtl/>
        </w:rPr>
        <w:t xml:space="preserve">שני גופי העבודה שלך סותרים זה את זה, וזו ההכרעה המרכזית של המסמך הזה:</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מסמכי 5★ (מפת הדרכים + יומן השינויים) כנים: </w:t>
      </w:r>
      <w:r>
        <w:rPr>
          <w:rFonts w:ascii="Arial" w:cs="Arial" w:eastAsia="Arial" w:hAnsi="Arial"/>
          <w:b w:val="false"/>
          <w:bCs w:val="false"/>
          <w:i w:val="false"/>
          <w:iCs w:val="false"/>
          <w:color w:val="000000"/>
          <w:sz w:val="22"/>
          <w:szCs w:val="22"/>
          <w:rtl/>
        </w:rPr>
        <w:t xml:space="preserve">"עדיין אין יתרון מוכח. לא ייצרנו רווחיות - בנינו את המכונה שתגיד לנו, מהר וזול, אם רווחיות קיימת." הם אף קבעו רף אור-ירוק נוקשה: לנצח את SPY מותאם-סיכון, רף ביטחון 95%, מינ׳ 20 עסקאות.</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מסמך 17.2 (Trading Commander) </w:t>
      </w:r>
      <w:r>
        <w:rPr>
          <w:rFonts w:ascii="Arial" w:cs="Arial" w:eastAsia="Arial" w:hAnsi="Arial"/>
          <w:b w:val="false"/>
          <w:bCs w:val="false"/>
          <w:i w:val="false"/>
          <w:iCs w:val="false"/>
          <w:color w:val="000000"/>
          <w:sz w:val="22"/>
          <w:szCs w:val="22"/>
          <w:rtl/>
        </w:rPr>
        <w:t xml:space="preserve">עדיין נושא יעד של </w:t>
      </w:r>
      <w:r>
        <w:rPr>
          <w:rFonts w:ascii="Arial" w:cs="Arial" w:eastAsia="Arial" w:hAnsi="Arial"/>
          <w:b/>
          <w:bCs/>
          <w:i w:val="false"/>
          <w:iCs w:val="false"/>
          <w:color w:val="000000"/>
          <w:sz w:val="22"/>
          <w:szCs w:val="22"/>
          <w:rtl/>
        </w:rPr>
        <w:t xml:space="preserve">30% תשואה שנתית ו-Sharpe מעל 2</w:t>
      </w:r>
      <w:r>
        <w:rPr>
          <w:rFonts w:ascii="Arial" w:cs="Arial" w:eastAsia="Arial" w:hAnsi="Arial"/>
          <w:b w:val="false"/>
          <w:bCs w:val="false"/>
          <w:i w:val="false"/>
          <w:iCs w:val="false"/>
          <w:color w:val="000000"/>
          <w:sz w:val="22"/>
          <w:szCs w:val="22"/>
          <w:rtl/>
        </w:rPr>
        <w:t xml:space="preserve"> - יעדים שהעבודה האמפירית שלך עצמך כבר הפריכה. זהו הוו הפסיכולוגי המסוכן ביותר במערכת: הוא מה שידחוף הון אמיתי לאסטרטגיה שמתמטית מניבה 1.47%.</w:t>
      </w:r>
    </w:p>
    <w:p>
      <w:pPr>
        <w:shd w:fill="FFF2CC" w:val="clear"/>
        <w:bidi/>
        <w:spacing w:after="120" w:before="0" w:line="276"/>
        <w:jc w:val="right"/>
      </w:pPr>
      <w:r>
        <w:rPr>
          <w:rFonts w:ascii="Arial" w:cs="Arial" w:eastAsia="Arial" w:hAnsi="Arial"/>
          <w:b/>
          <w:bCs/>
          <w:i w:val="false"/>
          <w:iCs w:val="false"/>
          <w:color w:val="000000"/>
          <w:sz w:val="22"/>
          <w:szCs w:val="22"/>
          <w:rtl/>
        </w:rPr>
        <w:t xml:space="preserve">האמת המקצועית: </w:t>
      </w:r>
      <w:r>
        <w:rPr>
          <w:rFonts w:ascii="Arial" w:cs="Arial" w:eastAsia="Arial" w:hAnsi="Arial"/>
          <w:b w:val="false"/>
          <w:bCs w:val="false"/>
          <w:i w:val="false"/>
          <w:iCs w:val="false"/>
          <w:color w:val="000000"/>
          <w:sz w:val="22"/>
          <w:szCs w:val="22"/>
          <w:rtl/>
        </w:rPr>
        <w:t xml:space="preserve">יעד 30% אינו "שאיפה" - הוא מלכודת. כל עוד הוא רשום כיעד, הוא יטה החלטות הון לכיוון הלא נכון. הדוקטרינה הזו מבטלת אותו במפורש.</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3. עקרון ה-Core-Satellite</w:t>
      </w:r>
    </w:p>
    <w:p>
      <w:pPr>
        <w:bidi/>
        <w:spacing w:after="120" w:before="0" w:line="276"/>
        <w:jc w:val="right"/>
      </w:pPr>
      <w:r>
        <w:rPr>
          <w:rFonts w:ascii="Arial" w:cs="Arial" w:eastAsia="Arial" w:hAnsi="Arial"/>
          <w:b w:val="false"/>
          <w:bCs w:val="false"/>
          <w:i w:val="false"/>
          <w:iCs w:val="false"/>
          <w:color w:val="000000"/>
          <w:sz w:val="22"/>
          <w:szCs w:val="22"/>
          <w:rtl/>
        </w:rPr>
        <w:t xml:space="preserve">המעבר המהותי: מ"לנצח את השוק בתזמון" ל"להחזיק את השוק, ולתת ללוויין קטן הזדמנות להוכיח את עצמו בסיכון קשוח".</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900"/>
        <w:gridCol w:w="2400"/>
        <w:gridCol w:w="5060"/>
      </w:tblGrid>
      <w:tr>
        <w:tc>
          <w:tcPr>
            <w:tcW w:type="dxa" w:w="190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שכבה</w:t>
            </w:r>
          </w:p>
        </w:tc>
        <w:tc>
          <w:tcPr>
            <w:tcW w:type="dxa" w:w="240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הקצאה</w:t>
            </w:r>
          </w:p>
        </w:tc>
        <w:tc>
          <w:tcPr>
            <w:tcW w:type="dxa" w:w="5060"/>
            <w:shd w:fill="1F4E79" w:val="clear"/>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FFFFFF"/>
                <w:sz w:val="22"/>
                <w:szCs w:val="22"/>
                <w:rtl/>
              </w:rPr>
              <w:t xml:space="preserve">תפקיד</w:t>
            </w:r>
          </w:p>
        </w:tc>
      </w:tr>
      <w:tr>
        <w:tc>
          <w:tcPr>
            <w:tcW w:type="dxa" w:w="1900"/>
            <w:shd w:fill="E2EFDA"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000000"/>
                <w:sz w:val="22"/>
                <w:szCs w:val="22"/>
                <w:rtl/>
              </w:rPr>
              <w:t xml:space="preserve">ליבה</w:t>
            </w:r>
          </w:p>
        </w:tc>
        <w:tc>
          <w:tcPr>
            <w:tcW w:type="dxa" w:w="2400"/>
            <w:shd w:fill="E2EFDA"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60%-80%</w:t>
            </w:r>
          </w:p>
        </w:tc>
        <w:tc>
          <w:tcPr>
            <w:tcW w:type="dxa" w:w="5060"/>
            <w:shd w:fill="E2EFDA"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תעודות סל מדד רחב. המנוע האמין. יעד = תשואת שוק. אחזקה, לא תזמון.</w:t>
            </w:r>
          </w:p>
        </w:tc>
      </w:tr>
      <w:tr>
        <w:tc>
          <w:tcPr>
            <w:tcW w:type="dxa" w:w="1900"/>
            <w:shd w:fill="FFF2CC"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000000"/>
                <w:sz w:val="22"/>
                <w:szCs w:val="22"/>
                <w:rtl/>
              </w:rPr>
              <w:t xml:space="preserve">לוויין סווינג</w:t>
            </w:r>
          </w:p>
        </w:tc>
        <w:tc>
          <w:tcPr>
            <w:tcW w:type="dxa" w:w="2400"/>
            <w:shd w:fill="FFF2CC"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10%-20%</w:t>
            </w:r>
          </w:p>
        </w:tc>
        <w:tc>
          <w:tcPr>
            <w:tcW w:type="dxa" w:w="5060"/>
            <w:shd w:fill="FFF2CC"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סווינג בסיכון קשוח (חוק 2%). "שכר לימוד + אופציה" - לא מקור הכנסה. נמדד ע"י ספר הצללים.</w:t>
            </w:r>
          </w:p>
        </w:tc>
      </w:tr>
      <w:tr>
        <w:tc>
          <w:tcPr>
            <w:tcW w:type="dxa" w:w="1900"/>
            <w:shd w:fill="D5E8F0"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000000"/>
                <w:sz w:val="22"/>
                <w:szCs w:val="22"/>
                <w:rtl/>
              </w:rPr>
              <w:t xml:space="preserve">מזומן</w:t>
            </w:r>
          </w:p>
        </w:tc>
        <w:tc>
          <w:tcPr>
            <w:tcW w:type="dxa" w:w="2400"/>
            <w:shd w:fill="D5E8F0"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5%-10%</w:t>
            </w:r>
          </w:p>
        </w:tc>
        <w:tc>
          <w:tcPr>
            <w:tcW w:type="dxa" w:w="5060"/>
            <w:shd w:fill="D5E8F0"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אבקה יבשה להזדמנויות ולניהול סיכון מטבע.</w:t>
            </w:r>
          </w:p>
        </w:tc>
      </w:tr>
    </w:tbl>
    <w:p>
      <w:pPr>
        <w:bidi/>
        <w:spacing w:after="120" w:before="80" w:line="276"/>
        <w:jc w:val="right"/>
      </w:pPr>
      <w:r>
        <w:rPr>
          <w:rFonts w:ascii="Arial" w:cs="Arial" w:eastAsia="Arial" w:hAnsi="Arial"/>
          <w:b/>
          <w:bCs/>
          <w:i w:val="false"/>
          <w:iCs w:val="false"/>
          <w:color w:val="000000"/>
          <w:sz w:val="22"/>
          <w:szCs w:val="22"/>
          <w:rtl/>
        </w:rPr>
        <w:t xml:space="preserve">יעד ריאלי כולל: </w:t>
      </w:r>
      <w:r>
        <w:rPr>
          <w:rFonts w:ascii="Arial" w:cs="Arial" w:eastAsia="Arial" w:hAnsi="Arial"/>
          <w:b w:val="false"/>
          <w:bCs w:val="false"/>
          <w:i w:val="false"/>
          <w:iCs w:val="false"/>
          <w:color w:val="000000"/>
          <w:sz w:val="22"/>
          <w:szCs w:val="22"/>
          <w:rtl/>
        </w:rPr>
        <w:t xml:space="preserve">~8%-10% (תשואת שוק), לא 30%. זו לא הורדת שאיפות - זו התאמת היעד למה שאפשר להשיג באמינות.</w:t>
      </w:r>
    </w:p>
    <w:p>
      <w:pPr>
        <w:bidi/>
        <w:spacing w:after="120" w:before="0" w:line="276"/>
        <w:jc w:val="right"/>
      </w:pPr>
      <w:r>
        <w:rPr>
          <w:rFonts w:ascii="Arial" w:cs="Arial" w:eastAsia="Arial" w:hAnsi="Arial"/>
          <w:b/>
          <w:bCs/>
          <w:i w:val="false"/>
          <w:iCs w:val="false"/>
          <w:color w:val="000000"/>
          <w:sz w:val="22"/>
          <w:szCs w:val="22"/>
          <w:rtl/>
        </w:rPr>
        <w:t xml:space="preserve">ההמלצה המקצועית שלי על נקודת הפתיחה: </w:t>
      </w:r>
      <w:r>
        <w:rPr>
          <w:rFonts w:ascii="Arial" w:cs="Arial" w:eastAsia="Arial" w:hAnsi="Arial"/>
          <w:b w:val="false"/>
          <w:bCs w:val="false"/>
          <w:i w:val="false"/>
          <w:iCs w:val="false"/>
          <w:color w:val="000000"/>
          <w:sz w:val="22"/>
          <w:szCs w:val="22"/>
          <w:rtl/>
        </w:rPr>
        <w:t xml:space="preserve">התחל את הלוויין ב</w:t>
      </w:r>
      <w:r>
        <w:rPr>
          <w:rFonts w:ascii="Arial" w:cs="Arial" w:eastAsia="Arial" w:hAnsi="Arial"/>
          <w:b/>
          <w:bCs/>
          <w:i w:val="false"/>
          <w:iCs w:val="false"/>
          <w:color w:val="000000"/>
          <w:sz w:val="22"/>
          <w:szCs w:val="22"/>
          <w:rtl/>
        </w:rPr>
        <w:t xml:space="preserve">קצה התחתון (10%)</w:t>
      </w:r>
      <w:r>
        <w:rPr>
          <w:rFonts w:ascii="Arial" w:cs="Arial" w:eastAsia="Arial" w:hAnsi="Arial"/>
          <w:b w:val="false"/>
          <w:bCs w:val="false"/>
          <w:i w:val="false"/>
          <w:iCs w:val="false"/>
          <w:color w:val="000000"/>
          <w:sz w:val="22"/>
          <w:szCs w:val="22"/>
          <w:rtl/>
        </w:rPr>
        <w:t xml:space="preserve">, לא 20%. הלוויין עדיין חסר יתרון מוכח - אסור לתת לו משקל גדול לפני שספר הצללים הוכיח אותו קדימה. עד אז: יותר ליבה ויותר מזומן. הקצאת פתיחה מומלצת: </w:t>
      </w:r>
    </w:p>
    <w:p>
      <w:pPr>
        <w:pStyle w:val="ListParagraph"/>
        <w:numPr>
          <w:ilvl w:val="0"/>
          <w:numId w:val="2"/>
        </w:numPr>
        <w:bidi/>
        <w:spacing w:after="60" w:line="270"/>
        <w:jc w:val="right"/>
      </w:pPr>
      <w:r>
        <w:rPr>
          <w:rFonts w:ascii="Arial" w:cs="Arial" w:eastAsia="Arial" w:hAnsi="Arial"/>
          <w:b/>
          <w:bCs/>
          <w:i w:val="false"/>
          <w:iCs w:val="false"/>
          <w:color w:val="1F4E79"/>
          <w:sz w:val="22"/>
          <w:szCs w:val="22"/>
          <w:rtl/>
        </w:rPr>
        <w:t xml:space="preserve">ליבה 75% · לוויין 10% · מזומן 15%</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4. חוקי הליבה</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כניסה ב-DCA (פריסה על פני זמן), לא בכניסה יחידה גדולה - בעיקר כשהרמזור אדום וסביב FOMC.</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אחזקה ארוכת-טווח. אין תזמון כניסה/יציאה על הליבה.</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איזון מחדש (rebalance) רבעוני או שנתי בלבד - להחזיר את האחוזים ליעד.</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הרמזור (VIX/SPY מול MA200) חל על הלוויין, לא על הליבה. הליבה נכנסת גם כשהשוק לא מושלם - זה כל הרעיון.</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5. חוקי הלוויין</w:t>
      </w:r>
    </w:p>
    <w:p>
      <w:pPr>
        <w:bidi/>
        <w:spacing w:after="120" w:before="0" w:line="276"/>
        <w:jc w:val="right"/>
      </w:pPr>
      <w:r>
        <w:rPr>
          <w:rFonts w:ascii="Arial" w:cs="Arial" w:eastAsia="Arial" w:hAnsi="Arial"/>
          <w:b w:val="false"/>
          <w:bCs w:val="false"/>
          <w:i w:val="false"/>
          <w:iCs w:val="false"/>
          <w:color w:val="000000"/>
          <w:sz w:val="22"/>
          <w:szCs w:val="22"/>
          <w:rtl/>
        </w:rPr>
        <w:t xml:space="preserve">הלוויין יורש את כללי הסיכון הקשוחים ממסמך 17.2 - אבל בלי יעד התשואה הפנטזיוני:</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חוק סיכון 2%: </w:t>
      </w:r>
      <w:r>
        <w:rPr>
          <w:rFonts w:ascii="Arial" w:cs="Arial" w:eastAsia="Arial" w:hAnsi="Arial"/>
          <w:b w:val="false"/>
          <w:bCs w:val="false"/>
          <w:i w:val="false"/>
          <w:iCs w:val="false"/>
          <w:color w:val="000000"/>
          <w:sz w:val="22"/>
          <w:szCs w:val="22"/>
          <w:rtl/>
        </w:rPr>
        <w:t xml:space="preserve">מקס׳ הפסד 2% מ-NAV לעסקה. גודל פוזיציה = (Equity × Risk%) ÷ (ATR × 2).</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Zero Gap: </w:t>
      </w:r>
      <w:r>
        <w:rPr>
          <w:rFonts w:ascii="Arial" w:cs="Arial" w:eastAsia="Arial" w:hAnsi="Arial"/>
          <w:b w:val="false"/>
          <w:bCs w:val="false"/>
          <w:i w:val="false"/>
          <w:iCs w:val="false"/>
          <w:color w:val="000000"/>
          <w:sz w:val="22"/>
          <w:szCs w:val="22"/>
          <w:rtl/>
        </w:rPr>
        <w:t xml:space="preserve">סטופ-לוס תוך 5 דקות מכל כניסה. Stop Kill בהפסד 7%.</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Dead Money: </w:t>
      </w:r>
      <w:r>
        <w:rPr>
          <w:rFonts w:ascii="Arial" w:cs="Arial" w:eastAsia="Arial" w:hAnsi="Arial"/>
          <w:b w:val="false"/>
          <w:bCs w:val="false"/>
          <w:i w:val="false"/>
          <w:iCs w:val="false"/>
          <w:color w:val="000000"/>
          <w:sz w:val="22"/>
          <w:szCs w:val="22"/>
          <w:rtl/>
        </w:rPr>
        <w:t xml:space="preserve">מניה מעל 10 ימים עם פחות מ-5% רווח - יציאה.</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תקרת סקטור 30%, </w:t>
      </w:r>
      <w:r>
        <w:rPr>
          <w:rFonts w:ascii="Arial" w:cs="Arial" w:eastAsia="Arial" w:hAnsi="Arial"/>
          <w:b w:val="false"/>
          <w:bCs w:val="false"/>
          <w:i w:val="false"/>
          <w:iCs w:val="false"/>
          <w:color w:val="000000"/>
          <w:sz w:val="22"/>
          <w:szCs w:val="22"/>
          <w:rtl/>
        </w:rPr>
        <w:t xml:space="preserve">מינ׳ 4 סקטורים, מקס׳ 10 פוזיציות בו-זמנית, מקס׳ סיכון יומי 3% מ-NAV.</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רמזור: </w:t>
      </w:r>
      <w:r>
        <w:rPr>
          <w:rFonts w:ascii="Arial" w:cs="Arial" w:eastAsia="Arial" w:hAnsi="Arial"/>
          <w:b w:val="false"/>
          <w:bCs w:val="false"/>
          <w:i w:val="false"/>
          <w:iCs w:val="false"/>
          <w:color w:val="000000"/>
          <w:sz w:val="22"/>
          <w:szCs w:val="22"/>
          <w:rtl/>
        </w:rPr>
        <w:t xml:space="preserve">ירוק (VIX&lt;20 + SPY&gt;MA200) = כניסות מותרות. צהוב = חצי גודל, רק A+. אדום (VIX&gt;25 או SPY&lt;MA200) = אין כניסות חדשות.</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מדידה: </w:t>
      </w:r>
      <w:r>
        <w:rPr>
          <w:rFonts w:ascii="Arial" w:cs="Arial" w:eastAsia="Arial" w:hAnsi="Arial"/>
          <w:b w:val="false"/>
          <w:bCs w:val="false"/>
          <w:i w:val="false"/>
          <w:iCs w:val="false"/>
          <w:color w:val="000000"/>
          <w:sz w:val="22"/>
          <w:szCs w:val="22"/>
          <w:rtl/>
        </w:rPr>
        <w:t xml:space="preserve">ספר הצללים עוקב קדימה אחרי כל אות 5★ ומכריע מול הרף - לנצח SPY, 95% ביטחון, 20+ עסקאות. אם הלוויין נכשל ברף - מכווצים אותו או מבטלים. זו אופציה, לא התחייבות.</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6. מה הדוקטרינה מבטלת</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יעד תשואה 30% שנתי — מבוטל. </w:t>
      </w:r>
      <w:r>
        <w:rPr>
          <w:rFonts w:ascii="Arial" w:cs="Arial" w:eastAsia="Arial" w:hAnsi="Arial"/>
          <w:b w:val="false"/>
          <w:bCs w:val="false"/>
          <w:i w:val="false"/>
          <w:iCs w:val="false"/>
          <w:color w:val="000000"/>
          <w:sz w:val="22"/>
          <w:szCs w:val="22"/>
          <w:rtl/>
        </w:rPr>
        <w:t xml:space="preserve">הופרך אמפירית, ומסכן הון.</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יעד Sharpe מעל 2 — מבוטל. </w:t>
      </w:r>
      <w:r>
        <w:rPr>
          <w:rFonts w:ascii="Arial" w:cs="Arial" w:eastAsia="Arial" w:hAnsi="Arial"/>
          <w:b w:val="false"/>
          <w:bCs w:val="false"/>
          <w:i w:val="false"/>
          <w:iCs w:val="false"/>
          <w:color w:val="000000"/>
          <w:sz w:val="22"/>
          <w:szCs w:val="22"/>
          <w:rtl/>
        </w:rPr>
        <w:t xml:space="preserve">לא ריאלי לתיק ריטייל.</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"לנצח את השוק" כמטרת-על — מוחלף ב"להחזיק את השוק". </w:t>
      </w:r>
      <w:r>
        <w:rPr>
          <w:rFonts w:ascii="Arial" w:cs="Arial" w:eastAsia="Arial" w:hAnsi="Arial"/>
          <w:b w:val="false"/>
          <w:bCs w:val="false"/>
          <w:i w:val="false"/>
          <w:iCs w:val="false"/>
          <w:color w:val="000000"/>
          <w:sz w:val="22"/>
          <w:szCs w:val="22"/>
          <w:rtl/>
        </w:rPr>
        <w:t xml:space="preserve">ניצחון מותנה בהוכחה אמפירית קדימה (ספר הצללים), ולא בהנחה.</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7. הגדרת הצלחה חדשה</w:t>
      </w:r>
    </w:p>
    <w:p>
      <w:pPr>
        <w:bidi/>
        <w:spacing w:after="120" w:before="0" w:line="276"/>
        <w:jc w:val="right"/>
      </w:pPr>
      <w:r>
        <w:rPr>
          <w:rFonts w:ascii="Arial" w:cs="Arial" w:eastAsia="Arial" w:hAnsi="Arial"/>
          <w:b w:val="false"/>
          <w:bCs w:val="false"/>
          <w:i w:val="false"/>
          <w:iCs w:val="false"/>
          <w:color w:val="000000"/>
          <w:sz w:val="22"/>
          <w:szCs w:val="22"/>
          <w:rtl/>
        </w:rPr>
        <w:t xml:space="preserve">ההצלחה אינה "תוחלת חיובית" - היא חד-משמעית:</w:t>
      </w:r>
    </w:p>
    <w:p>
      <w:pPr>
        <w:pStyle w:val="ListParagraph"/>
        <w:numPr>
          <w:ilvl w:val="0"/>
          <w:numId w:val="3"/>
        </w:numPr>
        <w:bidi/>
        <w:spacing w:after="60" w:line="270"/>
        <w:jc w:val="right"/>
      </w:pPr>
      <w:r>
        <w:rPr>
          <w:rFonts w:ascii="Arial" w:cs="Arial" w:eastAsia="Arial" w:hAnsi="Arial"/>
          <w:b w:val="false"/>
          <w:bCs w:val="false"/>
          <w:i w:val="false"/>
          <w:iCs w:val="false"/>
          <w:color w:val="000000"/>
          <w:sz w:val="22"/>
          <w:szCs w:val="22"/>
          <w:rtl/>
        </w:rPr>
        <w:t xml:space="preserve">הליבה משיגה תשואת שוק באמינות (זה כמעט מובטח בהגדרה - היא המדד).</w:t>
      </w:r>
    </w:p>
    <w:p>
      <w:pPr>
        <w:pStyle w:val="ListParagraph"/>
        <w:numPr>
          <w:ilvl w:val="0"/>
          <w:numId w:val="3"/>
        </w:numPr>
        <w:bidi/>
        <w:spacing w:after="60" w:line="270"/>
        <w:jc w:val="right"/>
      </w:pPr>
      <w:r>
        <w:rPr>
          <w:rFonts w:ascii="Arial" w:cs="Arial" w:eastAsia="Arial" w:hAnsi="Arial"/>
          <w:b w:val="false"/>
          <w:bCs w:val="false"/>
          <w:i w:val="false"/>
          <w:iCs w:val="false"/>
          <w:color w:val="000000"/>
          <w:sz w:val="22"/>
          <w:szCs w:val="22"/>
          <w:rtl/>
        </w:rPr>
        <w:t xml:space="preserve">הלוויין מנצח את SPY מותאם-סיכון על 20+ עסקאות עם רף ביטחון 95% - אחרת הוא מתכווץ.</w:t>
      </w:r>
    </w:p>
    <w:p>
      <w:pPr>
        <w:pStyle w:val="ListParagraph"/>
        <w:numPr>
          <w:ilvl w:val="0"/>
          <w:numId w:val="3"/>
        </w:numPr>
        <w:bidi/>
        <w:spacing w:after="60" w:line="270"/>
        <w:jc w:val="right"/>
      </w:pPr>
      <w:r>
        <w:rPr>
          <w:rFonts w:ascii="Arial" w:cs="Arial" w:eastAsia="Arial" w:hAnsi="Arial"/>
          <w:b w:val="false"/>
          <w:bCs w:val="false"/>
          <w:i w:val="false"/>
          <w:iCs w:val="false"/>
          <w:color w:val="000000"/>
          <w:sz w:val="22"/>
          <w:szCs w:val="22"/>
          <w:rtl/>
        </w:rPr>
        <w:t xml:space="preserve">המזומן מנוהל כך שסיכון המטבע לא שוחק את הקרן (ראה חלק ב׳).</w:t>
      </w:r>
    </w:p>
    <w:p>
      <w:r>
        <w:br w:type="page"/>
      </w:r>
    </w:p>
    <w:p>
      <w:pPr>
        <w:shd w:fill="1F4E79" w:val="clear"/>
        <w:bidi/>
        <w:spacing w:after="120" w:before="120"/>
        <w:jc w:val="center"/>
      </w:pPr>
      <w:r>
        <w:rPr>
          <w:rFonts w:ascii="Arial" w:cs="Arial" w:eastAsia="Arial" w:hAnsi="Arial"/>
          <w:b/>
          <w:bCs/>
          <w:color w:val="FFFFFF"/>
          <w:sz w:val="28"/>
          <w:szCs w:val="28"/>
          <w:rtl/>
        </w:rPr>
        <w:t xml:space="preserve">חלק ב׳ — תוכנית פריסת הון</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1. מצב נוכחי מאומת (16.6.26)</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4680"/>
        <w:gridCol w:w="4680"/>
      </w:tblGrid>
      <w:tr>
        <w:tc>
          <w:tcPr>
            <w:tcW w:type="dxa" w:w="4680"/>
            <w:shd w:fill="1F4E79" w:val="clear"/>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FFFFFF"/>
                <w:sz w:val="22"/>
                <w:szCs w:val="22"/>
                <w:rtl/>
              </w:rPr>
              <w:t xml:space="preserve">פרמטר</w:t>
            </w:r>
          </w:p>
        </w:tc>
        <w:tc>
          <w:tcPr>
            <w:tcW w:type="dxa" w:w="4680"/>
            <w:shd w:fill="1F4E79" w:val="clear"/>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FFFFFF"/>
                <w:sz w:val="22"/>
                <w:szCs w:val="22"/>
                <w:rtl/>
              </w:rPr>
              <w:t xml:space="preserve">ערך</w:t>
            </w:r>
          </w:p>
        </w:tc>
      </w:tr>
      <w:tr>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000000"/>
                <w:sz w:val="22"/>
                <w:szCs w:val="22"/>
                <w:rtl/>
              </w:rPr>
              <w:t xml:space="preserve">NAV חי</w:t>
            </w:r>
          </w:p>
        </w:tc>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 ₪673,635 (ALL CASH, 0 פוזיציות)</w:t>
            </w:r>
          </w:p>
        </w:tc>
      </w:tr>
      <w:tr>
        <w:tc>
          <w:tcPr>
            <w:tcW w:type="dxa" w:w="468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מזומן שקלי</w:t>
            </w:r>
          </w:p>
        </w:tc>
        <w:tc>
          <w:tcPr>
            <w:tcW w:type="dxa" w:w="468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₪237,969</w:t>
            </w:r>
          </w:p>
        </w:tc>
      </w:tr>
      <w:tr>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מזומן דולרי</w:t>
            </w:r>
          </w:p>
        </w:tc>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$149,276  (= ₪435,289 בשער 2.916)</w:t>
            </w:r>
          </w:p>
        </w:tc>
      </w:tr>
      <w:tr>
        <w:tc>
          <w:tcPr>
            <w:tcW w:type="dxa" w:w="468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אחר</w:t>
            </w:r>
          </w:p>
        </w:tc>
        <w:tc>
          <w:tcPr>
            <w:tcW w:type="dxa" w:w="468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₪362</w:t>
            </w:r>
          </w:p>
        </w:tc>
      </w:tr>
      <w:tr>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שיא היסטורי</w:t>
            </w:r>
          </w:p>
        </w:tc>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₪720,081</w:t>
            </w:r>
          </w:p>
        </w:tc>
      </w:tr>
      <w:tr>
        <w:tc>
          <w:tcPr>
            <w:tcW w:type="dxa" w:w="468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Drawdown</w:t>
            </w:r>
          </w:p>
        </w:tc>
        <w:tc>
          <w:tcPr>
            <w:tcW w:type="dxa" w:w="468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6.45% — כולו חשיפת מטבע, לא מסחר</w:t>
            </w:r>
          </w:p>
        </w:tc>
      </w:tr>
      <w:tr>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שער USD/ILS</w:t>
            </w:r>
          </w:p>
        </w:tc>
        <w:tc>
          <w:tcPr>
            <w:tcW w:type="dxa" w:w="468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2.916 ✓ מאומת מול שוק (2.910-2.922 ב-16.6)</w:t>
            </w:r>
          </w:p>
        </w:tc>
      </w:tr>
      <w:tr>
        <w:tc>
          <w:tcPr>
            <w:tcW w:type="dxa" w:w="4680"/>
            <w:shd w:fill="FCE4E4"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רמזור</w:t>
            </w:r>
          </w:p>
        </w:tc>
        <w:tc>
          <w:tcPr>
            <w:tcW w:type="dxa" w:w="4680"/>
            <w:shd w:fill="FCE4E4"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 אדום — FOMC 16-17.6 (החלטה 17.6, צפי hold 3.50-3.75%)</w:t>
            </w:r>
          </w:p>
        </w:tc>
      </w:tr>
    </w:tbl>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2. שאלת המטבע — ההכרעה שלך</w:t>
      </w:r>
    </w:p>
    <w:p>
      <w:pPr>
        <w:bidi/>
        <w:spacing w:after="120" w:before="0" w:line="276"/>
        <w:jc w:val="right"/>
      </w:pPr>
      <w:r>
        <w:rPr>
          <w:rFonts w:ascii="Arial" w:cs="Arial" w:eastAsia="Arial" w:hAnsi="Arial"/>
          <w:b w:val="false"/>
          <w:bCs w:val="false"/>
          <w:i w:val="false"/>
          <w:iCs w:val="false"/>
          <w:color w:val="000000"/>
          <w:sz w:val="22"/>
          <w:szCs w:val="22"/>
          <w:rtl/>
        </w:rPr>
        <w:t xml:space="preserve">זו הנקודה הקריטית בכל התוכנית, ואני לא אחליט במקומך - אבל אתן לך את התמונה המלאה. </w:t>
      </w:r>
      <w:r>
        <w:rPr>
          <w:rFonts w:ascii="Arial" w:cs="Arial" w:eastAsia="Arial" w:hAnsi="Arial"/>
          <w:b/>
          <w:bCs/>
          <w:i w:val="false"/>
          <w:iCs w:val="false"/>
          <w:color w:val="000000"/>
          <w:sz w:val="22"/>
          <w:szCs w:val="22"/>
          <w:rtl/>
        </w:rPr>
        <w:t xml:space="preserve">USD/ILS עומד על 2.91, קרוב לתחתית טווח 2026 </w:t>
      </w:r>
      <w:r>
        <w:rPr>
          <w:rFonts w:ascii="Arial" w:cs="Arial" w:eastAsia="Arial" w:hAnsi="Arial"/>
          <w:b w:val="false"/>
          <w:bCs w:val="false"/>
          <w:i w:val="false"/>
          <w:iCs w:val="false"/>
          <w:color w:val="000000"/>
          <w:sz w:val="22"/>
          <w:szCs w:val="22"/>
          <w:rtl/>
        </w:rPr>
        <w:t xml:space="preserve">(2.80-3.19, ממוצע 3.06). הדולר זול היסטורית. לכן:</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המרת USD→ILS עכשיו = נעילת הפסד המטבע </w:t>
      </w:r>
      <w:r>
        <w:rPr>
          <w:rFonts w:ascii="Arial" w:cs="Arial" w:eastAsia="Arial" w:hAnsi="Arial"/>
          <w:b w:val="false"/>
          <w:bCs w:val="false"/>
          <w:i w:val="false"/>
          <w:iCs w:val="false"/>
          <w:color w:val="000000"/>
          <w:sz w:val="22"/>
          <w:szCs w:val="22"/>
          <w:rtl/>
        </w:rPr>
        <w:t xml:space="preserve">(אתה ממיר דולר חלש לשקל חזק - מקבע את ה-6.45% drawdown).</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המרת ILS→USD נוספת = הימור כיווני </w:t>
      </w:r>
      <w:r>
        <w:rPr>
          <w:rFonts w:ascii="Arial" w:cs="Arial" w:eastAsia="Arial" w:hAnsi="Arial"/>
          <w:b w:val="false"/>
          <w:bCs w:val="false"/>
          <w:i w:val="false"/>
          <w:iCs w:val="false"/>
          <w:color w:val="000000"/>
          <w:sz w:val="22"/>
          <w:szCs w:val="22"/>
          <w:rtl/>
        </w:rPr>
        <w:t xml:space="preserve">על תיקון הדולר כלפי מעלה. אולי ישתלם, אולי השקל ימשיך להתחזק.</w:t>
      </w:r>
    </w:p>
    <w:p>
      <w:pPr>
        <w:bidi/>
        <w:spacing w:after="120" w:before="0" w:line="276"/>
        <w:jc w:val="right"/>
      </w:pPr>
      <w:r>
        <w:rPr>
          <w:rFonts w:ascii="Arial" w:cs="Arial" w:eastAsia="Arial" w:hAnsi="Arial"/>
          <w:b w:val="false"/>
          <w:bCs w:val="false"/>
          <w:i w:val="false"/>
          <w:iCs w:val="false"/>
          <w:color w:val="000000"/>
          <w:sz w:val="22"/>
          <w:szCs w:val="22"/>
          <w:rtl/>
        </w:rPr>
        <w:t xml:space="preserve">שלוש גישות, עם היתרונות והחסרונות:</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700"/>
        <w:gridCol w:w="3400"/>
        <w:gridCol w:w="4260"/>
      </w:tblGrid>
      <w:tr>
        <w:tc>
          <w:tcPr>
            <w:tcW w:type="dxa" w:w="170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גישה</w:t>
            </w:r>
          </w:p>
        </w:tc>
        <w:tc>
          <w:tcPr>
            <w:tcW w:type="dxa" w:w="3400"/>
            <w:shd w:fill="1F4E79" w:val="clear"/>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FFFFFF"/>
                <w:sz w:val="22"/>
                <w:szCs w:val="22"/>
                <w:rtl/>
              </w:rPr>
              <w:t xml:space="preserve">מה עושים</w:t>
            </w:r>
          </w:p>
        </w:tc>
        <w:tc>
          <w:tcPr>
            <w:tcW w:type="dxa" w:w="4260"/>
            <w:shd w:fill="1F4E79" w:val="clear"/>
            <w:tcMar>
              <w:top w:type="dxa" w:w="70"/>
              <w:left w:type="dxa" w:w="110"/>
              <w:bottom w:type="dxa" w:w="70"/>
              <w:right w:type="dxa" w:w="110"/>
            </w:tcMar>
            <w:vAlign w:val="center"/>
          </w:tcPr>
          <w:p>
            <w:pPr>
              <w:bidi/>
              <w:spacing w:after="0" w:before="0" w:line="276"/>
              <w:jc w:val="right"/>
            </w:pPr>
            <w:r>
              <w:rPr>
                <w:rFonts w:ascii="Arial" w:cs="Arial" w:eastAsia="Arial" w:hAnsi="Arial"/>
                <w:b/>
                <w:bCs/>
                <w:i w:val="false"/>
                <w:iCs w:val="false"/>
                <w:color w:val="FFFFFF"/>
                <w:sz w:val="22"/>
                <w:szCs w:val="22"/>
                <w:rtl/>
              </w:rPr>
              <w:t xml:space="preserve">יתרון / חיסרון</w:t>
            </w:r>
          </w:p>
        </w:tc>
      </w:tr>
      <w:tr>
        <w:tc>
          <w:tcPr>
            <w:tcW w:type="dxa" w:w="1700"/>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000000"/>
                <w:sz w:val="22"/>
                <w:szCs w:val="22"/>
                <w:rtl/>
              </w:rPr>
              <w:t xml:space="preserve">א. חשיפת USD מלאה</w:t>
            </w:r>
          </w:p>
        </w:tc>
        <w:tc>
          <w:tcPr>
            <w:tcW w:type="dxa" w:w="340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לקנות תעודות מדד אמריקאיות נקובות-דולר, וגם להמיר ILS→USD לקנות עוד.</w:t>
            </w:r>
          </w:p>
        </w:tc>
        <w:tc>
          <w:tcPr>
            <w:tcW w:type="dxa" w:w="4260"/>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 הימור על תיקון הדולר לכיוון 3.06.  − אם השקל ממשיך להתחזק, שחיקת מטבע נמשכת על כל התיק.</w:t>
            </w:r>
          </w:p>
        </w:tc>
      </w:tr>
      <w:tr>
        <w:tc>
          <w:tcPr>
            <w:tcW w:type="dxa" w:w="170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000000"/>
                <w:sz w:val="22"/>
                <w:szCs w:val="22"/>
                <w:rtl/>
              </w:rPr>
              <w:t xml:space="preserve">ב. ניטרול מטבע</w:t>
            </w:r>
          </w:p>
        </w:tc>
        <w:tc>
          <w:tcPr>
            <w:tcW w:type="dxa" w:w="340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תעודות/קרנות מחקות S&amp;P500 מנוטרלות מט"ח או נקובות שקל (מנפיקים ישראלים).</w:t>
            </w:r>
          </w:p>
        </w:tc>
        <w:tc>
          <w:tcPr>
            <w:tcW w:type="dxa" w:w="4260"/>
            <w:shd w:fill="F2F2F2"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 מסיר את סיכון המטבע לחלוטין.  − עלות הניטרול (carry), ומוותר על תיקון דולר אפשרי.</w:t>
            </w:r>
          </w:p>
        </w:tc>
      </w:tr>
      <w:tr>
        <w:tc>
          <w:tcPr>
            <w:tcW w:type="dxa" w:w="1700"/>
            <w:shd w:fill="E2EFDA"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000000"/>
                <w:sz w:val="22"/>
                <w:szCs w:val="22"/>
                <w:rtl/>
              </w:rPr>
              <w:t xml:space="preserve">ג. שילוב (מומלץ)</w:t>
            </w:r>
          </w:p>
        </w:tc>
        <w:tc>
          <w:tcPr>
            <w:tcW w:type="dxa" w:w="3400"/>
            <w:shd w:fill="E2EFDA"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את ה-$149K הקיים להשאיר חשוף דולר (לקנות מדד נקוב-דולר, בלי המרה). את ה-ILS לפרוס לתעודות מנוטרלות/נקובות שקל.</w:t>
            </w:r>
          </w:p>
        </w:tc>
        <w:tc>
          <w:tcPr>
            <w:tcW w:type="dxa" w:w="4260"/>
            <w:shd w:fill="E2EFDA" w:val="clear"/>
            <w:tcMar>
              <w:top w:type="dxa" w:w="70"/>
              <w:left w:type="dxa" w:w="110"/>
              <w:bottom w:type="dxa" w:w="70"/>
              <w:right w:type="dxa" w:w="110"/>
            </w:tcMar>
            <w:vAlign w:val="center"/>
          </w:tcPr>
          <w:p>
            <w:pPr>
              <w:bidi/>
              <w:spacing w:after="0" w:before="0" w:line="276"/>
              <w:jc w:val="right"/>
            </w:pPr>
            <w:r>
              <w:rPr>
                <w:rFonts w:ascii="Arial" w:cs="Arial" w:eastAsia="Arial" w:hAnsi="Arial"/>
                <w:b w:val="false"/>
                <w:bCs w:val="false"/>
                <w:i w:val="false"/>
                <w:iCs w:val="false"/>
                <w:color w:val="000000"/>
                <w:sz w:val="22"/>
                <w:szCs w:val="22"/>
                <w:rtl/>
              </w:rPr>
              <w:t xml:space="preserve">+ לא מקבע הפסד דולר על הקיים, ולא מוסיף חשיפת מטבע חדשה. ממזער חרטה בשני הכיוונים.  − מורכב יותר תפעולית.</w:t>
            </w:r>
          </w:p>
        </w:tc>
      </w:tr>
    </w:tbl>
    <w:p>
      <w:pPr>
        <w:shd w:fill="FFF2CC" w:val="clear"/>
        <w:bidi/>
        <w:spacing w:after="120" w:before="0" w:line="276"/>
        <w:jc w:val="right"/>
      </w:pPr>
      <w:r>
        <w:rPr>
          <w:rFonts w:ascii="Arial" w:cs="Arial" w:eastAsia="Arial" w:hAnsi="Arial"/>
          <w:b/>
          <w:bCs/>
          <w:i w:val="false"/>
          <w:iCs w:val="false"/>
          <w:color w:val="000000"/>
          <w:sz w:val="22"/>
          <w:szCs w:val="22"/>
          <w:rtl/>
        </w:rPr>
        <w:t xml:space="preserve">הלך הרוח שלי (לא החלטה): </w:t>
      </w:r>
      <w:r>
        <w:rPr>
          <w:rFonts w:ascii="Arial" w:cs="Arial" w:eastAsia="Arial" w:hAnsi="Arial"/>
          <w:b w:val="false"/>
          <w:bCs w:val="false"/>
          <w:i w:val="false"/>
          <w:iCs w:val="false"/>
          <w:color w:val="000000"/>
          <w:sz w:val="22"/>
          <w:szCs w:val="22"/>
          <w:rtl/>
        </w:rPr>
        <w:t xml:space="preserve">גישה ג׳ היא הרציונלית ביותר לפי הנתונים. אל תמיר דולר חלש לשקל חזק (מקבע הפסד), ואל תוסיף חשיפת דולר חדשה במחיר היסטורי נמוך. הפעל כל מטבע במקומו.</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3. תוכנית מנות (DCA)</w:t>
      </w:r>
    </w:p>
    <w:p>
      <w:pPr>
        <w:bidi/>
        <w:spacing w:after="120" w:before="0" w:line="276"/>
        <w:jc w:val="right"/>
      </w:pPr>
      <w:r>
        <w:rPr>
          <w:rFonts w:ascii="Arial" w:cs="Arial" w:eastAsia="Arial" w:hAnsi="Arial"/>
          <w:b/>
          <w:bCs/>
          <w:i w:val="false"/>
          <w:iCs w:val="false"/>
          <w:color w:val="000000"/>
          <w:sz w:val="22"/>
          <w:szCs w:val="22"/>
          <w:rtl/>
        </w:rPr>
        <w:t xml:space="preserve">עיקרון: </w:t>
      </w:r>
      <w:r>
        <w:rPr>
          <w:rFonts w:ascii="Arial" w:cs="Arial" w:eastAsia="Arial" w:hAnsi="Arial"/>
          <w:b w:val="false"/>
          <w:bCs w:val="false"/>
          <w:i w:val="false"/>
          <w:iCs w:val="false"/>
          <w:color w:val="000000"/>
          <w:sz w:val="22"/>
          <w:szCs w:val="22"/>
          <w:rtl/>
        </w:rPr>
        <w:t xml:space="preserve">לא להיכנס בבת אחת. למרות שסטטיסטית כניסה מלאה (lump-sum) מנצחת DCA ב-~2/3 מהמקרים, כאן השילוב של רמזור אדום + אי-ודאות FOMC + מחיר מטבע קיצוני מצדיק פריסה הדרגתית שמפחיתה סיכון תזמון וחרטה.</w:t>
      </w:r>
    </w:p>
    <w:p>
      <w:pPr>
        <w:bidi/>
        <w:spacing w:after="120" w:before="0" w:line="276"/>
        <w:jc w:val="right"/>
      </w:pPr>
      <w:r>
        <w:rPr>
          <w:rFonts w:ascii="Arial" w:cs="Arial" w:eastAsia="Arial" w:hAnsi="Arial"/>
          <w:b/>
          <w:bCs/>
          <w:i w:val="false"/>
          <w:iCs w:val="false"/>
          <w:color w:val="000000"/>
          <w:sz w:val="22"/>
          <w:szCs w:val="22"/>
          <w:rtl/>
        </w:rPr>
        <w:t xml:space="preserve">דוגמה מספרית </w:t>
      </w:r>
      <w:r>
        <w:rPr>
          <w:rFonts w:ascii="Arial" w:cs="Arial" w:eastAsia="Arial" w:hAnsi="Arial"/>
          <w:b w:val="false"/>
          <w:bCs w:val="false"/>
          <w:i w:val="false"/>
          <w:iCs w:val="false"/>
          <w:color w:val="000000"/>
          <w:sz w:val="22"/>
          <w:szCs w:val="22"/>
          <w:rtl/>
        </w:rPr>
        <w:t xml:space="preserve">(הקצאת פתיחה 75% ליבה / 10% לוויין / 15% מזומן על NAV ₪673,635):</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3120"/>
        <w:gridCol w:w="3120"/>
        <w:gridCol w:w="3120"/>
      </w:tblGrid>
      <w:tr>
        <w:tc>
          <w:tcPr>
            <w:tcW w:type="dxa" w:w="312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שכבה</w:t>
            </w:r>
          </w:p>
        </w:tc>
        <w:tc>
          <w:tcPr>
            <w:tcW w:type="dxa" w:w="312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אחוז</w:t>
            </w:r>
          </w:p>
        </w:tc>
        <w:tc>
          <w:tcPr>
            <w:tcW w:type="dxa" w:w="312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סכום</w:t>
            </w:r>
          </w:p>
        </w:tc>
      </w:tr>
      <w:tr>
        <w:tc>
          <w:tcPr>
            <w:tcW w:type="dxa" w:w="3120"/>
            <w:shd w:fill="E2EFDA"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ליבה (מדד)</w:t>
            </w:r>
          </w:p>
        </w:tc>
        <w:tc>
          <w:tcPr>
            <w:tcW w:type="dxa" w:w="3120"/>
            <w:shd w:fill="E2EFDA"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75%</w:t>
            </w:r>
          </w:p>
        </w:tc>
        <w:tc>
          <w:tcPr>
            <w:tcW w:type="dxa" w:w="3120"/>
            <w:shd w:fill="E2EFDA"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₪505,226</w:t>
            </w:r>
          </w:p>
        </w:tc>
      </w:tr>
      <w:tr>
        <w:tc>
          <w:tcPr>
            <w:tcW w:type="dxa" w:w="3120"/>
            <w:shd w:fill="FFF2CC"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לוויין (סווינג)</w:t>
            </w:r>
          </w:p>
        </w:tc>
        <w:tc>
          <w:tcPr>
            <w:tcW w:type="dxa" w:w="3120"/>
            <w:shd w:fill="FFF2CC"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10%</w:t>
            </w:r>
          </w:p>
        </w:tc>
        <w:tc>
          <w:tcPr>
            <w:tcW w:type="dxa" w:w="3120"/>
            <w:shd w:fill="FFF2CC"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₪67,364</w:t>
            </w:r>
          </w:p>
        </w:tc>
      </w:tr>
      <w:tr>
        <w:tc>
          <w:tcPr>
            <w:tcW w:type="dxa" w:w="3120"/>
            <w:shd w:fill="D5E8F0"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מזומן</w:t>
            </w:r>
          </w:p>
        </w:tc>
        <w:tc>
          <w:tcPr>
            <w:tcW w:type="dxa" w:w="3120"/>
            <w:shd w:fill="D5E8F0"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15%</w:t>
            </w:r>
          </w:p>
        </w:tc>
        <w:tc>
          <w:tcPr>
            <w:tcW w:type="dxa" w:w="3120"/>
            <w:shd w:fill="D5E8F0"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₪101,045</w:t>
            </w:r>
          </w:p>
        </w:tc>
      </w:tr>
    </w:tbl>
    <w:p>
      <w:pPr>
        <w:bidi/>
        <w:spacing w:after="120" w:before="80" w:line="276"/>
        <w:jc w:val="right"/>
      </w:pPr>
      <w:r>
        <w:rPr>
          <w:rFonts w:ascii="Arial" w:cs="Arial" w:eastAsia="Arial" w:hAnsi="Arial"/>
          <w:b w:val="false"/>
          <w:bCs w:val="false"/>
          <w:i w:val="false"/>
          <w:iCs w:val="false"/>
          <w:color w:val="000000"/>
          <w:sz w:val="22"/>
          <w:szCs w:val="22"/>
          <w:rtl/>
        </w:rPr>
        <w:t xml:space="preserve">פריסת הליבה (₪505K) ב-6 מנות, החל מ-18.6 ורק כשהרמזור ירוק:</w:t>
      </w:r>
    </w:p>
    <w:tbl>
      <w:tblPr>
        <w:bidiVisual/>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2340"/>
        <w:gridCol w:w="3000"/>
        <w:gridCol w:w="4020"/>
      </w:tblGrid>
      <w:tr>
        <w:tc>
          <w:tcPr>
            <w:tcW w:type="dxa" w:w="234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מנה</w:t>
            </w:r>
          </w:p>
        </w:tc>
        <w:tc>
          <w:tcPr>
            <w:tcW w:type="dxa" w:w="300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מתי</w:t>
            </w:r>
          </w:p>
        </w:tc>
        <w:tc>
          <w:tcPr>
            <w:tcW w:type="dxa" w:w="4020"/>
            <w:shd w:fill="1F4E79" w:val="clear"/>
            <w:tcMar>
              <w:top w:type="dxa" w:w="70"/>
              <w:left w:type="dxa" w:w="110"/>
              <w:bottom w:type="dxa" w:w="70"/>
              <w:right w:type="dxa" w:w="110"/>
            </w:tcMar>
            <w:vAlign w:val="center"/>
          </w:tcPr>
          <w:p>
            <w:pPr>
              <w:bidi/>
              <w:spacing w:after="0" w:before="0" w:line="276"/>
              <w:jc w:val="center"/>
            </w:pPr>
            <w:r>
              <w:rPr>
                <w:rFonts w:ascii="Arial" w:cs="Arial" w:eastAsia="Arial" w:hAnsi="Arial"/>
                <w:b/>
                <w:bCs/>
                <w:i w:val="false"/>
                <w:iCs w:val="false"/>
                <w:color w:val="FFFFFF"/>
                <w:sz w:val="22"/>
                <w:szCs w:val="22"/>
                <w:rtl/>
              </w:rPr>
              <w:t xml:space="preserve">מצטבר (≈)</w:t>
            </w:r>
          </w:p>
        </w:tc>
      </w:tr>
      <w:tr>
        <w:tc>
          <w:tcPr>
            <w:tcW w:type="dxa" w:w="234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w:t>
            </w:r>
          </w:p>
        </w:tc>
        <w:tc>
          <w:tcPr>
            <w:tcW w:type="dxa" w:w="300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18.6 (אם ירוק)</w:t>
            </w:r>
          </w:p>
        </w:tc>
        <w:tc>
          <w:tcPr>
            <w:tcW w:type="dxa" w:w="402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₪84K  (17%)</w:t>
            </w:r>
          </w:p>
        </w:tc>
      </w:tr>
      <w:tr>
        <w:tc>
          <w:tcPr>
            <w:tcW w:type="dxa" w:w="234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2</w:t>
            </w:r>
          </w:p>
        </w:tc>
        <w:tc>
          <w:tcPr>
            <w:tcW w:type="dxa" w:w="300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+שבועיים</w:t>
            </w:r>
          </w:p>
        </w:tc>
        <w:tc>
          <w:tcPr>
            <w:tcW w:type="dxa" w:w="402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₪168K  (33%)</w:t>
            </w:r>
          </w:p>
        </w:tc>
      </w:tr>
      <w:tr>
        <w:tc>
          <w:tcPr>
            <w:tcW w:type="dxa" w:w="234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3</w:t>
            </w:r>
          </w:p>
        </w:tc>
        <w:tc>
          <w:tcPr>
            <w:tcW w:type="dxa" w:w="300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+שבועיים</w:t>
            </w:r>
          </w:p>
        </w:tc>
        <w:tc>
          <w:tcPr>
            <w:tcW w:type="dxa" w:w="402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₪253K  (50%)</w:t>
            </w:r>
          </w:p>
        </w:tc>
      </w:tr>
      <w:tr>
        <w:tc>
          <w:tcPr>
            <w:tcW w:type="dxa" w:w="234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4</w:t>
            </w:r>
          </w:p>
        </w:tc>
        <w:tc>
          <w:tcPr>
            <w:tcW w:type="dxa" w:w="300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+שבועיים</w:t>
            </w:r>
          </w:p>
        </w:tc>
        <w:tc>
          <w:tcPr>
            <w:tcW w:type="dxa" w:w="402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₪337K  (67%)</w:t>
            </w:r>
          </w:p>
        </w:tc>
      </w:tr>
      <w:tr>
        <w:tc>
          <w:tcPr>
            <w:tcW w:type="dxa" w:w="234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5</w:t>
            </w:r>
          </w:p>
        </w:tc>
        <w:tc>
          <w:tcPr>
            <w:tcW w:type="dxa" w:w="300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+שבועיים</w:t>
            </w:r>
          </w:p>
        </w:tc>
        <w:tc>
          <w:tcPr>
            <w:tcW w:type="dxa" w:w="4020"/>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₪421K  (83%)</w:t>
            </w:r>
          </w:p>
        </w:tc>
      </w:tr>
      <w:tr>
        <w:tc>
          <w:tcPr>
            <w:tcW w:type="dxa" w:w="234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6</w:t>
            </w:r>
          </w:p>
        </w:tc>
        <w:tc>
          <w:tcPr>
            <w:tcW w:type="dxa" w:w="300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+שבועיים (~אמצע ספט׳)</w:t>
            </w:r>
          </w:p>
        </w:tc>
        <w:tc>
          <w:tcPr>
            <w:tcW w:type="dxa" w:w="4020"/>
            <w:shd w:fill="F2F2F2" w:val="clear"/>
            <w:tcMar>
              <w:top w:type="dxa" w:w="70"/>
              <w:left w:type="dxa" w:w="110"/>
              <w:bottom w:type="dxa" w:w="70"/>
              <w:right w:type="dxa" w:w="110"/>
            </w:tcMar>
            <w:vAlign w:val="center"/>
          </w:tcPr>
          <w:p>
            <w:pPr>
              <w:bidi/>
              <w:spacing w:after="0" w:before="0" w:line="276"/>
              <w:jc w:val="center"/>
            </w:pPr>
            <w:r>
              <w:rPr>
                <w:rFonts w:ascii="Arial" w:cs="Arial" w:eastAsia="Arial" w:hAnsi="Arial"/>
                <w:b w:val="false"/>
                <w:bCs w:val="false"/>
                <w:i w:val="false"/>
                <w:iCs w:val="false"/>
                <w:color w:val="000000"/>
                <w:sz w:val="22"/>
                <w:szCs w:val="22"/>
                <w:rtl/>
              </w:rPr>
              <w:t xml:space="preserve">₪505K  (100%)</w:t>
            </w:r>
          </w:p>
        </w:tc>
      </w:tr>
    </w:tbl>
    <w:p>
      <w:pPr>
        <w:bidi/>
        <w:spacing w:after="120" w:before="80" w:line="276"/>
        <w:jc w:val="right"/>
      </w:pPr>
      <w:r>
        <w:rPr>
          <w:rFonts w:ascii="Arial" w:cs="Arial" w:eastAsia="Arial" w:hAnsi="Arial"/>
          <w:b/>
          <w:bCs/>
          <w:i w:val="false"/>
          <w:iCs w:val="false"/>
          <w:color w:val="000000"/>
          <w:sz w:val="22"/>
          <w:szCs w:val="22"/>
          <w:rtl/>
        </w:rPr>
        <w:t xml:space="preserve">הלוויין (₪67K) </w:t>
      </w:r>
      <w:r>
        <w:rPr>
          <w:rFonts w:ascii="Arial" w:cs="Arial" w:eastAsia="Arial" w:hAnsi="Arial"/>
          <w:b w:val="false"/>
          <w:bCs w:val="false"/>
          <w:i w:val="false"/>
          <w:iCs w:val="false"/>
          <w:color w:val="000000"/>
          <w:sz w:val="22"/>
          <w:szCs w:val="22"/>
          <w:rtl/>
        </w:rPr>
        <w:t xml:space="preserve">נכנס בנפרד, פוזיציה-פוזיציה, רק על אותות 5★ שעוברים את כל חוקי הסעיף 5 - ולא לפני שהרמזור ירוק.</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4. טריגרים מותנים (צ׳ק-ליסט לפני כל מנה)</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רמזור ירוק: </w:t>
      </w:r>
      <w:r>
        <w:rPr>
          <w:rFonts w:ascii="Arial" w:cs="Arial" w:eastAsia="Arial" w:hAnsi="Arial"/>
          <w:b w:val="false"/>
          <w:bCs w:val="false"/>
          <w:i w:val="false"/>
          <w:iCs w:val="false"/>
          <w:color w:val="000000"/>
          <w:sz w:val="22"/>
          <w:szCs w:val="22"/>
          <w:rtl/>
        </w:rPr>
        <w:t xml:space="preserve">VIX מתחת ל-20 וגם SPY מעל MA200.</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FOMC עבר: </w:t>
      </w:r>
      <w:r>
        <w:rPr>
          <w:rFonts w:ascii="Arial" w:cs="Arial" w:eastAsia="Arial" w:hAnsi="Arial"/>
          <w:b w:val="false"/>
          <w:bCs w:val="false"/>
          <w:i w:val="false"/>
          <w:iCs w:val="false"/>
          <w:color w:val="000000"/>
          <w:sz w:val="22"/>
          <w:szCs w:val="22"/>
          <w:rtl/>
        </w:rPr>
        <w:t xml:space="preserve">החלטת 17.6 + dot-plot לא ניצי באופן קיצוני. אם ניצי - להשהות מנה אחת.</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אם VIX&gt;25 או SPY&lt;MA200: </w:t>
      </w:r>
      <w:r>
        <w:rPr>
          <w:rFonts w:ascii="Arial" w:cs="Arial" w:eastAsia="Arial" w:hAnsi="Arial"/>
          <w:b w:val="false"/>
          <w:bCs w:val="false"/>
          <w:i w:val="false"/>
          <w:iCs w:val="false"/>
          <w:color w:val="000000"/>
          <w:sz w:val="22"/>
          <w:szCs w:val="22"/>
          <w:rtl/>
        </w:rPr>
        <w:t xml:space="preserve">להקפיא את המנה הבאה עד שהרמזור חוזר לירוק.</w:t>
      </w:r>
    </w:p>
    <w:p>
      <w:pPr>
        <w:pStyle w:val="ListParagraph"/>
        <w:numPr>
          <w:ilvl w:val="0"/>
          <w:numId w:val="2"/>
        </w:numPr>
        <w:bidi/>
        <w:spacing w:after="60" w:line="270"/>
        <w:jc w:val="right"/>
      </w:pPr>
      <w:r>
        <w:rPr>
          <w:rFonts w:ascii="Arial" w:cs="Arial" w:eastAsia="Arial" w:hAnsi="Arial"/>
          <w:b/>
          <w:bCs/>
          <w:i w:val="false"/>
          <w:iCs w:val="false"/>
          <w:color w:val="000000"/>
          <w:sz w:val="22"/>
          <w:szCs w:val="22"/>
          <w:rtl/>
        </w:rPr>
        <w:t xml:space="preserve">מטבע: </w:t>
      </w:r>
      <w:r>
        <w:rPr>
          <w:rFonts w:ascii="Arial" w:cs="Arial" w:eastAsia="Arial" w:hAnsi="Arial"/>
          <w:b w:val="false"/>
          <w:bCs w:val="false"/>
          <w:i w:val="false"/>
          <w:iCs w:val="false"/>
          <w:color w:val="000000"/>
          <w:sz w:val="22"/>
          <w:szCs w:val="22"/>
          <w:rtl/>
        </w:rPr>
        <w:t xml:space="preserve">לוודא שכל מנה מבוצעת לפי גישה ג׳ (דולר במקומו, שקל מנוטרל).</w:t>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5. שורה תחתונה</w:t>
      </w:r>
    </w:p>
    <w:p>
      <w:pPr>
        <w:bidi/>
        <w:spacing w:after="120" w:before="0" w:line="276"/>
        <w:jc w:val="right"/>
      </w:pPr>
      <w:r>
        <w:rPr>
          <w:rFonts w:ascii="Arial" w:cs="Arial" w:eastAsia="Arial" w:hAnsi="Arial"/>
          <w:b/>
          <w:bCs/>
          <w:i w:val="false"/>
          <w:iCs w:val="false"/>
          <w:color w:val="000000"/>
          <w:sz w:val="22"/>
          <w:szCs w:val="22"/>
          <w:rtl/>
        </w:rPr>
        <w:t xml:space="preserve">הדבר עם התוצאה הכספית האמיתית הוא פריסת הליבה - והיא בלתי תלויה בספר הצללים. </w:t>
      </w:r>
      <w:r>
        <w:rPr>
          <w:rFonts w:ascii="Arial" w:cs="Arial" w:eastAsia="Arial" w:hAnsi="Arial"/>
          <w:b w:val="false"/>
          <w:bCs w:val="false"/>
          <w:i w:val="false"/>
          <w:iCs w:val="false"/>
          <w:color w:val="000000"/>
          <w:sz w:val="22"/>
          <w:szCs w:val="22"/>
          <w:rtl/>
        </w:rPr>
        <w:t xml:space="preserve">לשבת ALL CASH בזמן שהשקל חזק והמזומן נשחק זה הסיכון הגדול ביותר כרגע, גדול בהרבה מהסיכון של "להיכנס מוקדם מדי". התוכנית הזו מוציאה אותך מהמזומן הנשחק לליבת מדד באופן מדורג ומבוקר, ושומרת ללוויין רק תפקיד של אופציה נמדדת.</w:t>
      </w:r>
    </w:p>
    <w:p>
      <w:r>
        <w:br w:type="page"/>
      </w:r>
    </w:p>
    <w:p>
      <w:pPr>
        <w:pStyle w:val="Heading1"/>
        <w:pBdr>
          <w:bottom w:val="single" w:color="1F4E79" w:sz="6" w:space="2"/>
        </w:pBdr>
        <w:bidi/>
        <w:spacing w:after="140" w:before="280"/>
        <w:jc w:val="right"/>
      </w:pPr>
      <w:r>
        <w:rPr>
          <w:rFonts w:ascii="Arial" w:cs="Arial" w:eastAsia="Arial" w:hAnsi="Arial"/>
          <w:b/>
          <w:bCs/>
          <w:color w:val="1F4E79"/>
          <w:sz w:val="30"/>
          <w:szCs w:val="30"/>
          <w:rtl/>
        </w:rPr>
        <w:t xml:space="preserve">נספח: מקורות והסתייגות</w:t>
      </w:r>
    </w:p>
    <w:p>
      <w:pPr>
        <w:pStyle w:val="Heading2"/>
        <w:bidi/>
        <w:spacing w:after="100" w:before="200"/>
        <w:jc w:val="right"/>
      </w:pPr>
      <w:r>
        <w:rPr>
          <w:rFonts w:ascii="Arial" w:cs="Arial" w:eastAsia="Arial" w:hAnsi="Arial"/>
          <w:b/>
          <w:bCs/>
          <w:color w:val="2E5496"/>
          <w:sz w:val="25"/>
          <w:szCs w:val="25"/>
          <w:rtl/>
        </w:rPr>
        <w:t xml:space="preserve">מקורות</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מפת דרכים לשיפור מודל 5 כוכבים (Google Drive) — CAGR 1.47%, רף אור-ירוק 95%/20 עסקאות.</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יומן שינויים ושיפורים 5★ 15.6.26 (Google Drive) — מנוע ה-paper trading ויציאות-צללים.</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Trading_Commander_v17.2_Unified_Prompt (Google Drive) — מודל 30/2/8, 8 חוקי הברזל, position sizing.</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שער USD/ILS 16.6.26: 2.910-2.922 (exchange-rates.org, tradingeconomics) — מאמת את 2.916.</w:t>
      </w:r>
    </w:p>
    <w:p>
      <w:pPr>
        <w:pStyle w:val="ListParagraph"/>
        <w:numPr>
          <w:ilvl w:val="0"/>
          <w:numId w:val="2"/>
        </w:numPr>
        <w:bidi/>
        <w:spacing w:after="60" w:line="270"/>
        <w:jc w:val="right"/>
      </w:pPr>
      <w:r>
        <w:rPr>
          <w:rFonts w:ascii="Arial" w:cs="Arial" w:eastAsia="Arial" w:hAnsi="Arial"/>
          <w:b w:val="false"/>
          <w:bCs w:val="false"/>
          <w:i w:val="false"/>
          <w:iCs w:val="false"/>
          <w:color w:val="000000"/>
          <w:sz w:val="22"/>
          <w:szCs w:val="22"/>
          <w:rtl/>
        </w:rPr>
        <w:t xml:space="preserve">FOMC יוני 2026: ישיבה 16-17.6, החלטה 17.6, צפי hold 3.50-3.75% (CME FedWatch, IndexBox).</w:t>
      </w:r>
    </w:p>
    <w:p>
      <w:pPr>
        <w:pStyle w:val="Heading2"/>
        <w:bidi/>
        <w:spacing w:after="100" w:before="200"/>
        <w:jc w:val="right"/>
      </w:pPr>
      <w:r>
        <w:rPr>
          <w:rFonts w:ascii="Arial" w:cs="Arial" w:eastAsia="Arial" w:hAnsi="Arial"/>
          <w:b/>
          <w:bCs/>
          <w:color w:val="2E5496"/>
          <w:sz w:val="25"/>
          <w:szCs w:val="25"/>
          <w:rtl/>
        </w:rPr>
        <w:t xml:space="preserve">הסתייגות</w:t>
      </w:r>
    </w:p>
    <w:p>
      <w:pPr>
        <w:bidi/>
        <w:spacing w:after="120" w:before="0" w:line="276"/>
        <w:jc w:val="right"/>
      </w:pPr>
      <w:r>
        <w:rPr>
          <w:rFonts w:ascii="Arial" w:cs="Arial" w:eastAsia="Arial" w:hAnsi="Arial"/>
          <w:b/>
          <w:bCs/>
          <w:i w:val="false"/>
          <w:iCs w:val="false"/>
          <w:color w:val="000000"/>
          <w:sz w:val="22"/>
          <w:szCs w:val="22"/>
          <w:rtl/>
        </w:rPr>
        <w:t xml:space="preserve">איני יועץ השקעות מורשה, והמסמך אינו ייעוץ השקעות אישי. </w:t>
      </w:r>
      <w:r>
        <w:rPr>
          <w:rFonts w:ascii="Arial" w:cs="Arial" w:eastAsia="Arial" w:hAnsi="Arial"/>
          <w:b w:val="false"/>
          <w:bCs w:val="false"/>
          <w:i w:val="false"/>
          <w:iCs w:val="false"/>
          <w:color w:val="000000"/>
          <w:sz w:val="22"/>
          <w:szCs w:val="22"/>
          <w:rtl/>
        </w:rPr>
        <w:t xml:space="preserve">זוהי מסגרת אסטרטגית ומתודולוגית לקבלת החלטות שלך עצמך. בחירת מכשירים ספציפיים, החלטת המטבע, והתזמון - באחריותך, ומומלץ לאמת מול יועץ מורשה ומול שיקולי מס. נתוני שוק נכונים ל-16.6.2026 וישתנו.</w:t>
      </w:r>
    </w:p>
    <w:sectPr>
      <w:footerReference w:type="default" r:id="rId7"/>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08080"/>
        <w:sz w:val="16"/>
        <w:szCs w:val="16"/>
        <w:rtl/>
      </w:rPr>
      <w:t xml:space="preserve">AVI HUNTER · דוקטרינת Core-Satellite · 16.6.2026 · עמוד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360" w:hanging="260"/>
      </w:pPr>
    </w:lvl>
  </w:abstractNum>
  <w:abstractNum w:abstractNumId="3" w15:restartNumberingAfterBreak="0">
    <w:multiLevelType w:val="hybridMultilevel"/>
    <w:lvl w:ilvl="0" w15:tentative="1">
      <w:start w:val="1"/>
      <w:numFmt w:val="decimal"/>
      <w:lvlText w:val="%1."/>
      <w:lvlJc w:val="right"/>
      <w:pPr>
        <w:ind w:righ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2026-06-16T18:12:56.403Z</dcterms:created>
  <dcterms:modified xsi:type="dcterms:W3CDTF">2026-06-16T18:12:56.404Z</dcterms:modified>
</cp:coreProperties>
</file>

<file path=docProps/custom.xml><?xml version="1.0" encoding="utf-8"?>
<Properties xmlns="http://schemas.openxmlformats.org/officeDocument/2006/custom-properties" xmlns:vt="http://schemas.openxmlformats.org/officeDocument/2006/docPropsVTypes"/>
</file>