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DB035" w14:textId="77777777" w:rsidR="007062F0" w:rsidRDefault="00000000" w:rsidP="00FA595A">
      <w:pPr>
        <w:spacing w:after="60"/>
      </w:pPr>
      <w:r>
        <w:rPr>
          <w:b/>
          <w:bCs/>
          <w:sz w:val="36"/>
          <w:szCs w:val="36"/>
          <w:rtl/>
        </w:rPr>
        <w:t>שיפור מודל “5 הכוכבים” - ניתוח מקצועי ומפת דרכים</w:t>
      </w:r>
    </w:p>
    <w:p w14:paraId="3F5DB6AC" w14:textId="77777777" w:rsidR="007062F0" w:rsidRDefault="00000000" w:rsidP="00FA595A">
      <w:pPr>
        <w:spacing w:after="40"/>
      </w:pPr>
      <w:r>
        <w:rPr>
          <w:color w:val="555555"/>
          <w:sz w:val="26"/>
          <w:szCs w:val="26"/>
          <w:rtl/>
        </w:rPr>
        <w:t>התגברות על החולשות בלי לפגוע במה שעובד</w:t>
      </w:r>
    </w:p>
    <w:p w14:paraId="0935C106" w14:textId="77777777" w:rsidR="007062F0" w:rsidRDefault="00000000" w:rsidP="00FA595A">
      <w:pPr>
        <w:spacing w:after="120"/>
      </w:pPr>
      <w:r>
        <w:rPr>
          <w:color w:val="777777"/>
          <w:sz w:val="20"/>
          <w:szCs w:val="20"/>
          <w:rtl/>
        </w:rPr>
        <w:t>אבי חזן  |  14.6.2026  |  נשען על דוח הריסוק, מדריך העומק ומסמך השיפור</w:t>
      </w:r>
    </w:p>
    <w:p w14:paraId="6E3AC32A" w14:textId="77777777" w:rsidR="007062F0" w:rsidRDefault="007062F0" w:rsidP="00FA595A">
      <w:pPr>
        <w:pBdr>
          <w:bottom w:val="single" w:sz="8" w:space="1" w:color="2E75B6"/>
        </w:pBdr>
      </w:pPr>
    </w:p>
    <w:p w14:paraId="5F5E271B" w14:textId="77777777" w:rsidR="007062F0" w:rsidRDefault="007062F0" w:rsidP="00FA595A"/>
    <w:p w14:paraId="3A0F1299" w14:textId="77777777" w:rsidR="007062F0" w:rsidRDefault="00000000" w:rsidP="00FA595A">
      <w:pPr>
        <w:pStyle w:val="1"/>
        <w:bidi/>
      </w:pPr>
      <w:r>
        <w:rPr>
          <w:rtl/>
        </w:rPr>
        <w:t>1. תקציר מנהלים</w:t>
      </w:r>
    </w:p>
    <w:p w14:paraId="6F493E9D" w14:textId="77777777" w:rsidR="007062F0" w:rsidRDefault="00000000" w:rsidP="00FA595A">
      <w:r>
        <w:rPr>
          <w:rtl/>
        </w:rPr>
        <w:t>המסמכים הקיימים שלך (דוח ריסוק, מדריך עומק, מסמך שיפור) מצוינים, כנים ומבוססי-מחקר - נדיר מאוד במערכות ריטייל. לכן מסמך זה אינו חוזר עליהם, אלא מוסיף את שכבת ההכרעה המקצועית: היכן תוכנית השיפור הקיימת פגיעה, מהו המנוף הסטטיסטי שמאפשר לבדוק שיפורים מהר ובלי סיכון, ומהו סדר העדיפויות הנכון.</w:t>
      </w:r>
    </w:p>
    <w:p w14:paraId="67F3EE5D" w14:textId="77777777" w:rsidR="007062F0" w:rsidRDefault="00000000" w:rsidP="00FA595A">
      <w:r>
        <w:rPr>
          <w:b/>
          <w:bCs/>
          <w:rtl/>
        </w:rPr>
        <w:t xml:space="preserve">שלוש מסקנות מפתח: </w:t>
      </w:r>
    </w:p>
    <w:p w14:paraId="140C6431" w14:textId="77777777" w:rsidR="007062F0" w:rsidRDefault="00000000" w:rsidP="00FA595A">
      <w:pPr>
        <w:pStyle w:val="a4"/>
        <w:numPr>
          <w:ilvl w:val="0"/>
          <w:numId w:val="2"/>
        </w:numPr>
        <w:bidi/>
      </w:pPr>
      <w:r>
        <w:rPr>
          <w:b/>
          <w:bCs/>
          <w:rtl/>
        </w:rPr>
        <w:t xml:space="preserve">הבדיקה קדימה הסדרתית סותרת את עצמה - </w:t>
      </w:r>
      <w:r>
        <w:rPr>
          <w:rtl/>
        </w:rPr>
        <w:t>בדיקת מספר שיפורים בזה אחר זה היא בדיוק “ריבוי הבדיקות” שה-DSR נועד להעניש, והיא איטית מאוד.</w:t>
      </w:r>
    </w:p>
    <w:p w14:paraId="3A6C6FB0" w14:textId="77777777" w:rsidR="007062F0" w:rsidRDefault="00000000" w:rsidP="00FA595A">
      <w:pPr>
        <w:pStyle w:val="a4"/>
        <w:numPr>
          <w:ilvl w:val="0"/>
          <w:numId w:val="2"/>
        </w:numPr>
        <w:bidi/>
      </w:pPr>
      <w:r>
        <w:rPr>
          <w:b/>
          <w:bCs/>
          <w:rtl/>
        </w:rPr>
        <w:t xml:space="preserve">המנוף - הפרדת יציאה מכניסה: </w:t>
      </w:r>
      <w:r>
        <w:rPr>
          <w:rtl/>
        </w:rPr>
        <w:t>שיפורי יציאה נבדקים במקביל ובהשוואה מזווגת על אותן עסקאות, בלי סיכון ובלי המתנה. שיפורי כניסה הם משתני מצב-שוק חיצוניים שניתן לבקטסט בסיכון התאמה נמוך.</w:t>
      </w:r>
    </w:p>
    <w:p w14:paraId="6D057C24" w14:textId="77777777" w:rsidR="007062F0" w:rsidRDefault="00000000" w:rsidP="00FA595A">
      <w:pPr>
        <w:pStyle w:val="a4"/>
        <w:numPr>
          <w:ilvl w:val="0"/>
          <w:numId w:val="2"/>
        </w:numPr>
        <w:bidi/>
      </w:pPr>
      <w:r>
        <w:rPr>
          <w:b/>
          <w:bCs/>
          <w:rtl/>
        </w:rPr>
        <w:t xml:space="preserve">גם תיקון מושלם לא מייצר אלפא: </w:t>
      </w:r>
      <w:r>
        <w:rPr>
          <w:rtl/>
        </w:rPr>
        <w:t>התיקונים מקטינים נסיגה וקריסות; הם לא הופכים CAGR של 1.47% למכה-את-SPY. הרף הנכון להכרעה: ניצחון על SPY מותאם-סיכון, לא “תוחלת חיובית” בלבד.</w:t>
      </w:r>
    </w:p>
    <w:p w14:paraId="06785CAE" w14:textId="77777777" w:rsidR="007062F0" w:rsidRDefault="007062F0" w:rsidP="00FA595A"/>
    <w:p w14:paraId="52882C64" w14:textId="77777777" w:rsidR="007062F0" w:rsidRDefault="00000000" w:rsidP="00FA595A">
      <w:pPr>
        <w:pStyle w:val="1"/>
        <w:bidi/>
      </w:pPr>
      <w:r>
        <w:rPr>
          <w:rtl/>
        </w:rPr>
        <w:t>2. שלוש אמיתות קשות</w:t>
      </w:r>
    </w:p>
    <w:p w14:paraId="4D1BE679" w14:textId="77777777" w:rsidR="007062F0" w:rsidRDefault="00000000" w:rsidP="00FA595A">
      <w:pPr>
        <w:pStyle w:val="2"/>
        <w:bidi/>
      </w:pPr>
      <w:r>
        <w:rPr>
          <w:rtl/>
        </w:rPr>
        <w:t>2.1 תוכנית הבדיקה קדימה - סותרת את עצמה סטטיסטית</w:t>
      </w:r>
    </w:p>
    <w:p w14:paraId="42658A3F" w14:textId="77777777" w:rsidR="007062F0" w:rsidRDefault="00000000" w:rsidP="00FA595A">
      <w:r>
        <w:rPr>
          <w:rtl/>
        </w:rPr>
        <w:t>ההנחיה החוזרת במסמכים היא “בדוק כל שיפור על 50+ עסקאות נייר קדימה”. עיקרון נכון, אבל יש בו שלושה כשלים שלא טופלו:</w:t>
      </w:r>
    </w:p>
    <w:p w14:paraId="4C756801" w14:textId="77777777" w:rsidR="007062F0" w:rsidRDefault="00000000" w:rsidP="00FA595A">
      <w:pPr>
        <w:pStyle w:val="a4"/>
        <w:numPr>
          <w:ilvl w:val="0"/>
          <w:numId w:val="3"/>
        </w:numPr>
        <w:bidi/>
      </w:pPr>
      <w:r>
        <w:rPr>
          <w:rtl/>
        </w:rPr>
        <w:t>אי אפשר לבדוק כמה שיפורים בטור: כל שיפור דורש 50 עסקאות, והכניסות נדירות. breadth, ואז trailing, ואז scaled = שנים של המתנה.</w:t>
      </w:r>
    </w:p>
    <w:p w14:paraId="4F23D564" w14:textId="77777777" w:rsidR="007062F0" w:rsidRDefault="00000000" w:rsidP="00FA595A">
      <w:pPr>
        <w:pStyle w:val="a4"/>
        <w:numPr>
          <w:ilvl w:val="0"/>
          <w:numId w:val="3"/>
        </w:numPr>
        <w:bidi/>
      </w:pPr>
      <w:r>
        <w:rPr>
          <w:rtl/>
        </w:rPr>
        <w:t>ריבוי בדיקות: כל וריאציה שנבדקת קדימה מוסיפה ל“trials” של ה-DSR ומעלה את רף המובהקות - בדיוק מה ש-Harvey, Liu &amp; Zhu (2016) ו-Bailey &amp; Lopez de Prado (2014) מזהירים מפניו.</w:t>
      </w:r>
    </w:p>
    <w:p w14:paraId="2CBE2DCD" w14:textId="77777777" w:rsidR="007062F0" w:rsidRDefault="00000000" w:rsidP="00FA595A">
      <w:pPr>
        <w:pStyle w:val="a4"/>
        <w:numPr>
          <w:ilvl w:val="0"/>
          <w:numId w:val="3"/>
        </w:numPr>
        <w:bidi/>
      </w:pPr>
      <w:r>
        <w:rPr>
          <w:rtl/>
        </w:rPr>
        <w:t>מסנני הכניסה מרעיבים את המבחן: מסנן הקשר חוסם כניסות, מקטין את מספר עסקאות הנייר, ומאריך עוד יותר את הזמן עד 50 העסקאות. אתה מאט בדיוק את המבחן שאתה צריך.</w:t>
      </w:r>
    </w:p>
    <w:p w14:paraId="16EFEE76" w14:textId="77777777" w:rsidR="007062F0" w:rsidRDefault="00000000" w:rsidP="00FA595A">
      <w:pPr>
        <w:pStyle w:val="2"/>
        <w:bidi/>
      </w:pPr>
      <w:r>
        <w:rPr>
          <w:rtl/>
        </w:rPr>
        <w:t>2.2 גם אם כל התיקונים יעבדו - הם לא מייצרים אלפא</w:t>
      </w:r>
    </w:p>
    <w:p w14:paraId="0D9BE84E" w14:textId="77777777" w:rsidR="007062F0" w:rsidRDefault="00000000" w:rsidP="00FA595A">
      <w:r>
        <w:rPr>
          <w:rtl/>
        </w:rPr>
        <w:t>כל חמשת התיקונים מטפלים בנסיגה ובהימנעות מקריסות: נסיעה חלקה יותר, להפסיד פחות. הם אינם מייצרים תשואה עודפת. מסנן קריסות שמוציא אותך מתקופות רעות מקצץ גם את ההפסדים וגם את הרווחים הדקים ממילא. התרחיש הריאלי הטוב ביותר: שיטה עם נסיגה נמוכה שעדיין כנראה מפגרת אחרי SPY - לא מכונת אלפא. לכן ההכרעה חייבת להימדד מול SPY, לא מול אפס.</w:t>
      </w:r>
    </w:p>
    <w:p w14:paraId="312BBE18" w14:textId="77777777" w:rsidR="007062F0" w:rsidRDefault="00000000" w:rsidP="00FA595A">
      <w:pPr>
        <w:pStyle w:val="2"/>
        <w:bidi/>
      </w:pPr>
      <w:r>
        <w:rPr>
          <w:rtl/>
        </w:rPr>
        <w:t>2.3 דעיכת היתרון אחרי 2019 - האיום שאף תיקון לא נוגע בו</w:t>
      </w:r>
    </w:p>
    <w:p w14:paraId="76287CAD" w14:textId="77777777" w:rsidR="007062F0" w:rsidRDefault="00000000" w:rsidP="00FA595A">
      <w:r>
        <w:rPr>
          <w:rtl/>
        </w:rPr>
        <w:t>אם היתרון דעך אחרי 2019, זו אינה בעיית קריסה אלא דעיכת אלפא מבנית (האנומליה אורבטרה, או שהמשטר השתנה). שום trailing stop ושום מסנן breadth לא מתקנים דעיכת אלפא. רק רקורד אמת קדימה הוא השופט אם נשאר יתרון היום. זה ממצב מחדש את המבחן קדימה: הוא התשובה לדעיכה, לא רק ל“מזל”.</w:t>
      </w:r>
    </w:p>
    <w:p w14:paraId="0A43F083" w14:textId="77777777" w:rsidR="007062F0" w:rsidRDefault="007062F0" w:rsidP="00FA595A"/>
    <w:p w14:paraId="6B6E8836" w14:textId="77777777" w:rsidR="007062F0" w:rsidRDefault="00000000" w:rsidP="00FA595A">
      <w:pPr>
        <w:pStyle w:val="1"/>
        <w:bidi/>
      </w:pPr>
      <w:r>
        <w:rPr>
          <w:rtl/>
        </w:rPr>
        <w:t>3. ההבחנה המרכזית: יציאה מול כניסה</w:t>
      </w:r>
    </w:p>
    <w:p w14:paraId="0A6C696B" w14:textId="77777777" w:rsidR="007062F0" w:rsidRDefault="00000000" w:rsidP="00FA595A">
      <w:r>
        <w:rPr>
          <w:b/>
          <w:bCs/>
          <w:rtl/>
        </w:rPr>
        <w:t xml:space="preserve">שיפורי יציאה (trailing / ATR / Chandelier / יציאה מדורגת): </w:t>
      </w:r>
      <w:r>
        <w:rPr>
          <w:rtl/>
        </w:rPr>
        <w:t xml:space="preserve">נבדקים בלי עסקה חדשה אחת ובלי סיכון, על ידי הרצת לוגיקת היציאה החלופית על אותם מסלולי מחיר של אותן כניסות. מנוע הסגירה היומי כבר מושך נתוני </w:t>
      </w:r>
      <w:r>
        <w:rPr>
          <w:rtl/>
        </w:rPr>
        <w:lastRenderedPageBreak/>
        <w:t>Yahoo. זו השוואה מזווגת (same entry, different exit) - חזקה בהרבה מהשוואת שני מדגמי-50 נפרדים, ובלתי תלויה בקצב הכניסות. היציאה החיה נשארת ללא שינוי; הווריאציות רצות כצללים לצידה.</w:t>
      </w:r>
    </w:p>
    <w:p w14:paraId="7C14F3A0" w14:textId="77777777" w:rsidR="007062F0" w:rsidRDefault="00000000" w:rsidP="00FA595A">
      <w:r>
        <w:rPr>
          <w:b/>
          <w:bCs/>
          <w:rtl/>
        </w:rPr>
        <w:t xml:space="preserve">שיפורי כניסה (breadth / מסנני מאקרו): </w:t>
      </w:r>
      <w:r>
        <w:rPr>
          <w:rtl/>
        </w:rPr>
        <w:t>משתנה מצב-שוק חיצוני (top-down), לא פרמטר שמכוונן על המניה. לכן סיכון ההתאמה-יתר נמוך מאוד, וניתן לבקטסט אותם לגיטימית - לא מכווננים סף למניה, אלא מוסיפים שער-משטר.</w:t>
      </w:r>
    </w:p>
    <w:p w14:paraId="4AD34573" w14:textId="77777777" w:rsidR="007062F0" w:rsidRDefault="00000000" w:rsidP="00FA595A">
      <w:r>
        <w:rPr>
          <w:b/>
          <w:bCs/>
          <w:rtl/>
        </w:rPr>
        <w:t xml:space="preserve">המסקנה: </w:t>
      </w:r>
      <w:r>
        <w:rPr>
          <w:rtl/>
        </w:rPr>
        <w:t>מתחילים מהיציאה - תשובה מהירה, נטולת-סיכון, מבוססת-מדגם חזק. שינויי הכניסה דורשים בקטסט קודם והרצת-צללים ארוכה יותר.</w:t>
      </w:r>
    </w:p>
    <w:p w14:paraId="261C1E3A" w14:textId="77777777" w:rsidR="007062F0" w:rsidRDefault="007062F0" w:rsidP="00FA595A"/>
    <w:p w14:paraId="1FC05B8F" w14:textId="77777777" w:rsidR="007062F0" w:rsidRDefault="00000000" w:rsidP="00FA595A">
      <w:pPr>
        <w:pStyle w:val="1"/>
        <w:bidi/>
      </w:pPr>
      <w:r>
        <w:rPr>
          <w:rtl/>
        </w:rPr>
        <w:t>4. מפת דרכים - חמש החולשות בסדר עדיפות</w:t>
      </w:r>
    </w:p>
    <w:p w14:paraId="3185312D" w14:textId="77777777" w:rsidR="007062F0" w:rsidRDefault="00000000" w:rsidP="00FA595A">
      <w:r>
        <w:rPr>
          <w:rtl/>
        </w:rPr>
        <w:t>הדירוג לפי: השפעה × ניתנות-לבדיקה-בלי-נזק × סיכון-התאמה-נמוך.</w:t>
      </w:r>
    </w:p>
    <w:tbl>
      <w:tblPr>
        <w:bidiVisu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600"/>
        <w:gridCol w:w="3260"/>
      </w:tblGrid>
      <w:tr w:rsidR="007062F0" w14:paraId="704E72FB" w14:textId="77777777" w:rsidTr="00FA595A">
        <w:tblPrEx>
          <w:tblCellMar>
            <w:top w:w="0" w:type="dxa"/>
            <w:bottom w:w="0" w:type="dxa"/>
          </w:tblCellMar>
        </w:tblPrEx>
        <w:tc>
          <w:tcPr>
            <w:tcW w:w="900" w:type="dxa"/>
            <w:tcBorders>
              <w:top w:val="single" w:sz="1" w:space="0" w:color="B8C4D0"/>
              <w:left w:val="single" w:sz="1" w:space="0" w:color="B8C4D0"/>
              <w:bottom w:val="single" w:sz="1" w:space="0" w:color="B8C4D0"/>
              <w:right w:val="single" w:sz="1" w:space="0" w:color="B8C4D0"/>
            </w:tcBorders>
            <w:shd w:val="clear" w:color="auto" w:fill="2E75B6"/>
            <w:tcMar>
              <w:top w:w="60" w:type="dxa"/>
              <w:left w:w="100" w:type="dxa"/>
              <w:bottom w:w="60" w:type="dxa"/>
              <w:right w:w="100" w:type="dxa"/>
            </w:tcMar>
          </w:tcPr>
          <w:p w14:paraId="5DBC55FA" w14:textId="77777777" w:rsidR="007062F0" w:rsidRDefault="00000000" w:rsidP="00FA595A">
            <w:r>
              <w:rPr>
                <w:b/>
                <w:bCs/>
                <w:color w:val="FFFFFF"/>
                <w:sz w:val="20"/>
                <w:szCs w:val="20"/>
                <w:rtl/>
              </w:rPr>
              <w:t>עדיפות</w:t>
            </w:r>
          </w:p>
        </w:tc>
        <w:tc>
          <w:tcPr>
            <w:tcW w:w="2600" w:type="dxa"/>
            <w:tcBorders>
              <w:top w:val="single" w:sz="1" w:space="0" w:color="B8C4D0"/>
              <w:left w:val="single" w:sz="1" w:space="0" w:color="B8C4D0"/>
              <w:bottom w:val="single" w:sz="1" w:space="0" w:color="B8C4D0"/>
              <w:right w:val="single" w:sz="1" w:space="0" w:color="B8C4D0"/>
            </w:tcBorders>
            <w:shd w:val="clear" w:color="auto" w:fill="2E75B6"/>
            <w:tcMar>
              <w:top w:w="60" w:type="dxa"/>
              <w:left w:w="100" w:type="dxa"/>
              <w:bottom w:w="60" w:type="dxa"/>
              <w:right w:w="100" w:type="dxa"/>
            </w:tcMar>
          </w:tcPr>
          <w:p w14:paraId="1D3B2E5D" w14:textId="77777777" w:rsidR="007062F0" w:rsidRDefault="00000000" w:rsidP="00FA595A">
            <w:r>
              <w:rPr>
                <w:b/>
                <w:bCs/>
                <w:color w:val="FFFFFF"/>
                <w:sz w:val="20"/>
                <w:szCs w:val="20"/>
                <w:rtl/>
              </w:rPr>
              <w:t>חולשה</w:t>
            </w:r>
          </w:p>
        </w:tc>
        <w:tc>
          <w:tcPr>
            <w:tcW w:w="2600" w:type="dxa"/>
            <w:tcBorders>
              <w:top w:val="single" w:sz="1" w:space="0" w:color="B8C4D0"/>
              <w:left w:val="single" w:sz="1" w:space="0" w:color="B8C4D0"/>
              <w:bottom w:val="single" w:sz="1" w:space="0" w:color="B8C4D0"/>
              <w:right w:val="single" w:sz="1" w:space="0" w:color="B8C4D0"/>
            </w:tcBorders>
            <w:shd w:val="clear" w:color="auto" w:fill="2E75B6"/>
            <w:tcMar>
              <w:top w:w="60" w:type="dxa"/>
              <w:left w:w="100" w:type="dxa"/>
              <w:bottom w:w="60" w:type="dxa"/>
              <w:right w:w="100" w:type="dxa"/>
            </w:tcMar>
          </w:tcPr>
          <w:p w14:paraId="026E77C3" w14:textId="77777777" w:rsidR="007062F0" w:rsidRDefault="00000000" w:rsidP="00FA595A">
            <w:r>
              <w:rPr>
                <w:b/>
                <w:bCs/>
                <w:color w:val="FFFFFF"/>
                <w:sz w:val="20"/>
                <w:szCs w:val="20"/>
                <w:rtl/>
              </w:rPr>
              <w:t>פעולה מומלצת</w:t>
            </w:r>
          </w:p>
        </w:tc>
        <w:tc>
          <w:tcPr>
            <w:tcW w:w="3260" w:type="dxa"/>
            <w:tcBorders>
              <w:top w:val="single" w:sz="1" w:space="0" w:color="B8C4D0"/>
              <w:left w:val="single" w:sz="1" w:space="0" w:color="B8C4D0"/>
              <w:bottom w:val="single" w:sz="1" w:space="0" w:color="B8C4D0"/>
              <w:right w:val="single" w:sz="1" w:space="0" w:color="B8C4D0"/>
            </w:tcBorders>
            <w:shd w:val="clear" w:color="auto" w:fill="2E75B6"/>
            <w:tcMar>
              <w:top w:w="60" w:type="dxa"/>
              <w:left w:w="100" w:type="dxa"/>
              <w:bottom w:w="60" w:type="dxa"/>
              <w:right w:w="100" w:type="dxa"/>
            </w:tcMar>
          </w:tcPr>
          <w:p w14:paraId="62F51C60" w14:textId="77777777" w:rsidR="007062F0" w:rsidRDefault="00000000" w:rsidP="00FA595A">
            <w:r>
              <w:rPr>
                <w:b/>
                <w:bCs/>
                <w:color w:val="FFFFFF"/>
                <w:sz w:val="20"/>
                <w:szCs w:val="20"/>
                <w:rtl/>
              </w:rPr>
              <w:t>איך בודקים בלי התאמת-יתר</w:t>
            </w:r>
          </w:p>
        </w:tc>
      </w:tr>
      <w:tr w:rsidR="007062F0" w14:paraId="466FFF4B" w14:textId="77777777" w:rsidTr="00FA595A">
        <w:tblPrEx>
          <w:tblCellMar>
            <w:top w:w="0" w:type="dxa"/>
            <w:bottom w:w="0" w:type="dxa"/>
          </w:tblCellMar>
        </w:tblPrEx>
        <w:tc>
          <w:tcPr>
            <w:tcW w:w="900" w:type="dxa"/>
            <w:tcBorders>
              <w:top w:val="single" w:sz="1" w:space="0" w:color="B8C4D0"/>
              <w:left w:val="single" w:sz="1" w:space="0" w:color="B8C4D0"/>
              <w:bottom w:val="single" w:sz="1" w:space="0" w:color="B8C4D0"/>
              <w:right w:val="single" w:sz="1" w:space="0" w:color="B8C4D0"/>
            </w:tcBorders>
            <w:shd w:val="clear" w:color="auto" w:fill="E8F0FA"/>
            <w:tcMar>
              <w:top w:w="60" w:type="dxa"/>
              <w:left w:w="100" w:type="dxa"/>
              <w:bottom w:w="60" w:type="dxa"/>
              <w:right w:w="100" w:type="dxa"/>
            </w:tcMar>
          </w:tcPr>
          <w:p w14:paraId="0C9DEB71" w14:textId="77777777" w:rsidR="007062F0" w:rsidRDefault="00000000" w:rsidP="00FA595A">
            <w:r>
              <w:rPr>
                <w:b/>
                <w:bCs/>
                <w:color w:val="000000"/>
                <w:sz w:val="20"/>
                <w:szCs w:val="20"/>
                <w:rtl/>
              </w:rPr>
              <w:t>1</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215E0307" w14:textId="77777777" w:rsidR="007062F0" w:rsidRDefault="00000000" w:rsidP="00FA595A">
            <w:r>
              <w:rPr>
                <w:color w:val="000000"/>
                <w:sz w:val="20"/>
                <w:szCs w:val="20"/>
                <w:rtl/>
              </w:rPr>
              <w:t>סטופים צרים / חיתוך מרעש</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2EA6E721" w14:textId="77777777" w:rsidR="007062F0" w:rsidRDefault="00000000" w:rsidP="00FA595A">
            <w:r>
              <w:rPr>
                <w:color w:val="000000"/>
                <w:sz w:val="20"/>
                <w:szCs w:val="20"/>
                <w:rtl/>
              </w:rPr>
              <w:t>סימולציית יציאה-צללים: trailing/ATR (Chandelier) + יציאה מדורגת</w:t>
            </w:r>
          </w:p>
        </w:tc>
        <w:tc>
          <w:tcPr>
            <w:tcW w:w="326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53FDB0AF" w14:textId="77777777" w:rsidR="007062F0" w:rsidRDefault="00000000" w:rsidP="00FA595A">
            <w:r>
              <w:rPr>
                <w:color w:val="000000"/>
                <w:sz w:val="20"/>
                <w:szCs w:val="20"/>
                <w:rtl/>
              </w:rPr>
              <w:t>השוואה מזווגת על אותן עסקאות; הכרעה ב-DSR / מבחן-t מזווג. אפס סיכון, אפס המתנה.</w:t>
            </w:r>
          </w:p>
        </w:tc>
      </w:tr>
      <w:tr w:rsidR="007062F0" w14:paraId="03A4964A" w14:textId="77777777" w:rsidTr="00FA595A">
        <w:tblPrEx>
          <w:tblCellMar>
            <w:top w:w="0" w:type="dxa"/>
            <w:bottom w:w="0" w:type="dxa"/>
          </w:tblCellMar>
        </w:tblPrEx>
        <w:tc>
          <w:tcPr>
            <w:tcW w:w="900" w:type="dxa"/>
            <w:tcBorders>
              <w:top w:val="single" w:sz="1" w:space="0" w:color="B8C4D0"/>
              <w:left w:val="single" w:sz="1" w:space="0" w:color="B8C4D0"/>
              <w:bottom w:val="single" w:sz="1" w:space="0" w:color="B8C4D0"/>
              <w:right w:val="single" w:sz="1" w:space="0" w:color="B8C4D0"/>
            </w:tcBorders>
            <w:shd w:val="clear" w:color="auto" w:fill="E8F0FA"/>
            <w:tcMar>
              <w:top w:w="60" w:type="dxa"/>
              <w:left w:w="100" w:type="dxa"/>
              <w:bottom w:w="60" w:type="dxa"/>
              <w:right w:w="100" w:type="dxa"/>
            </w:tcMar>
          </w:tcPr>
          <w:p w14:paraId="51A1B24B" w14:textId="77777777" w:rsidR="007062F0" w:rsidRDefault="00000000" w:rsidP="00FA595A">
            <w:r>
              <w:rPr>
                <w:b/>
                <w:bCs/>
                <w:color w:val="000000"/>
                <w:sz w:val="20"/>
                <w:szCs w:val="20"/>
                <w:rtl/>
              </w:rPr>
              <w:t>2</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4341BD1D" w14:textId="77777777" w:rsidR="007062F0" w:rsidRDefault="00000000" w:rsidP="00FA595A">
            <w:r>
              <w:rPr>
                <w:color w:val="000000"/>
                <w:sz w:val="20"/>
                <w:szCs w:val="20"/>
                <w:rtl/>
              </w:rPr>
              <w:t>קריסות מומנטום ושווקים צידיים (0% בקריסות)</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4C00E185" w14:textId="77777777" w:rsidR="007062F0" w:rsidRDefault="00000000" w:rsidP="00FA595A">
            <w:r>
              <w:rPr>
                <w:color w:val="000000"/>
                <w:sz w:val="20"/>
                <w:szCs w:val="20"/>
                <w:rtl/>
              </w:rPr>
              <w:t>שער רוחב-שוק (Breadth): % מניות מעל MA200</w:t>
            </w:r>
          </w:p>
        </w:tc>
        <w:tc>
          <w:tcPr>
            <w:tcW w:w="326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58D878F1" w14:textId="77777777" w:rsidR="007062F0" w:rsidRDefault="00000000" w:rsidP="00FA595A">
            <w:r>
              <w:rPr>
                <w:color w:val="000000"/>
                <w:sz w:val="20"/>
                <w:szCs w:val="20"/>
                <w:rtl/>
              </w:rPr>
              <w:t>בקטסט קודם (כמה היה חוסם); אז הרצת-צל “האם היה חוסם?” בלי לחסום כניסה חיה.</w:t>
            </w:r>
          </w:p>
        </w:tc>
      </w:tr>
      <w:tr w:rsidR="007062F0" w14:paraId="74BA2FF9" w14:textId="77777777" w:rsidTr="00FA595A">
        <w:tblPrEx>
          <w:tblCellMar>
            <w:top w:w="0" w:type="dxa"/>
            <w:bottom w:w="0" w:type="dxa"/>
          </w:tblCellMar>
        </w:tblPrEx>
        <w:tc>
          <w:tcPr>
            <w:tcW w:w="900" w:type="dxa"/>
            <w:tcBorders>
              <w:top w:val="single" w:sz="1" w:space="0" w:color="B8C4D0"/>
              <w:left w:val="single" w:sz="1" w:space="0" w:color="B8C4D0"/>
              <w:bottom w:val="single" w:sz="1" w:space="0" w:color="B8C4D0"/>
              <w:right w:val="single" w:sz="1" w:space="0" w:color="B8C4D0"/>
            </w:tcBorders>
            <w:shd w:val="clear" w:color="auto" w:fill="FFF4E5"/>
            <w:tcMar>
              <w:top w:w="60" w:type="dxa"/>
              <w:left w:w="100" w:type="dxa"/>
              <w:bottom w:w="60" w:type="dxa"/>
              <w:right w:w="100" w:type="dxa"/>
            </w:tcMar>
          </w:tcPr>
          <w:p w14:paraId="5C26351A" w14:textId="77777777" w:rsidR="007062F0" w:rsidRDefault="00000000" w:rsidP="00FA595A">
            <w:r>
              <w:rPr>
                <w:b/>
                <w:bCs/>
                <w:color w:val="000000"/>
                <w:sz w:val="20"/>
                <w:szCs w:val="20"/>
                <w:rtl/>
              </w:rPr>
              <w:t>3</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40D00455" w14:textId="77777777" w:rsidR="007062F0" w:rsidRDefault="00000000" w:rsidP="00FA595A">
            <w:r>
              <w:rPr>
                <w:color w:val="000000"/>
                <w:sz w:val="20"/>
                <w:szCs w:val="20"/>
                <w:rtl/>
              </w:rPr>
              <w:t>הטיית הישרדות בבקטסט</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0742FB36" w14:textId="77777777" w:rsidR="007062F0" w:rsidRDefault="00000000" w:rsidP="00FA595A">
            <w:r>
              <w:rPr>
                <w:color w:val="000000"/>
                <w:sz w:val="20"/>
                <w:szCs w:val="20"/>
                <w:rtl/>
              </w:rPr>
              <w:t>Point-in-time universe - מוריד בעדיפות</w:t>
            </w:r>
          </w:p>
        </w:tc>
        <w:tc>
          <w:tcPr>
            <w:tcW w:w="326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2FAC014A" w14:textId="77777777" w:rsidR="007062F0" w:rsidRDefault="00000000" w:rsidP="00FA595A">
            <w:r>
              <w:rPr>
                <w:color w:val="000000"/>
                <w:sz w:val="20"/>
                <w:szCs w:val="20"/>
                <w:rtl/>
              </w:rPr>
              <w:t>המבחן קדימה ממילא חופשי מהטיית הישרדות. לא להשקיע חודשים בבקטסט נקי.</w:t>
            </w:r>
          </w:p>
        </w:tc>
      </w:tr>
      <w:tr w:rsidR="007062F0" w14:paraId="485E539F" w14:textId="77777777" w:rsidTr="00FA595A">
        <w:tblPrEx>
          <w:tblCellMar>
            <w:top w:w="0" w:type="dxa"/>
            <w:bottom w:w="0" w:type="dxa"/>
          </w:tblCellMar>
        </w:tblPrEx>
        <w:tc>
          <w:tcPr>
            <w:tcW w:w="900" w:type="dxa"/>
            <w:tcBorders>
              <w:top w:val="single" w:sz="1" w:space="0" w:color="B8C4D0"/>
              <w:left w:val="single" w:sz="1" w:space="0" w:color="B8C4D0"/>
              <w:bottom w:val="single" w:sz="1" w:space="0" w:color="B8C4D0"/>
              <w:right w:val="single" w:sz="1" w:space="0" w:color="B8C4D0"/>
            </w:tcBorders>
            <w:shd w:val="clear" w:color="auto" w:fill="FDECEC"/>
            <w:tcMar>
              <w:top w:w="60" w:type="dxa"/>
              <w:left w:w="100" w:type="dxa"/>
              <w:bottom w:w="60" w:type="dxa"/>
              <w:right w:w="100" w:type="dxa"/>
            </w:tcMar>
          </w:tcPr>
          <w:p w14:paraId="25CF5739" w14:textId="77777777" w:rsidR="007062F0" w:rsidRDefault="00000000" w:rsidP="00FA595A">
            <w:r>
              <w:rPr>
                <w:b/>
                <w:bCs/>
                <w:color w:val="000000"/>
                <w:sz w:val="20"/>
                <w:szCs w:val="20"/>
                <w:rtl/>
              </w:rPr>
              <w:t>4</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1E51F19D" w14:textId="77777777" w:rsidR="007062F0" w:rsidRDefault="00000000" w:rsidP="00FA595A">
            <w:r>
              <w:rPr>
                <w:color w:val="000000"/>
                <w:sz w:val="20"/>
                <w:szCs w:val="20"/>
                <w:rtl/>
              </w:rPr>
              <w:t>עיוורון פונדמנטלי</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48AEC796" w14:textId="77777777" w:rsidR="007062F0" w:rsidRDefault="00000000" w:rsidP="00FA595A">
            <w:r>
              <w:rPr>
                <w:color w:val="000000"/>
                <w:sz w:val="20"/>
                <w:szCs w:val="20"/>
                <w:rtl/>
              </w:rPr>
              <w:t>מסנן רווחיות/חוב בסיסי - עדיפות נמוכה</w:t>
            </w:r>
          </w:p>
        </w:tc>
        <w:tc>
          <w:tcPr>
            <w:tcW w:w="326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742B9E21" w14:textId="77777777" w:rsidR="007062F0" w:rsidRDefault="00000000" w:rsidP="00FA595A">
            <w:r>
              <w:rPr>
                <w:color w:val="000000"/>
                <w:sz w:val="20"/>
                <w:szCs w:val="20"/>
                <w:rtl/>
              </w:rPr>
              <w:t>מוסיף תלות-נתונים ומורכבות כניסה, נגד “הקשר לא ספים, יציאה לפני כניסה”. לדחות.</w:t>
            </w:r>
          </w:p>
        </w:tc>
      </w:tr>
      <w:tr w:rsidR="007062F0" w14:paraId="54A953D0" w14:textId="77777777" w:rsidTr="00FA595A">
        <w:tblPrEx>
          <w:tblCellMar>
            <w:top w:w="0" w:type="dxa"/>
            <w:bottom w:w="0" w:type="dxa"/>
          </w:tblCellMar>
        </w:tblPrEx>
        <w:tc>
          <w:tcPr>
            <w:tcW w:w="900" w:type="dxa"/>
            <w:tcBorders>
              <w:top w:val="single" w:sz="1" w:space="0" w:color="B8C4D0"/>
              <w:left w:val="single" w:sz="1" w:space="0" w:color="B8C4D0"/>
              <w:bottom w:val="single" w:sz="1" w:space="0" w:color="B8C4D0"/>
              <w:right w:val="single" w:sz="1" w:space="0" w:color="B8C4D0"/>
            </w:tcBorders>
            <w:shd w:val="clear" w:color="auto" w:fill="EEEEEE"/>
            <w:tcMar>
              <w:top w:w="60" w:type="dxa"/>
              <w:left w:w="100" w:type="dxa"/>
              <w:bottom w:w="60" w:type="dxa"/>
              <w:right w:w="100" w:type="dxa"/>
            </w:tcMar>
          </w:tcPr>
          <w:p w14:paraId="65BAC982" w14:textId="77777777" w:rsidR="007062F0" w:rsidRDefault="00000000" w:rsidP="00FA595A">
            <w:r>
              <w:rPr>
                <w:b/>
                <w:bCs/>
                <w:color w:val="000000"/>
                <w:sz w:val="20"/>
                <w:szCs w:val="20"/>
                <w:rtl/>
              </w:rPr>
              <w:t>5</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49D17CC2" w14:textId="77777777" w:rsidR="007062F0" w:rsidRDefault="00000000" w:rsidP="00FA595A">
            <w:r>
              <w:rPr>
                <w:color w:val="000000"/>
                <w:sz w:val="20"/>
                <w:szCs w:val="20"/>
                <w:rtl/>
              </w:rPr>
              <w:t>התאוששות בצורת V</w:t>
            </w:r>
          </w:p>
        </w:tc>
        <w:tc>
          <w:tcPr>
            <w:tcW w:w="260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04ABF3F9" w14:textId="77777777" w:rsidR="007062F0" w:rsidRDefault="00000000" w:rsidP="00FA595A">
            <w:r>
              <w:rPr>
                <w:color w:val="000000"/>
                <w:sz w:val="20"/>
                <w:szCs w:val="20"/>
                <w:rtl/>
              </w:rPr>
              <w:t>לקבל כעלות מובנית - לא לתקן</w:t>
            </w:r>
          </w:p>
        </w:tc>
        <w:tc>
          <w:tcPr>
            <w:tcW w:w="3260" w:type="dxa"/>
            <w:tcBorders>
              <w:top w:val="single" w:sz="1" w:space="0" w:color="B8C4D0"/>
              <w:left w:val="single" w:sz="1" w:space="0" w:color="B8C4D0"/>
              <w:bottom w:val="single" w:sz="1" w:space="0" w:color="B8C4D0"/>
              <w:right w:val="single" w:sz="1" w:space="0" w:color="B8C4D0"/>
            </w:tcBorders>
            <w:tcMar>
              <w:top w:w="60" w:type="dxa"/>
              <w:left w:w="100" w:type="dxa"/>
              <w:bottom w:w="60" w:type="dxa"/>
              <w:right w:w="100" w:type="dxa"/>
            </w:tcMar>
          </w:tcPr>
          <w:p w14:paraId="53BB5499" w14:textId="77777777" w:rsidR="007062F0" w:rsidRDefault="00000000" w:rsidP="00FA595A">
            <w:r>
              <w:rPr>
                <w:color w:val="000000"/>
                <w:sz w:val="20"/>
                <w:szCs w:val="20"/>
                <w:rtl/>
              </w:rPr>
              <w:t>לא באג אלא המחיר של שיטת בסיס-צר. “תיקון” = לנטוש את הלוגיקה. לתעד ולקבל.</w:t>
            </w:r>
          </w:p>
        </w:tc>
      </w:tr>
    </w:tbl>
    <w:p w14:paraId="7F01316B" w14:textId="77777777" w:rsidR="007062F0" w:rsidRDefault="007062F0" w:rsidP="00FA595A"/>
    <w:p w14:paraId="6BD1D46C" w14:textId="77777777" w:rsidR="007062F0" w:rsidRDefault="00000000" w:rsidP="00FA595A">
      <w:pPr>
        <w:pStyle w:val="2"/>
        <w:bidi/>
      </w:pPr>
      <w:r>
        <w:rPr>
          <w:rtl/>
        </w:rPr>
        <w:t>עדיפות 1 - סימולציית יציאה-צללים (לבצע ראשון)</w:t>
      </w:r>
    </w:p>
    <w:p w14:paraId="6BCF2B7E" w14:textId="77777777" w:rsidR="007062F0" w:rsidRDefault="00000000" w:rsidP="00FA595A">
      <w:r>
        <w:rPr>
          <w:b/>
          <w:bCs/>
          <w:rtl/>
        </w:rPr>
        <w:t xml:space="preserve">הבעיה: </w:t>
      </w:r>
      <w:r>
        <w:rPr>
          <w:rtl/>
        </w:rPr>
        <w:t>הסטופ הקבוע (שפל 30 יום ×0.995) קרוב מאוד למחיר בבסיס צר, ורעש יומי מוציא מהעסקה לפני שהמהלך התפתח.</w:t>
      </w:r>
    </w:p>
    <w:p w14:paraId="05C46F26" w14:textId="77777777" w:rsidR="007062F0" w:rsidRDefault="00000000" w:rsidP="00FA595A">
      <w:r>
        <w:rPr>
          <w:b/>
          <w:bCs/>
          <w:rtl/>
        </w:rPr>
        <w:t xml:space="preserve">הפתרון והמקור: </w:t>
      </w:r>
      <w:r>
        <w:rPr>
          <w:rtl/>
        </w:rPr>
        <w:t>מנגנון יציאה דינמי. Chandelier Exit (Chuck LeBeau) מציב סטופ נגרר במרחק מכופל-תנודתיות מהשיא, כך שהוא “נושם” עם המניה. סקיילינג-סיכון דינמי נתמך ב-Daniel &amp; Moskowitz (2016).</w:t>
      </w:r>
    </w:p>
    <w:p w14:paraId="5BE8A758" w14:textId="77777777" w:rsidR="007062F0" w:rsidRDefault="00000000" w:rsidP="00FA595A">
      <w:r>
        <w:rPr>
          <w:b/>
          <w:bCs/>
          <w:rtl/>
        </w:rPr>
        <w:t xml:space="preserve">יישום: </w:t>
      </w:r>
      <w:r>
        <w:rPr>
          <w:rtl/>
        </w:rPr>
        <w:t>לכל עסקת נייר, מנוע הסגירה היומי יחשב במקביל, לצד הסטופ הקבוע, גם: (א) Chandelier - סטופ = השיא-מאז-כניסה פחות 3×ATR(22); (ב) יציאה מדורגת - מכירת 50% ב-+1R, הזזת סטופ לאיזון, וגרירת היתרה ב-Chandelier. נרשם R-multiple נפרד לכל וריאנט.</w:t>
      </w:r>
    </w:p>
    <w:p w14:paraId="0768D10F" w14:textId="77777777" w:rsidR="007062F0" w:rsidRDefault="00000000" w:rsidP="00FA595A">
      <w:r>
        <w:rPr>
          <w:b/>
          <w:bCs/>
          <w:rtl/>
        </w:rPr>
        <w:t xml:space="preserve">בדיקה בלי התאמת-יתר: </w:t>
      </w:r>
      <w:r>
        <w:rPr>
          <w:rtl/>
        </w:rPr>
        <w:t>השוואה מזווגת על אותן כניסות; וריאנט מנצח רק אם הוא משפר תוחלת מובהקת (DSR / מבחן-t מזווג) על 20+ עסקאות. אזהרה: ATR/Chandelier אינם במקורות שלך - לאמת אמפירית, לא לאמץ על עיוורון.</w:t>
      </w:r>
    </w:p>
    <w:p w14:paraId="5B28EA1D" w14:textId="77777777" w:rsidR="007062F0" w:rsidRDefault="00000000" w:rsidP="00FA595A">
      <w:pPr>
        <w:pStyle w:val="2"/>
        <w:bidi/>
      </w:pPr>
      <w:r>
        <w:rPr>
          <w:rtl/>
        </w:rPr>
        <w:t>עדיפות 2 - שער רוחב-שוק (Breadth)</w:t>
      </w:r>
    </w:p>
    <w:p w14:paraId="4BAA472E" w14:textId="77777777" w:rsidR="007062F0" w:rsidRDefault="00000000" w:rsidP="00FA595A">
      <w:r>
        <w:rPr>
          <w:b/>
          <w:bCs/>
          <w:rtl/>
        </w:rPr>
        <w:t xml:space="preserve">הבעיה: </w:t>
      </w:r>
      <w:r>
        <w:rPr>
          <w:rtl/>
        </w:rPr>
        <w:t>ב-0% הצלחה בחלונות קריסה, השיטה נכנסת לפריצות-שווא “ישר לתוך סכין נופלת”. SPY&gt;MA200 ו-VIX לבדם לא תפסו את כל המקרים.</w:t>
      </w:r>
    </w:p>
    <w:p w14:paraId="5E799816" w14:textId="77777777" w:rsidR="007062F0" w:rsidRDefault="00000000" w:rsidP="00FA595A">
      <w:r>
        <w:rPr>
          <w:b/>
          <w:bCs/>
          <w:rtl/>
        </w:rPr>
        <w:t xml:space="preserve">הפתרון והמקור: </w:t>
      </w:r>
      <w:r>
        <w:rPr>
          <w:rtl/>
        </w:rPr>
        <w:t>מסנן רוחב-שוק קלאסי: אחוז המניות (מתוך ~1,900 שהסורק בודק) שמעל ה-MA200 שלהן. ספרות רוחב-השוק (Zweig; Bulkowski) תומכת בכך שפריצות מצליחות מיטבית רק כשרוחב השוק חיובי.</w:t>
      </w:r>
    </w:p>
    <w:p w14:paraId="79CC5ECD" w14:textId="77777777" w:rsidR="007062F0" w:rsidRDefault="00000000" w:rsidP="00FA595A">
      <w:r>
        <w:rPr>
          <w:b/>
          <w:bCs/>
          <w:rtl/>
        </w:rPr>
        <w:t xml:space="preserve">יישום: </w:t>
      </w:r>
      <w:r>
        <w:rPr>
          <w:rtl/>
        </w:rPr>
        <w:t>הסורק כבר עובר על כל היקום - להוסיף ספירת אחוז-מעל-MA200 ולשמור כמשתנה הקשר יומי. שלב ראשון: רישום בלבד (לא חסימה), לאיסוף נתונים ולבקטסט.</w:t>
      </w:r>
    </w:p>
    <w:p w14:paraId="305DE45F" w14:textId="77777777" w:rsidR="007062F0" w:rsidRDefault="00000000" w:rsidP="00FA595A">
      <w:r>
        <w:rPr>
          <w:b/>
          <w:bCs/>
          <w:rtl/>
        </w:rPr>
        <w:lastRenderedPageBreak/>
        <w:t xml:space="preserve">בדיקה בלי התאמת-יתר: </w:t>
      </w:r>
      <w:r>
        <w:rPr>
          <w:rtl/>
        </w:rPr>
        <w:t>breadth הוא משתנה חיצוני, לא סף למניה - סיכון התאמה נמוך. לבקטסט כמה מעסקאות הקריסה היה חוסם, ובמקביל להריץ כצל בלי לחסום כניסה חיה. להעדיף סף עקרוני (למשל מתחת ל-40%-50%), לא לכייל על העבר.</w:t>
      </w:r>
    </w:p>
    <w:p w14:paraId="1D0EDAC5" w14:textId="77777777" w:rsidR="007062F0" w:rsidRDefault="007062F0" w:rsidP="00FA595A"/>
    <w:p w14:paraId="5DEB6B44" w14:textId="77777777" w:rsidR="007062F0" w:rsidRDefault="00000000" w:rsidP="00FA595A">
      <w:pPr>
        <w:pStyle w:val="1"/>
        <w:bidi/>
      </w:pPr>
      <w:r>
        <w:rPr>
          <w:rtl/>
        </w:rPr>
        <w:t>5. הגדרת הצלחה מתוקנת - לנצח את SPY מותאם-סיכון</w:t>
      </w:r>
    </w:p>
    <w:p w14:paraId="2B7EF648" w14:textId="77777777" w:rsidR="007062F0" w:rsidRDefault="00000000" w:rsidP="00FA595A">
      <w:r>
        <w:rPr>
          <w:rtl/>
        </w:rPr>
        <w:t>בעקבות אמת קשה 2.2, קריטריון “אור ירוק” להון אמיתי מתעדכן: לא די בתוחלת חיובית. הרקורד קדימה חייב להראות תשואה מותאמת-סיכון עדיפה על החזקת SPY פשוטה לאותה תקופה. כרטיס “עלות חלופית מול SPY” שכבר נוסף לדשבורד (14.6) מודד בדיוק את זה בזמן אמת - הופך את ההמתנה למדידה ואת ההכרעה לכמותית.</w:t>
      </w:r>
    </w:p>
    <w:p w14:paraId="40BAF52F" w14:textId="77777777" w:rsidR="007062F0" w:rsidRDefault="00000000" w:rsidP="00FA595A">
      <w:r>
        <w:rPr>
          <w:b/>
          <w:bCs/>
          <w:rtl/>
        </w:rPr>
        <w:t xml:space="preserve">שער ההכרעה המעודכן: </w:t>
      </w:r>
      <w:r>
        <w:rPr>
          <w:rtl/>
        </w:rPr>
        <w:t>(1) מבחן רציף על עסקאות הנייר - ירוק רק אם הרף התחתון של רווח-בר-סמך 95% חיובי, מינימום 20 עסקאות, גיבוי DSR ב-50; (2) ובמקביל - תשואת השיטה גוברת על SPY לאותה תקופה. שני התנאים יחד.</w:t>
      </w:r>
    </w:p>
    <w:p w14:paraId="5F5CDB6C" w14:textId="77777777" w:rsidR="007062F0" w:rsidRDefault="007062F0" w:rsidP="00FA595A"/>
    <w:p w14:paraId="085AA5CA" w14:textId="77777777" w:rsidR="007062F0" w:rsidRDefault="00000000" w:rsidP="00FA595A">
      <w:pPr>
        <w:pStyle w:val="1"/>
        <w:bidi/>
      </w:pPr>
      <w:r>
        <w:rPr>
          <w:rtl/>
        </w:rPr>
        <w:t>6. נספח טכני - מפרטי יישום</w:t>
      </w:r>
    </w:p>
    <w:p w14:paraId="1896EAE9" w14:textId="77777777" w:rsidR="007062F0" w:rsidRDefault="00000000" w:rsidP="00FA595A">
      <w:pPr>
        <w:pStyle w:val="2"/>
        <w:bidi/>
      </w:pPr>
      <w:r>
        <w:rPr>
          <w:rtl/>
        </w:rPr>
        <w:t>6.1 Chandelier Exit (סטופ נגרר מבוסס תנודתיות)</w:t>
      </w:r>
    </w:p>
    <w:p w14:paraId="70BEACC8" w14:textId="77777777" w:rsidR="007062F0" w:rsidRDefault="00000000" w:rsidP="00FA595A">
      <w:pPr>
        <w:pStyle w:val="a4"/>
        <w:numPr>
          <w:ilvl w:val="0"/>
          <w:numId w:val="2"/>
        </w:numPr>
        <w:bidi/>
      </w:pPr>
      <w:r>
        <w:rPr>
          <w:rtl/>
        </w:rPr>
        <w:t>ATR(22): ממוצע Wilder של הטווח האמיתי על 22 ימים.</w:t>
      </w:r>
    </w:p>
    <w:p w14:paraId="5DF76113" w14:textId="77777777" w:rsidR="007062F0" w:rsidRDefault="00000000" w:rsidP="00FA595A">
      <w:pPr>
        <w:pStyle w:val="a4"/>
        <w:numPr>
          <w:ilvl w:val="0"/>
          <w:numId w:val="2"/>
        </w:numPr>
        <w:bidi/>
      </w:pPr>
      <w:r>
        <w:rPr>
          <w:rtl/>
        </w:rPr>
        <w:t>סטופ ביום t = HighestHigh(מכניסה עד t) − 3 × ATR(22). הסטופ עולה עם המניה ולעולם אינו יורד.</w:t>
      </w:r>
    </w:p>
    <w:p w14:paraId="76540FCF" w14:textId="77777777" w:rsidR="007062F0" w:rsidRDefault="00000000" w:rsidP="00FA595A">
      <w:pPr>
        <w:pStyle w:val="a4"/>
        <w:numPr>
          <w:ilvl w:val="0"/>
          <w:numId w:val="2"/>
        </w:numPr>
        <w:bidi/>
      </w:pPr>
      <w:r>
        <w:rPr>
          <w:rtl/>
        </w:rPr>
        <w:t>וריאנט שמרני לבדיקה מקבילה: מכפיל 2.5 במקום 3, לבחינת רגישות (לא לבחירה בדיעבד).</w:t>
      </w:r>
    </w:p>
    <w:p w14:paraId="11EF6659" w14:textId="77777777" w:rsidR="007062F0" w:rsidRDefault="00000000" w:rsidP="00FA595A">
      <w:pPr>
        <w:pStyle w:val="2"/>
        <w:bidi/>
      </w:pPr>
      <w:r>
        <w:rPr>
          <w:rtl/>
        </w:rPr>
        <w:t>6.2 יציאה מדורגת (Scaled Exit)</w:t>
      </w:r>
    </w:p>
    <w:p w14:paraId="28361869" w14:textId="77777777" w:rsidR="007062F0" w:rsidRDefault="00000000" w:rsidP="00FA595A">
      <w:pPr>
        <w:pStyle w:val="a4"/>
        <w:numPr>
          <w:ilvl w:val="0"/>
          <w:numId w:val="2"/>
        </w:numPr>
        <w:bidi/>
      </w:pPr>
      <w:r>
        <w:rPr>
          <w:rtl/>
        </w:rPr>
        <w:t>מכירת 50% מהפוזיציה ב-+1R (או +10% לפי כלל אוניל).</w:t>
      </w:r>
    </w:p>
    <w:p w14:paraId="3E5330D6" w14:textId="77777777" w:rsidR="007062F0" w:rsidRDefault="00000000" w:rsidP="00FA595A">
      <w:pPr>
        <w:pStyle w:val="a4"/>
        <w:numPr>
          <w:ilvl w:val="0"/>
          <w:numId w:val="2"/>
        </w:numPr>
        <w:bidi/>
      </w:pPr>
      <w:r>
        <w:rPr>
          <w:rtl/>
        </w:rPr>
        <w:t>הזזת הסטופ ל-break-even על היתרה.</w:t>
      </w:r>
    </w:p>
    <w:p w14:paraId="18856087" w14:textId="77777777" w:rsidR="007062F0" w:rsidRDefault="00000000" w:rsidP="00FA595A">
      <w:pPr>
        <w:pStyle w:val="a4"/>
        <w:numPr>
          <w:ilvl w:val="0"/>
          <w:numId w:val="2"/>
        </w:numPr>
        <w:bidi/>
      </w:pPr>
      <w:r>
        <w:rPr>
          <w:rtl/>
        </w:rPr>
        <w:t>גרירת היתרה ב-Chandelier עד יציאה. מודד אם “נעילת חצי רווח” מעלה תוחלת מול “הכל-או-כלום”.</w:t>
      </w:r>
    </w:p>
    <w:p w14:paraId="4FD4EC44" w14:textId="77777777" w:rsidR="007062F0" w:rsidRDefault="00000000" w:rsidP="00FA595A">
      <w:pPr>
        <w:pStyle w:val="2"/>
        <w:bidi/>
      </w:pPr>
      <w:r>
        <w:rPr>
          <w:rtl/>
        </w:rPr>
        <w:t>6.3 חישוב רוחב-שוק (Breadth)</w:t>
      </w:r>
    </w:p>
    <w:p w14:paraId="3678C2A6" w14:textId="77777777" w:rsidR="007062F0" w:rsidRDefault="00000000" w:rsidP="00FA595A">
      <w:pPr>
        <w:pStyle w:val="a4"/>
        <w:numPr>
          <w:ilvl w:val="0"/>
          <w:numId w:val="2"/>
        </w:numPr>
        <w:bidi/>
      </w:pPr>
      <w:r>
        <w:rPr>
          <w:rtl/>
        </w:rPr>
        <w:t>breadth_t = (מספר מניות עם close &gt; MA200) / (סך המניות שנסרקו) × 100.</w:t>
      </w:r>
    </w:p>
    <w:p w14:paraId="51D01AE4" w14:textId="77777777" w:rsidR="007062F0" w:rsidRDefault="00000000" w:rsidP="00FA595A">
      <w:pPr>
        <w:pStyle w:val="a4"/>
        <w:numPr>
          <w:ilvl w:val="0"/>
          <w:numId w:val="2"/>
        </w:numPr>
        <w:bidi/>
      </w:pPr>
      <w:r>
        <w:rPr>
          <w:rtl/>
        </w:rPr>
        <w:t>רישום יומי בטבלת הקשר; שער מוצע: חסימת כניסות כש-breadth מתחת ל-40%-50% (סף עקרוני, לא מכויל על העבר).</w:t>
      </w:r>
    </w:p>
    <w:p w14:paraId="37A48CB2" w14:textId="77777777" w:rsidR="007062F0" w:rsidRDefault="00000000" w:rsidP="00FA595A">
      <w:pPr>
        <w:pStyle w:val="a4"/>
        <w:numPr>
          <w:ilvl w:val="0"/>
          <w:numId w:val="2"/>
        </w:numPr>
        <w:bidi/>
      </w:pPr>
      <w:r>
        <w:rPr>
          <w:rtl/>
        </w:rPr>
        <w:t>חלופת פרוקסי: RSP מול SPY, או אחוז מניות מעל MA50.</w:t>
      </w:r>
    </w:p>
    <w:p w14:paraId="3EB669C6" w14:textId="77777777" w:rsidR="007062F0" w:rsidRDefault="007062F0" w:rsidP="00FA595A"/>
    <w:p w14:paraId="770493FD" w14:textId="77777777" w:rsidR="007062F0" w:rsidRDefault="00000000" w:rsidP="00FA595A">
      <w:pPr>
        <w:pStyle w:val="2"/>
        <w:bidi/>
      </w:pPr>
      <w:r>
        <w:rPr>
          <w:rtl/>
        </w:rPr>
        <w:t>מקורות מרכזיים</w:t>
      </w:r>
    </w:p>
    <w:p w14:paraId="05AE408F" w14:textId="77777777" w:rsidR="007062F0" w:rsidRDefault="00000000" w:rsidP="00FA595A">
      <w:pPr>
        <w:pStyle w:val="a4"/>
        <w:numPr>
          <w:ilvl w:val="0"/>
          <w:numId w:val="2"/>
        </w:numPr>
        <w:bidi/>
      </w:pPr>
      <w:r>
        <w:rPr>
          <w:rtl/>
        </w:rPr>
        <w:t>Daniel, K. &amp; Moskowitz, T. (2016). Momentum Crashes. JFE 122(2).</w:t>
      </w:r>
    </w:p>
    <w:p w14:paraId="08EF53F1" w14:textId="77777777" w:rsidR="007062F0" w:rsidRDefault="00000000" w:rsidP="00FA595A">
      <w:pPr>
        <w:pStyle w:val="a4"/>
        <w:numPr>
          <w:ilvl w:val="0"/>
          <w:numId w:val="2"/>
        </w:numPr>
        <w:bidi/>
      </w:pPr>
      <w:r>
        <w:rPr>
          <w:rtl/>
        </w:rPr>
        <w:t>Bailey, D. &amp; Lopez de Prado, M. (2014). The Deflated Sharpe Ratio.</w:t>
      </w:r>
    </w:p>
    <w:p w14:paraId="6073FB8C" w14:textId="77777777" w:rsidR="007062F0" w:rsidRDefault="00000000" w:rsidP="00FA595A">
      <w:pPr>
        <w:pStyle w:val="a4"/>
        <w:numPr>
          <w:ilvl w:val="0"/>
          <w:numId w:val="2"/>
        </w:numPr>
        <w:bidi/>
      </w:pPr>
      <w:r>
        <w:rPr>
          <w:rtl/>
        </w:rPr>
        <w:t>Harvey, Liu &amp; Zhu (2016). … and the Cross-Section of Expected Returns. RFS 29(1).</w:t>
      </w:r>
    </w:p>
    <w:p w14:paraId="5C861023" w14:textId="77777777" w:rsidR="007062F0" w:rsidRDefault="00000000" w:rsidP="00FA595A">
      <w:pPr>
        <w:pStyle w:val="a4"/>
        <w:numPr>
          <w:ilvl w:val="0"/>
          <w:numId w:val="2"/>
        </w:numPr>
        <w:bidi/>
      </w:pPr>
      <w:r>
        <w:rPr>
          <w:rtl/>
        </w:rPr>
        <w:t>Frazzini, A. &amp; Pedersen, L. (2014). Betting Against Beta. JFE 111(1).</w:t>
      </w:r>
    </w:p>
    <w:p w14:paraId="1E25E63C" w14:textId="77777777" w:rsidR="007062F0" w:rsidRDefault="00000000" w:rsidP="00FA595A">
      <w:pPr>
        <w:pStyle w:val="a4"/>
        <w:numPr>
          <w:ilvl w:val="0"/>
          <w:numId w:val="2"/>
        </w:numPr>
        <w:bidi/>
      </w:pPr>
      <w:r>
        <w:rPr>
          <w:rtl/>
        </w:rPr>
        <w:t>LeBeau, C. - Chandelier Exit (לאימות אמפירי; לא במקורות המקוריים).</w:t>
      </w:r>
    </w:p>
    <w:p w14:paraId="2EFE4545" w14:textId="77777777" w:rsidR="007062F0" w:rsidRDefault="007062F0" w:rsidP="00FA595A"/>
    <w:p w14:paraId="6BB427C1" w14:textId="77777777" w:rsidR="007062F0" w:rsidRDefault="00000000" w:rsidP="00FA595A">
      <w:r>
        <w:rPr>
          <w:i/>
          <w:iCs/>
          <w:color w:val="777777"/>
          <w:sz w:val="18"/>
          <w:szCs w:val="18"/>
          <w:rtl/>
        </w:rPr>
        <w:t>אין באמור ייעוץ השקעות. המסמך עוסק במתודולוגיה של שיפור ובדיקת מודל בלבד.</w:t>
      </w:r>
    </w:p>
    <w:sectPr w:rsidR="007062F0">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18FB1" w14:textId="77777777" w:rsidR="00D0682F" w:rsidRDefault="00D0682F">
      <w:r>
        <w:separator/>
      </w:r>
    </w:p>
  </w:endnote>
  <w:endnote w:type="continuationSeparator" w:id="0">
    <w:p w14:paraId="7D8C93A9" w14:textId="77777777" w:rsidR="00D0682F" w:rsidRDefault="00D068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1163D" w14:textId="77777777" w:rsidR="007062F0" w:rsidRDefault="00000000">
    <w:pPr>
      <w:jc w:val="center"/>
    </w:pPr>
    <w:r>
      <w:rPr>
        <w:color w:val="999999"/>
        <w:sz w:val="16"/>
        <w:szCs w:val="16"/>
        <w:rtl/>
      </w:rPr>
      <w:t xml:space="preserve">AVI HUNTER - שיפור מודל 5 הכוכבים  |  עמ’ </w:t>
    </w:r>
    <w:r>
      <w:rPr>
        <w:color w:val="999999"/>
        <w:sz w:val="16"/>
        <w:szCs w:val="16"/>
      </w:rPr>
      <w:fldChar w:fldCharType="begin"/>
    </w:r>
    <w:r>
      <w:rPr>
        <w:color w:val="999999"/>
        <w:sz w:val="16"/>
        <w:szCs w:val="16"/>
      </w:rPr>
      <w:instrText>PAGE</w:instrText>
    </w:r>
    <w:r>
      <w:rPr>
        <w:color w:val="999999"/>
        <w:sz w:val="16"/>
        <w:szCs w:val="16"/>
      </w:rPr>
      <w:fldChar w:fldCharType="separate"/>
    </w:r>
    <w:r w:rsidR="00FA595A">
      <w:rPr>
        <w:noProof/>
        <w:color w:val="999999"/>
        <w:sz w:val="16"/>
        <w:szCs w:val="16"/>
        <w:rtl/>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902D3" w14:textId="77777777" w:rsidR="00D0682F" w:rsidRDefault="00D0682F">
      <w:r>
        <w:separator/>
      </w:r>
    </w:p>
  </w:footnote>
  <w:footnote w:type="continuationSeparator" w:id="0">
    <w:p w14:paraId="0FF4C167" w14:textId="77777777" w:rsidR="00D0682F" w:rsidRDefault="00D068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0A1A"/>
    <w:multiLevelType w:val="hybridMultilevel"/>
    <w:tmpl w:val="7144D4A4"/>
    <w:lvl w:ilvl="0" w:tplc="2B3273A8">
      <w:start w:val="1"/>
      <w:numFmt w:val="decimal"/>
      <w:lvlText w:val="%1."/>
      <w:lvlJc w:val="left"/>
      <w:pPr>
        <w:ind w:left="720" w:hanging="360"/>
      </w:pPr>
    </w:lvl>
    <w:lvl w:ilvl="1" w:tplc="4E34B308">
      <w:numFmt w:val="decimal"/>
      <w:lvlText w:val=""/>
      <w:lvlJc w:val="left"/>
    </w:lvl>
    <w:lvl w:ilvl="2" w:tplc="C61464A2">
      <w:numFmt w:val="decimal"/>
      <w:lvlText w:val=""/>
      <w:lvlJc w:val="left"/>
    </w:lvl>
    <w:lvl w:ilvl="3" w:tplc="25AA5038">
      <w:numFmt w:val="decimal"/>
      <w:lvlText w:val=""/>
      <w:lvlJc w:val="left"/>
    </w:lvl>
    <w:lvl w:ilvl="4" w:tplc="D6F4E4DC">
      <w:numFmt w:val="decimal"/>
      <w:lvlText w:val=""/>
      <w:lvlJc w:val="left"/>
    </w:lvl>
    <w:lvl w:ilvl="5" w:tplc="5E7C3CE8">
      <w:numFmt w:val="decimal"/>
      <w:lvlText w:val=""/>
      <w:lvlJc w:val="left"/>
    </w:lvl>
    <w:lvl w:ilvl="6" w:tplc="D9E491C8">
      <w:numFmt w:val="decimal"/>
      <w:lvlText w:val=""/>
      <w:lvlJc w:val="left"/>
    </w:lvl>
    <w:lvl w:ilvl="7" w:tplc="443040E6">
      <w:numFmt w:val="decimal"/>
      <w:lvlText w:val=""/>
      <w:lvlJc w:val="left"/>
    </w:lvl>
    <w:lvl w:ilvl="8" w:tplc="1EFC12F0">
      <w:numFmt w:val="decimal"/>
      <w:lvlText w:val=""/>
      <w:lvlJc w:val="left"/>
    </w:lvl>
  </w:abstractNum>
  <w:abstractNum w:abstractNumId="1" w15:restartNumberingAfterBreak="0">
    <w:nsid w:val="08641986"/>
    <w:multiLevelType w:val="hybridMultilevel"/>
    <w:tmpl w:val="DF74E566"/>
    <w:lvl w:ilvl="0" w:tplc="1CA64DF0">
      <w:start w:val="1"/>
      <w:numFmt w:val="bullet"/>
      <w:lvlText w:val="●"/>
      <w:lvlJc w:val="left"/>
      <w:pPr>
        <w:ind w:left="720" w:hanging="360"/>
      </w:pPr>
    </w:lvl>
    <w:lvl w:ilvl="1" w:tplc="49548B92">
      <w:start w:val="1"/>
      <w:numFmt w:val="bullet"/>
      <w:lvlText w:val="○"/>
      <w:lvlJc w:val="left"/>
      <w:pPr>
        <w:ind w:left="1440" w:hanging="360"/>
      </w:pPr>
    </w:lvl>
    <w:lvl w:ilvl="2" w:tplc="FD540AA4">
      <w:start w:val="1"/>
      <w:numFmt w:val="bullet"/>
      <w:lvlText w:val="■"/>
      <w:lvlJc w:val="left"/>
      <w:pPr>
        <w:ind w:left="2160" w:hanging="360"/>
      </w:pPr>
    </w:lvl>
    <w:lvl w:ilvl="3" w:tplc="9BEEA438">
      <w:start w:val="1"/>
      <w:numFmt w:val="bullet"/>
      <w:lvlText w:val="●"/>
      <w:lvlJc w:val="left"/>
      <w:pPr>
        <w:ind w:left="2880" w:hanging="360"/>
      </w:pPr>
    </w:lvl>
    <w:lvl w:ilvl="4" w:tplc="67547C5C">
      <w:start w:val="1"/>
      <w:numFmt w:val="bullet"/>
      <w:lvlText w:val="○"/>
      <w:lvlJc w:val="left"/>
      <w:pPr>
        <w:ind w:left="3600" w:hanging="360"/>
      </w:pPr>
    </w:lvl>
    <w:lvl w:ilvl="5" w:tplc="72AA70EA">
      <w:start w:val="1"/>
      <w:numFmt w:val="bullet"/>
      <w:lvlText w:val="■"/>
      <w:lvlJc w:val="left"/>
      <w:pPr>
        <w:ind w:left="4320" w:hanging="360"/>
      </w:pPr>
    </w:lvl>
    <w:lvl w:ilvl="6" w:tplc="48C2A150">
      <w:start w:val="1"/>
      <w:numFmt w:val="bullet"/>
      <w:lvlText w:val="●"/>
      <w:lvlJc w:val="left"/>
      <w:pPr>
        <w:ind w:left="5040" w:hanging="360"/>
      </w:pPr>
    </w:lvl>
    <w:lvl w:ilvl="7" w:tplc="F4645866">
      <w:start w:val="1"/>
      <w:numFmt w:val="bullet"/>
      <w:lvlText w:val="●"/>
      <w:lvlJc w:val="left"/>
      <w:pPr>
        <w:ind w:left="5760" w:hanging="360"/>
      </w:pPr>
    </w:lvl>
    <w:lvl w:ilvl="8" w:tplc="C96495D2">
      <w:start w:val="1"/>
      <w:numFmt w:val="bullet"/>
      <w:lvlText w:val="●"/>
      <w:lvlJc w:val="left"/>
      <w:pPr>
        <w:ind w:left="6480" w:hanging="360"/>
      </w:pPr>
    </w:lvl>
  </w:abstractNum>
  <w:abstractNum w:abstractNumId="2" w15:restartNumberingAfterBreak="0">
    <w:nsid w:val="581D2BC3"/>
    <w:multiLevelType w:val="hybridMultilevel"/>
    <w:tmpl w:val="2042D582"/>
    <w:lvl w:ilvl="0" w:tplc="9C16A490">
      <w:start w:val="1"/>
      <w:numFmt w:val="bullet"/>
      <w:lvlText w:val="•"/>
      <w:lvlJc w:val="left"/>
      <w:pPr>
        <w:ind w:left="720" w:hanging="360"/>
      </w:pPr>
    </w:lvl>
    <w:lvl w:ilvl="1" w:tplc="B2981890">
      <w:numFmt w:val="decimal"/>
      <w:lvlText w:val=""/>
      <w:lvlJc w:val="left"/>
    </w:lvl>
    <w:lvl w:ilvl="2" w:tplc="C2EA296C">
      <w:numFmt w:val="decimal"/>
      <w:lvlText w:val=""/>
      <w:lvlJc w:val="left"/>
    </w:lvl>
    <w:lvl w:ilvl="3" w:tplc="765C479E">
      <w:numFmt w:val="decimal"/>
      <w:lvlText w:val=""/>
      <w:lvlJc w:val="left"/>
    </w:lvl>
    <w:lvl w:ilvl="4" w:tplc="043CDB20">
      <w:numFmt w:val="decimal"/>
      <w:lvlText w:val=""/>
      <w:lvlJc w:val="left"/>
    </w:lvl>
    <w:lvl w:ilvl="5" w:tplc="DE6C6C48">
      <w:numFmt w:val="decimal"/>
      <w:lvlText w:val=""/>
      <w:lvlJc w:val="left"/>
    </w:lvl>
    <w:lvl w:ilvl="6" w:tplc="7F488194">
      <w:numFmt w:val="decimal"/>
      <w:lvlText w:val=""/>
      <w:lvlJc w:val="left"/>
    </w:lvl>
    <w:lvl w:ilvl="7" w:tplc="74D2028A">
      <w:numFmt w:val="decimal"/>
      <w:lvlText w:val=""/>
      <w:lvlJc w:val="left"/>
    </w:lvl>
    <w:lvl w:ilvl="8" w:tplc="E41A6AD2">
      <w:numFmt w:val="decimal"/>
      <w:lvlText w:val=""/>
      <w:lvlJc w:val="left"/>
    </w:lvl>
  </w:abstractNum>
  <w:abstractNum w:abstractNumId="3" w15:restartNumberingAfterBreak="0">
    <w:nsid w:val="6D4378E7"/>
    <w:multiLevelType w:val="hybridMultilevel"/>
    <w:tmpl w:val="ED9C0DE6"/>
    <w:lvl w:ilvl="0" w:tplc="B3C2A2F8">
      <w:start w:val="1"/>
      <w:numFmt w:val="decimal"/>
      <w:lvlText w:val="%1."/>
      <w:lvlJc w:val="left"/>
      <w:pPr>
        <w:ind w:left="720" w:hanging="360"/>
      </w:pPr>
    </w:lvl>
    <w:lvl w:ilvl="1" w:tplc="A4C22E68">
      <w:numFmt w:val="decimal"/>
      <w:lvlText w:val=""/>
      <w:lvlJc w:val="left"/>
    </w:lvl>
    <w:lvl w:ilvl="2" w:tplc="A418942A">
      <w:numFmt w:val="decimal"/>
      <w:lvlText w:val=""/>
      <w:lvlJc w:val="left"/>
    </w:lvl>
    <w:lvl w:ilvl="3" w:tplc="AE662758">
      <w:numFmt w:val="decimal"/>
      <w:lvlText w:val=""/>
      <w:lvlJc w:val="left"/>
    </w:lvl>
    <w:lvl w:ilvl="4" w:tplc="CD723636">
      <w:numFmt w:val="decimal"/>
      <w:lvlText w:val=""/>
      <w:lvlJc w:val="left"/>
    </w:lvl>
    <w:lvl w:ilvl="5" w:tplc="3D4CE884">
      <w:numFmt w:val="decimal"/>
      <w:lvlText w:val=""/>
      <w:lvlJc w:val="left"/>
    </w:lvl>
    <w:lvl w:ilvl="6" w:tplc="9FC0289E">
      <w:numFmt w:val="decimal"/>
      <w:lvlText w:val=""/>
      <w:lvlJc w:val="left"/>
    </w:lvl>
    <w:lvl w:ilvl="7" w:tplc="BE78BBC6">
      <w:numFmt w:val="decimal"/>
      <w:lvlText w:val=""/>
      <w:lvlJc w:val="left"/>
    </w:lvl>
    <w:lvl w:ilvl="8" w:tplc="532A08EA">
      <w:numFmt w:val="decimal"/>
      <w:lvlText w:val=""/>
      <w:lvlJc w:val="left"/>
    </w:lvl>
  </w:abstractNum>
  <w:num w:numId="1" w16cid:durableId="34888279">
    <w:abstractNumId w:val="1"/>
    <w:lvlOverride w:ilvl="0">
      <w:startOverride w:val="1"/>
    </w:lvlOverride>
  </w:num>
  <w:num w:numId="2" w16cid:durableId="1238633228">
    <w:abstractNumId w:val="2"/>
    <w:lvlOverride w:ilvl="0">
      <w:startOverride w:val="1"/>
    </w:lvlOverride>
  </w:num>
  <w:num w:numId="3" w16cid:durableId="11804649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F0"/>
    <w:rsid w:val="00336258"/>
    <w:rsid w:val="007062F0"/>
    <w:rsid w:val="00D0682F"/>
    <w:rsid w:val="00FA59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90DB"/>
  <w15:docId w15:val="{D3FF1BAD-54A3-4215-A5DE-A232D7C5E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240" w:after="120"/>
      <w:outlineLvl w:val="0"/>
    </w:pPr>
    <w:rPr>
      <w:b/>
      <w:bCs/>
      <w:color w:val="1F3864"/>
      <w:sz w:val="30"/>
      <w:szCs w:val="30"/>
    </w:rPr>
  </w:style>
  <w:style w:type="paragraph" w:styleId="2">
    <w:name w:val="heading 2"/>
    <w:uiPriority w:val="9"/>
    <w:unhideWhenUsed/>
    <w:qFormat/>
    <w:pPr>
      <w:spacing w:before="160" w:after="80"/>
      <w:outlineLvl w:val="1"/>
    </w:pPr>
    <w:rPr>
      <w:b/>
      <w:bCs/>
      <w:color w:val="2E75B6"/>
      <w:sz w:val="25"/>
      <w:szCs w:val="25"/>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חזק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1192</Words>
  <Characters>5963</Characters>
  <Application>Microsoft Office Word</Application>
  <DocSecurity>0</DocSecurity>
  <Lines>49</Lines>
  <Paragraphs>14</Paragraphs>
  <ScaleCrop>false</ScaleCrop>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אבי חזן - פתרונות זהב</cp:lastModifiedBy>
  <cp:revision>2</cp:revision>
  <dcterms:created xsi:type="dcterms:W3CDTF">2026-06-14T21:14:00Z</dcterms:created>
  <dcterms:modified xsi:type="dcterms:W3CDTF">2026-06-14T21:14:00Z</dcterms:modified>
</cp:coreProperties>
</file>