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192"/>
        <w:gridCol w:w="3845"/>
      </w:tblGrid>
      <w:tr>
        <w:tc>
          <w:tcPr>
            <w:tcW w:type="dxa" w:w="6192"/>
            <w:tcMar>
              <w:top w:w="0" w:type="dxa"/>
              <w:bottom w:w="60" w:type="dxa"/>
              <w:left w:w="0" w:type="dxa"/>
              <w:right w:w="60" w:type="dxa"/>
            </w:tcMar>
          </w:tcPr>
          <w:p>
            <w:pPr>
              <w:spacing w:after="40"/>
            </w:pPr>
            <w:r>
              <w:rPr>
                <w:rFonts w:ascii="Calibri" w:hAnsi="Calibri"/>
                <w:b/>
                <w:color w:val="0F766E"/>
                <w:sz w:val="44"/>
              </w:rPr>
              <w:t>GranPocket</w:t>
            </w:r>
          </w:p>
          <w:p>
            <w:pPr>
              <w:spacing w:after="0"/>
            </w:pPr>
            <w:r>
              <w:rPr>
                <w:rFonts w:ascii="Calibri" w:hAnsi="Calibri"/>
                <w:b/>
                <w:color w:val="64748B"/>
                <w:sz w:val="19"/>
              </w:rPr>
              <w:t>Commercialization &amp; Anchor Payor Strategic Dossier</w:t>
            </w:r>
          </w:p>
        </w:tc>
        <w:tc>
          <w:tcPr>
            <w:tcW w:type="dxa" w:w="3845"/>
            <w:tcMar>
              <w:top w:w="0" w:type="dxa"/>
              <w:bottom w:w="60" w:type="dxa"/>
              <w:left w:w="60" w:type="dxa"/>
              <w:right w:w="0" w:type="dxa"/>
            </w:tcMar>
          </w:tcPr>
          <w:p>
            <w:pPr>
              <w:spacing w:after="60"/>
              <w:jc w:val="right"/>
            </w:pPr>
            <w:r>
              <w:rPr>
                <w:rFonts w:ascii="Calibri" w:hAnsi="Calibri"/>
                <w:b/>
                <w:color w:val="0F766E"/>
                <w:sz w:val="16"/>
              </w:rPr>
              <w:t>🇸🇬  SINGAPORE INTEGRATED SHIELD PLANS</w:t>
            </w:r>
          </w:p>
          <w:p>
            <w:pPr>
              <w:spacing w:after="0"/>
              <w:jc w:val="right"/>
            </w:pPr>
            <w:r>
              <w:rPr>
                <w:rFonts w:ascii="Calibri" w:hAnsi="Calibri"/>
                <w:color w:val="64748B"/>
                <w:sz w:val="16"/>
              </w:rPr>
              <w:t>Confidential • For Investor Review</w:t>
            </w:r>
          </w:p>
        </w:tc>
      </w:tr>
    </w:tbl>
    <w:p>
      <w:pPr>
        <w:spacing w:before="80" w:after="240"/>
        <w:pBdr>
          <w:bottom w:val="single" w:sz="16" w:space="1" w:color="0F766E"/>
        </w:pBdr>
      </w:pPr>
    </w:p>
    <w:p>
      <w:pPr>
        <w:keepNext/>
        <w:spacing w:before="40" w:after="280"/>
      </w:pPr>
      <w:r>
        <w:rPr>
          <w:rFonts w:ascii="Calibri" w:hAnsi="Calibri"/>
          <w:b/>
          <w:color w:val="0F172A"/>
          <w:sz w:val="33"/>
        </w:rPr>
        <w:t>GranPocket: Anchor Insurer Strategy &amp; Enterprise Commercialization Blueprint</w:t>
      </w:r>
    </w:p>
    <w:p>
      <w:pPr>
        <w:keepNext/>
        <w:spacing w:before="320" w:after="80"/>
        <w:pBdr>
          <w:bottom w:val="single" w:sz="12" w:space="4" w:color="0F766E"/>
        </w:pBdr>
      </w:pPr>
      <w:r>
        <w:rPr>
          <w:rFonts w:ascii="Calibri" w:hAnsi="Calibri"/>
          <w:b/>
          <w:color w:val="0F766E"/>
          <w:sz w:val="27"/>
        </w:rPr>
        <w:t>1. Strategic Rationale &amp; Executive Thesis</w:t>
      </w:r>
    </w:p>
    <w:p>
      <w:pPr>
        <w:keepNext/>
        <w:spacing w:before="220" w:after="60"/>
      </w:pPr>
      <w:r>
        <w:rPr>
          <w:rFonts w:ascii="Calibri" w:hAnsi="Calibri"/>
          <w:b/>
          <w:color w:val="0F172A"/>
          <w:sz w:val="23"/>
        </w:rPr>
        <w:t>The Singapore Health Payor Crisis</w:t>
      </w:r>
    </w:p>
    <w:p>
      <w:r>
        <w:t xml:space="preserve">In Singapore, private Integrated Shield Plan (IP) insurers—principally </w:t>
      </w:r>
      <w:r>
        <w:rPr>
          <w:b/>
        </w:rPr>
        <w:t>AIA, Great Eastern, Prudential, Singlife, and Income</w:t>
      </w:r>
      <w:r>
        <w:t>—are confronting unsustainable Medical Loss Ratios (MLRs) exceeding 92% to 104% on full-rider portfolios.</w:t>
      </w:r>
    </w:p>
    <w:p>
      <w:r>
        <w:t>Two acute behavioral vectors drive this inflation:</w:t>
      </w:r>
    </w:p>
    <w:p>
      <w:pPr>
        <w:ind w:left="288"/>
      </w:pPr>
      <w:r>
        <w:rPr>
          <w:b/>
        </w:rPr>
        <w:t xml:space="preserve">1. The Pediatric Panic Vector (Ages 0–12): </w:t>
      </w:r>
      <w:r>
        <w:t xml:space="preserve">Over </w:t>
      </w:r>
      <w:r>
        <w:rPr>
          <w:b/>
        </w:rPr>
        <w:t>62% of after-hours pediatric Emergency Department (A&amp;E) admissions</w:t>
      </w:r>
      <w:r>
        <w:t xml:space="preserve"> (KKH, SGH, Mount Elizabeth) are classified as non-critical Category 3 and 4 presentations (mild fevers, benign viral rashes, stable coughs) driven by anxious working parents lacking real-time clinical clarity. Average cost: </w:t>
      </w:r>
      <w:r>
        <w:rPr>
          <w:b/>
        </w:rPr>
        <w:t>S$350 – S$750 per attendance.</w:t>
      </w:r>
    </w:p>
    <w:p>
      <w:pPr>
        <w:ind w:left="288"/>
      </w:pPr>
      <w:r>
        <w:rPr>
          <w:b/>
        </w:rPr>
        <w:t xml:space="preserve">2. The Geriatric Polypharmacy Vector (Ages 65+): </w:t>
      </w:r>
      <w:r>
        <w:t xml:space="preserve">Singapore's rapidly aging demographics and reliance on multiple rotating family caregivers (working adults, elderly spouses, foreign domestic helpers) result in uncoordinated drug administration. Accidental paracetamol and antihypertensive double-dosing drive </w:t>
      </w:r>
      <w:r>
        <w:rPr>
          <w:b/>
        </w:rPr>
        <w:t>~12% of preventable emergency hospitalizations.</w:t>
      </w:r>
    </w:p>
    <w:p>
      <w:pPr>
        <w:keepNext/>
        <w:spacing w:before="220" w:after="60"/>
      </w:pPr>
      <w:r>
        <w:rPr>
          <w:rFonts w:ascii="Calibri" w:hAnsi="Calibri"/>
          <w:b/>
          <w:color w:val="0F172A"/>
          <w:sz w:val="23"/>
        </w:rPr>
        <w:t>GranPocket’s Dual-Anchor Solution</w:t>
      </w:r>
    </w:p>
    <w:p>
      <w:r>
        <w:t xml:space="preserve">GranPocket acts as an </w:t>
      </w:r>
      <w:r>
        <w:rPr>
          <w:b/>
        </w:rPr>
        <w:t>upstream clinical navigation and safety filter</w:t>
      </w:r>
      <w:r>
        <w:t xml:space="preserve">, deflecting non-urgent utilization away from high-cost A&amp;E beds toward tele-consultation, primary care CHAS clinics, and guided home monitoring, while maintaining an ironclad </w:t>
      </w:r>
      <w:r>
        <w:rPr>
          <w:b/>
        </w:rPr>
        <w:t>zero-hallucination safety net</w:t>
      </w:r>
      <w:r>
        <w:t xml:space="preserve"> for true emergencies.</w:t>
      </w:r>
    </w:p>
    <w:p>
      <w:pPr>
        <w:spacing w:before="160" w:after="40"/>
        <w:jc w:val="center"/>
      </w:pPr>
      <w:r>
        <w:drawing>
          <wp:inline xmlns:a="http://schemas.openxmlformats.org/drawingml/2006/main" xmlns:pic="http://schemas.openxmlformats.org/drawingml/2006/picture">
            <wp:extent cx="5852160" cy="1911071"/>
            <wp:docPr id="1" name="Picture 1"/>
            <wp:cNvGraphicFramePr>
              <a:graphicFrameLocks noChangeAspect="1"/>
            </wp:cNvGraphicFramePr>
            <a:graphic>
              <a:graphicData uri="http://schemas.openxmlformats.org/drawingml/2006/picture">
                <pic:pic>
                  <pic:nvPicPr>
                    <pic:cNvPr id="0" name="diagram1_flowchart_final.png"/>
                    <pic:cNvPicPr/>
                  </pic:nvPicPr>
                  <pic:blipFill>
                    <a:blip r:embed="rId11"/>
                    <a:stretch>
                      <a:fillRect/>
                    </a:stretch>
                  </pic:blipFill>
                  <pic:spPr>
                    <a:xfrm>
                      <a:off x="0" y="0"/>
                      <a:ext cx="5852160" cy="1911071"/>
                    </a:xfrm>
                    <a:prstGeom prst="rect"/>
                  </pic:spPr>
                </pic:pic>
              </a:graphicData>
            </a:graphic>
          </wp:inline>
        </w:drawing>
      </w:r>
    </w:p>
    <w:p>
      <w:pPr>
        <w:spacing w:after="240"/>
        <w:jc w:val="center"/>
      </w:pPr>
      <w:r>
        <w:rPr>
          <w:i/>
          <w:color w:val="64748B"/>
          <w:sz w:val="17"/>
        </w:rPr>
        <w:t>Figure 1: GranPocket Upstream Clinical Navigation &amp; Emergency Deflection Architecture</w:t>
      </w:r>
    </w:p>
    <w:p>
      <w:pPr>
        <w:keepNext/>
        <w:spacing w:before="320" w:after="80"/>
        <w:pBdr>
          <w:bottom w:val="single" w:sz="12" w:space="4" w:color="0F766E"/>
        </w:pBdr>
      </w:pPr>
      <w:r>
        <w:rPr>
          <w:rFonts w:ascii="Calibri" w:hAnsi="Calibri"/>
          <w:b/>
          <w:color w:val="0F766E"/>
          <w:sz w:val="27"/>
        </w:rPr>
        <w:t>2. Actuarial ROI Model for Anchor Insurers</w:t>
      </w:r>
    </w:p>
    <w:p>
      <w:r>
        <w:t xml:space="preserve">The following actuarial model demonstrates net claims savings and return on investment for an anchor insurer deploying GranPocket to </w:t>
      </w:r>
      <w:r>
        <w:rPr>
          <w:b/>
        </w:rPr>
        <w:t>50,000 covered lives</w:t>
      </w:r>
      <w:r>
        <w:t xml:space="preserve"> in an Integrated Shield Plan + Rider pool.</w:t>
      </w:r>
    </w:p>
    <w:p>
      <w:pPr>
        <w:keepNext/>
        <w:spacing w:before="220" w:after="60"/>
      </w:pPr>
      <w:r>
        <w:rPr>
          <w:rFonts w:ascii="Calibri" w:hAnsi="Calibri"/>
          <w:b/>
          <w:color w:val="0F172A"/>
          <w:sz w:val="23"/>
        </w:rPr>
        <w:t>2.1. Baseline Assumptions (Singapore Market Benchmarks)</w:t>
      </w:r>
    </w:p>
    <w:p>
      <w:pPr>
        <w:spacing w:after="60"/>
        <w:ind w:left="288"/>
      </w:pPr>
      <w:r>
        <w:rPr>
          <w:b/>
        </w:rPr>
        <w:t xml:space="preserve">• </w:t>
      </w:r>
      <w:r>
        <w:rPr>
          <w:b/>
        </w:rPr>
        <w:t xml:space="preserve">Covered Cohort Size: </w:t>
      </w:r>
      <w:r>
        <w:t>50,000 policyholders (family units with at least one child or elderly dependent).</w:t>
      </w:r>
    </w:p>
    <w:p>
      <w:pPr>
        <w:spacing w:after="60"/>
        <w:ind w:left="288"/>
      </w:pPr>
      <w:r>
        <w:rPr>
          <w:b/>
        </w:rPr>
        <w:t xml:space="preserve">• </w:t>
      </w:r>
      <w:r>
        <w:rPr>
          <w:b/>
        </w:rPr>
        <w:t xml:space="preserve">Baseline Annual A&amp;E Utilization: </w:t>
      </w:r>
      <w:r>
        <w:t>14.0% per annum (7,000 emergency room attendances).</w:t>
      </w:r>
    </w:p>
    <w:p>
      <w:pPr>
        <w:spacing w:after="60"/>
        <w:ind w:left="288"/>
      </w:pPr>
      <w:r>
        <w:rPr>
          <w:b/>
        </w:rPr>
        <w:t xml:space="preserve">• </w:t>
      </w:r>
      <w:r>
        <w:rPr>
          <w:b/>
        </w:rPr>
        <w:t xml:space="preserve">Average Cost per A&amp;E Visit (Blended Public/Private): </w:t>
      </w:r>
      <w:r>
        <w:t>S$420.00.</w:t>
      </w:r>
    </w:p>
    <w:p>
      <w:pPr>
        <w:spacing w:after="60"/>
        <w:ind w:left="288"/>
      </w:pPr>
      <w:r>
        <w:rPr>
          <w:b/>
        </w:rPr>
        <w:t xml:space="preserve">• </w:t>
      </w:r>
      <w:r>
        <w:rPr>
          <w:b/>
        </w:rPr>
        <w:t xml:space="preserve">Current Annual Emergency Claims Expense: </w:t>
      </w:r>
      <w:r>
        <w:t>7,000 × S$420 = S$2,940,000.</w:t>
      </w:r>
    </w:p>
    <w:p>
      <w:pPr>
        <w:spacing w:after="60"/>
        <w:ind w:left="288"/>
      </w:pPr>
      <w:r>
        <w:rPr>
          <w:b/>
        </w:rPr>
        <w:t xml:space="preserve">• </w:t>
      </w:r>
      <w:r>
        <w:rPr>
          <w:b/>
        </w:rPr>
        <w:t xml:space="preserve">Target Deflection Rate (Clinically validated Category 3/4 cases): </w:t>
      </w:r>
      <w:r>
        <w:t>28.0% (1,960 visits diverted to telemedicine or guided home care).</w:t>
      </w:r>
    </w:p>
    <w:p>
      <w:pPr>
        <w:spacing w:after="60"/>
        <w:ind w:left="288"/>
      </w:pPr>
      <w:r>
        <w:rPr>
          <w:b/>
        </w:rPr>
        <w:t xml:space="preserve">• </w:t>
      </w:r>
      <w:r>
        <w:rPr>
          <w:b/>
        </w:rPr>
        <w:t xml:space="preserve">Alternative Care Cost: </w:t>
      </w:r>
      <w:r>
        <w:t>Average tele-consult + medication delivery = S$35.00 per deflected episode.</w:t>
      </w:r>
    </w:p>
    <w:p>
      <w:pPr>
        <w:keepNext/>
        <w:spacing w:before="220" w:after="60"/>
      </w:pPr>
      <w:r>
        <w:rPr>
          <w:rFonts w:ascii="Calibri" w:hAnsi="Calibri"/>
          <w:b/>
          <w:color w:val="0F172A"/>
          <w:sz w:val="23"/>
        </w:rPr>
        <w:t>2.2. Cost-Benefit &amp; Net Claims Savings Analysis</w:t>
      </w:r>
    </w:p>
    <w:tbl>
      <w:tblPr>
        <w:tblW w:type="auto" w:w="0"/>
        <w:jc w:val="center"/>
        <w:tblLayout w:type="fixed"/>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2509"/>
        <w:gridCol w:w="2509"/>
        <w:gridCol w:w="2509"/>
        <w:gridCol w:w="2509"/>
      </w:tblGrid>
      <w:tr>
        <w:trPr>
          <w:cantSplit/>
          <w:tblHeader/>
        </w:trPr>
        <w:tc>
          <w:tcPr>
            <w:tcW w:type="dxa" w:w="3456"/>
            <w:shd w:fill="0F766E"/>
            <w:tcMar>
              <w:top w:w="110" w:type="dxa"/>
              <w:bottom w:w="110" w:type="dxa"/>
              <w:left w:w="130" w:type="dxa"/>
              <w:right w:w="130" w:type="dxa"/>
            </w:tcMar>
          </w:tcPr>
          <w:p>
            <w:pPr>
              <w:spacing w:after="0"/>
            </w:pPr>
            <w:r>
              <w:rPr>
                <w:b/>
                <w:color w:val="FFFFFF"/>
                <w:sz w:val="17"/>
              </w:rPr>
              <w:t>Metric</w:t>
            </w:r>
          </w:p>
        </w:tc>
        <w:tc>
          <w:tcPr>
            <w:tcW w:type="dxa" w:w="2016"/>
            <w:shd w:fill="0F766E"/>
            <w:tcMar>
              <w:top w:w="110" w:type="dxa"/>
              <w:bottom w:w="110" w:type="dxa"/>
              <w:left w:w="130" w:type="dxa"/>
              <w:right w:w="130" w:type="dxa"/>
            </w:tcMar>
          </w:tcPr>
          <w:p>
            <w:pPr>
              <w:spacing w:after="0"/>
              <w:jc w:val="right"/>
            </w:pPr>
            <w:r>
              <w:rPr>
                <w:b/>
                <w:color w:val="FFFFFF"/>
                <w:sz w:val="17"/>
              </w:rPr>
              <w:t>Without GranPocket</w:t>
            </w:r>
          </w:p>
        </w:tc>
        <w:tc>
          <w:tcPr>
            <w:tcW w:type="dxa" w:w="2016"/>
            <w:shd w:fill="0F766E"/>
            <w:tcMar>
              <w:top w:w="110" w:type="dxa"/>
              <w:bottom w:w="110" w:type="dxa"/>
              <w:left w:w="130" w:type="dxa"/>
              <w:right w:w="130" w:type="dxa"/>
            </w:tcMar>
          </w:tcPr>
          <w:p>
            <w:pPr>
              <w:spacing w:after="0"/>
              <w:jc w:val="right"/>
            </w:pPr>
            <w:r>
              <w:rPr>
                <w:b/>
                <w:color w:val="FFFFFF"/>
                <w:sz w:val="17"/>
              </w:rPr>
              <w:t>With GranPocket</w:t>
            </w:r>
          </w:p>
        </w:tc>
        <w:tc>
          <w:tcPr>
            <w:tcW w:type="dxa" w:w="2549"/>
            <w:shd w:fill="0F766E"/>
            <w:tcMar>
              <w:top w:w="110" w:type="dxa"/>
              <w:bottom w:w="110" w:type="dxa"/>
              <w:left w:w="130" w:type="dxa"/>
              <w:right w:w="130" w:type="dxa"/>
            </w:tcMar>
          </w:tcPr>
          <w:p>
            <w:pPr>
              <w:spacing w:after="0"/>
              <w:jc w:val="right"/>
            </w:pPr>
            <w:r>
              <w:rPr>
                <w:b/>
                <w:color w:val="FFFFFF"/>
                <w:sz w:val="17"/>
              </w:rPr>
              <w:t>Variance / Benefit</w:t>
            </w:r>
          </w:p>
        </w:tc>
      </w:tr>
      <w:tr>
        <w:trPr>
          <w:cantSplit/>
        </w:trPr>
        <w:tc>
          <w:tcPr>
            <w:tcW w:type="dxa" w:w="3456"/>
            <w:shd w:fill="F8FAFC"/>
            <w:tcMar>
              <w:top w:w="90" w:type="dxa"/>
              <w:bottom w:w="90" w:type="dxa"/>
              <w:left w:w="130" w:type="dxa"/>
              <w:right w:w="130" w:type="dxa"/>
            </w:tcMar>
          </w:tcPr>
          <w:p>
            <w:pPr>
              <w:spacing w:after="0"/>
            </w:pPr>
            <w:r>
              <w:rPr>
                <w:sz w:val="17"/>
              </w:rPr>
              <w:t>Annual A&amp;E Visits</w:t>
            </w:r>
          </w:p>
        </w:tc>
        <w:tc>
          <w:tcPr>
            <w:tcW w:type="dxa" w:w="2016"/>
            <w:shd w:fill="F8FAFC"/>
            <w:tcMar>
              <w:top w:w="90" w:type="dxa"/>
              <w:bottom w:w="90" w:type="dxa"/>
              <w:left w:w="130" w:type="dxa"/>
              <w:right w:w="130" w:type="dxa"/>
            </w:tcMar>
          </w:tcPr>
          <w:p>
            <w:pPr>
              <w:spacing w:after="0"/>
              <w:jc w:val="right"/>
            </w:pPr>
            <w:r>
              <w:rPr>
                <w:sz w:val="17"/>
              </w:rPr>
              <w:t>7,000 visits</w:t>
            </w:r>
          </w:p>
        </w:tc>
        <w:tc>
          <w:tcPr>
            <w:tcW w:type="dxa" w:w="2016"/>
            <w:shd w:fill="F8FAFC"/>
            <w:tcMar>
              <w:top w:w="90" w:type="dxa"/>
              <w:bottom w:w="90" w:type="dxa"/>
              <w:left w:w="130" w:type="dxa"/>
              <w:right w:w="130" w:type="dxa"/>
            </w:tcMar>
          </w:tcPr>
          <w:p>
            <w:pPr>
              <w:spacing w:after="0"/>
              <w:jc w:val="right"/>
            </w:pPr>
            <w:r>
              <w:rPr>
                <w:sz w:val="17"/>
              </w:rPr>
              <w:t>5,040 visits</w:t>
            </w:r>
          </w:p>
        </w:tc>
        <w:tc>
          <w:tcPr>
            <w:tcW w:type="dxa" w:w="2549"/>
            <w:shd w:fill="F8FAFC"/>
            <w:tcMar>
              <w:top w:w="90" w:type="dxa"/>
              <w:bottom w:w="90" w:type="dxa"/>
              <w:left w:w="130" w:type="dxa"/>
              <w:right w:w="130" w:type="dxa"/>
            </w:tcMar>
          </w:tcPr>
          <w:p>
            <w:pPr>
              <w:spacing w:after="0"/>
              <w:jc w:val="right"/>
            </w:pPr>
            <w:r>
              <w:rPr>
                <w:sz w:val="17"/>
              </w:rPr>
              <w:t>-1,960 visits (-28.0%)</w:t>
            </w:r>
          </w:p>
        </w:tc>
      </w:tr>
      <w:tr>
        <w:trPr>
          <w:cantSplit/>
        </w:trPr>
        <w:tc>
          <w:tcPr>
            <w:tcW w:type="dxa" w:w="3456"/>
            <w:shd w:fill="FFFFFF"/>
            <w:tcMar>
              <w:top w:w="90" w:type="dxa"/>
              <w:bottom w:w="90" w:type="dxa"/>
              <w:left w:w="130" w:type="dxa"/>
              <w:right w:w="130" w:type="dxa"/>
            </w:tcMar>
          </w:tcPr>
          <w:p>
            <w:pPr>
              <w:spacing w:after="0"/>
            </w:pPr>
            <w:r>
              <w:rPr>
                <w:sz w:val="17"/>
              </w:rPr>
              <w:t>Gross A&amp;E Claims Cost</w:t>
            </w:r>
          </w:p>
        </w:tc>
        <w:tc>
          <w:tcPr>
            <w:tcW w:type="dxa" w:w="2016"/>
            <w:shd w:fill="FFFFFF"/>
            <w:tcMar>
              <w:top w:w="90" w:type="dxa"/>
              <w:bottom w:w="90" w:type="dxa"/>
              <w:left w:w="130" w:type="dxa"/>
              <w:right w:w="130" w:type="dxa"/>
            </w:tcMar>
          </w:tcPr>
          <w:p>
            <w:pPr>
              <w:spacing w:after="0"/>
              <w:jc w:val="right"/>
            </w:pPr>
            <w:r>
              <w:rPr>
                <w:sz w:val="17"/>
              </w:rPr>
              <w:t>S$ 2,940,000</w:t>
            </w:r>
          </w:p>
        </w:tc>
        <w:tc>
          <w:tcPr>
            <w:tcW w:type="dxa" w:w="2016"/>
            <w:shd w:fill="FFFFFF"/>
            <w:tcMar>
              <w:top w:w="90" w:type="dxa"/>
              <w:bottom w:w="90" w:type="dxa"/>
              <w:left w:w="130" w:type="dxa"/>
              <w:right w:w="130" w:type="dxa"/>
            </w:tcMar>
          </w:tcPr>
          <w:p>
            <w:pPr>
              <w:spacing w:after="0"/>
              <w:jc w:val="right"/>
            </w:pPr>
            <w:r>
              <w:rPr>
                <w:sz w:val="17"/>
              </w:rPr>
              <w:t>S$ 2,116,800</w:t>
            </w:r>
          </w:p>
        </w:tc>
        <w:tc>
          <w:tcPr>
            <w:tcW w:type="dxa" w:w="2549"/>
            <w:shd w:fill="FFFFFF"/>
            <w:tcMar>
              <w:top w:w="90" w:type="dxa"/>
              <w:bottom w:w="90" w:type="dxa"/>
              <w:left w:w="130" w:type="dxa"/>
              <w:right w:w="130" w:type="dxa"/>
            </w:tcMar>
          </w:tcPr>
          <w:p>
            <w:pPr>
              <w:spacing w:after="0"/>
              <w:jc w:val="right"/>
            </w:pPr>
            <w:r>
              <w:rPr>
                <w:sz w:val="17"/>
              </w:rPr>
              <w:t>-S$ 823,200 saved</w:t>
            </w:r>
          </w:p>
        </w:tc>
      </w:tr>
      <w:tr>
        <w:trPr>
          <w:cantSplit/>
        </w:trPr>
        <w:tc>
          <w:tcPr>
            <w:tcW w:type="dxa" w:w="3456"/>
            <w:shd w:fill="F8FAFC"/>
            <w:tcMar>
              <w:top w:w="90" w:type="dxa"/>
              <w:bottom w:w="90" w:type="dxa"/>
              <w:left w:w="130" w:type="dxa"/>
              <w:right w:w="130" w:type="dxa"/>
            </w:tcMar>
          </w:tcPr>
          <w:p>
            <w:pPr>
              <w:spacing w:after="0"/>
            </w:pPr>
            <w:r>
              <w:rPr>
                <w:sz w:val="17"/>
              </w:rPr>
              <w:t>Diverted Telehealth Cost</w:t>
            </w:r>
          </w:p>
        </w:tc>
        <w:tc>
          <w:tcPr>
            <w:tcW w:type="dxa" w:w="2016"/>
            <w:shd w:fill="F8FAFC"/>
            <w:tcMar>
              <w:top w:w="90" w:type="dxa"/>
              <w:bottom w:w="90" w:type="dxa"/>
              <w:left w:w="130" w:type="dxa"/>
              <w:right w:w="130" w:type="dxa"/>
            </w:tcMar>
          </w:tcPr>
          <w:p>
            <w:pPr>
              <w:spacing w:after="0"/>
              <w:jc w:val="right"/>
            </w:pPr>
            <w:r>
              <w:rPr>
                <w:sz w:val="17"/>
              </w:rPr>
              <w:t>S$ 0</w:t>
            </w:r>
          </w:p>
        </w:tc>
        <w:tc>
          <w:tcPr>
            <w:tcW w:type="dxa" w:w="2016"/>
            <w:shd w:fill="F8FAFC"/>
            <w:tcMar>
              <w:top w:w="90" w:type="dxa"/>
              <w:bottom w:w="90" w:type="dxa"/>
              <w:left w:w="130" w:type="dxa"/>
              <w:right w:w="130" w:type="dxa"/>
            </w:tcMar>
          </w:tcPr>
          <w:p>
            <w:pPr>
              <w:spacing w:after="0"/>
              <w:jc w:val="right"/>
            </w:pPr>
            <w:r>
              <w:rPr>
                <w:sz w:val="17"/>
              </w:rPr>
              <w:t>S$ 68,600</w:t>
            </w:r>
          </w:p>
        </w:tc>
        <w:tc>
          <w:tcPr>
            <w:tcW w:type="dxa" w:w="2549"/>
            <w:shd w:fill="F8FAFC"/>
            <w:tcMar>
              <w:top w:w="90" w:type="dxa"/>
              <w:bottom w:w="90" w:type="dxa"/>
              <w:left w:w="130" w:type="dxa"/>
              <w:right w:w="130" w:type="dxa"/>
            </w:tcMar>
          </w:tcPr>
          <w:p>
            <w:pPr>
              <w:spacing w:after="0"/>
              <w:jc w:val="right"/>
            </w:pPr>
            <w:r>
              <w:rPr>
                <w:sz w:val="17"/>
              </w:rPr>
              <w:t>+S$ 68,600</w:t>
            </w:r>
          </w:p>
        </w:tc>
      </w:tr>
      <w:tr>
        <w:trPr>
          <w:cantSplit/>
        </w:trPr>
        <w:tc>
          <w:tcPr>
            <w:tcW w:type="dxa" w:w="3456"/>
            <w:shd w:fill="FFFFFF"/>
            <w:tcMar>
              <w:top w:w="90" w:type="dxa"/>
              <w:bottom w:w="90" w:type="dxa"/>
              <w:left w:w="130" w:type="dxa"/>
              <w:right w:w="130" w:type="dxa"/>
            </w:tcMar>
          </w:tcPr>
          <w:p>
            <w:pPr>
              <w:spacing w:after="0"/>
            </w:pPr>
            <w:r>
              <w:rPr>
                <w:b/>
                <w:sz w:val="17"/>
              </w:rPr>
              <w:t>Net Medical Claims Savings</w:t>
            </w:r>
          </w:p>
        </w:tc>
        <w:tc>
          <w:tcPr>
            <w:tcW w:type="dxa" w:w="2016"/>
            <w:shd w:fill="FFFFFF"/>
            <w:tcMar>
              <w:top w:w="90" w:type="dxa"/>
              <w:bottom w:w="90" w:type="dxa"/>
              <w:left w:w="130" w:type="dxa"/>
              <w:right w:w="130" w:type="dxa"/>
            </w:tcMar>
          </w:tcPr>
          <w:p>
            <w:pPr>
              <w:spacing w:after="0"/>
              <w:jc w:val="right"/>
            </w:pPr>
            <w:r>
              <w:rPr>
                <w:b/>
                <w:sz w:val="17"/>
              </w:rPr>
              <w:t>—</w:t>
            </w:r>
          </w:p>
        </w:tc>
        <w:tc>
          <w:tcPr>
            <w:tcW w:type="dxa" w:w="2016"/>
            <w:shd w:fill="FFFFFF"/>
            <w:tcMar>
              <w:top w:w="90" w:type="dxa"/>
              <w:bottom w:w="90" w:type="dxa"/>
              <w:left w:w="130" w:type="dxa"/>
              <w:right w:w="130" w:type="dxa"/>
            </w:tcMar>
          </w:tcPr>
          <w:p>
            <w:pPr>
              <w:spacing w:after="0"/>
              <w:jc w:val="right"/>
            </w:pPr>
            <w:r>
              <w:rPr>
                <w:b/>
                <w:sz w:val="17"/>
              </w:rPr>
              <w:t>—</w:t>
            </w:r>
          </w:p>
        </w:tc>
        <w:tc>
          <w:tcPr>
            <w:tcW w:type="dxa" w:w="2549"/>
            <w:shd w:fill="FFFFFF"/>
            <w:tcMar>
              <w:top w:w="90" w:type="dxa"/>
              <w:bottom w:w="90" w:type="dxa"/>
              <w:left w:w="130" w:type="dxa"/>
              <w:right w:w="130" w:type="dxa"/>
            </w:tcMar>
          </w:tcPr>
          <w:p>
            <w:pPr>
              <w:spacing w:after="0"/>
              <w:jc w:val="right"/>
            </w:pPr>
            <w:r>
              <w:rPr>
                <w:b/>
                <w:sz w:val="17"/>
              </w:rPr>
              <w:t>S$ 754,600 / year</w:t>
            </w:r>
          </w:p>
        </w:tc>
      </w:tr>
      <w:tr>
        <w:trPr>
          <w:cantSplit/>
        </w:trPr>
        <w:tc>
          <w:tcPr>
            <w:tcW w:type="dxa" w:w="3456"/>
            <w:shd w:fill="F8FAFC"/>
            <w:tcMar>
              <w:top w:w="90" w:type="dxa"/>
              <w:bottom w:w="90" w:type="dxa"/>
              <w:left w:w="130" w:type="dxa"/>
              <w:right w:w="130" w:type="dxa"/>
            </w:tcMar>
          </w:tcPr>
          <w:p>
            <w:pPr>
              <w:spacing w:after="0"/>
            </w:pPr>
            <w:r>
              <w:rPr>
                <w:sz w:val="17"/>
              </w:rPr>
              <w:t>Prevented ADE / Double-Dose Admissions</w:t>
            </w:r>
          </w:p>
        </w:tc>
        <w:tc>
          <w:tcPr>
            <w:tcW w:type="dxa" w:w="2016"/>
            <w:shd w:fill="F8FAFC"/>
            <w:tcMar>
              <w:top w:w="90" w:type="dxa"/>
              <w:bottom w:w="90" w:type="dxa"/>
              <w:left w:w="130" w:type="dxa"/>
              <w:right w:w="130" w:type="dxa"/>
            </w:tcMar>
          </w:tcPr>
          <w:p>
            <w:pPr>
              <w:spacing w:after="0"/>
              <w:jc w:val="right"/>
            </w:pPr>
            <w:r>
              <w:rPr>
                <w:sz w:val="17"/>
              </w:rPr>
              <w:t>84 episodes (S$2,800 avg)</w:t>
            </w:r>
          </w:p>
        </w:tc>
        <w:tc>
          <w:tcPr>
            <w:tcW w:type="dxa" w:w="2016"/>
            <w:shd w:fill="F8FAFC"/>
            <w:tcMar>
              <w:top w:w="90" w:type="dxa"/>
              <w:bottom w:w="90" w:type="dxa"/>
              <w:left w:w="130" w:type="dxa"/>
              <w:right w:w="130" w:type="dxa"/>
            </w:tcMar>
          </w:tcPr>
          <w:p>
            <w:pPr>
              <w:spacing w:after="0"/>
              <w:jc w:val="right"/>
            </w:pPr>
            <w:r>
              <w:rPr>
                <w:sz w:val="17"/>
              </w:rPr>
              <w:t>18 episodes</w:t>
            </w:r>
          </w:p>
        </w:tc>
        <w:tc>
          <w:tcPr>
            <w:tcW w:type="dxa" w:w="2549"/>
            <w:shd w:fill="F8FAFC"/>
            <w:tcMar>
              <w:top w:w="90" w:type="dxa"/>
              <w:bottom w:w="90" w:type="dxa"/>
              <w:left w:w="130" w:type="dxa"/>
              <w:right w:w="130" w:type="dxa"/>
            </w:tcMar>
          </w:tcPr>
          <w:p>
            <w:pPr>
              <w:spacing w:after="0"/>
              <w:jc w:val="right"/>
            </w:pPr>
            <w:r>
              <w:rPr>
                <w:sz w:val="17"/>
              </w:rPr>
              <w:t>S$ 184,800 / year</w:t>
            </w:r>
          </w:p>
        </w:tc>
      </w:tr>
      <w:tr>
        <w:trPr>
          <w:cantSplit/>
        </w:trPr>
        <w:tc>
          <w:tcPr>
            <w:tcW w:type="dxa" w:w="3456"/>
            <w:shd w:fill="E6F4F1"/>
            <w:tcMar>
              <w:top w:w="90" w:type="dxa"/>
              <w:bottom w:w="90" w:type="dxa"/>
              <w:left w:w="130" w:type="dxa"/>
              <w:right w:w="130" w:type="dxa"/>
            </w:tcMar>
          </w:tcPr>
          <w:p>
            <w:pPr>
              <w:spacing w:after="0"/>
            </w:pPr>
            <w:r>
              <w:rPr>
                <w:b/>
                <w:color w:val="0F766E"/>
                <w:sz w:val="17"/>
              </w:rPr>
              <w:t>Total Annualized Claims Reduction</w:t>
            </w:r>
          </w:p>
        </w:tc>
        <w:tc>
          <w:tcPr>
            <w:tcW w:type="dxa" w:w="2016"/>
            <w:shd w:fill="E6F4F1"/>
            <w:tcMar>
              <w:top w:w="90" w:type="dxa"/>
              <w:bottom w:w="90" w:type="dxa"/>
              <w:left w:w="130" w:type="dxa"/>
              <w:right w:w="130" w:type="dxa"/>
            </w:tcMar>
          </w:tcPr>
          <w:p>
            <w:pPr>
              <w:spacing w:after="0"/>
              <w:jc w:val="right"/>
            </w:pPr>
            <w:r>
              <w:rPr>
                <w:b/>
                <w:color w:val="0F766E"/>
                <w:sz w:val="17"/>
              </w:rPr>
              <w:t>—</w:t>
            </w:r>
          </w:p>
        </w:tc>
        <w:tc>
          <w:tcPr>
            <w:tcW w:type="dxa" w:w="2016"/>
            <w:shd w:fill="E6F4F1"/>
            <w:tcMar>
              <w:top w:w="90" w:type="dxa"/>
              <w:bottom w:w="90" w:type="dxa"/>
              <w:left w:w="130" w:type="dxa"/>
              <w:right w:w="130" w:type="dxa"/>
            </w:tcMar>
          </w:tcPr>
          <w:p>
            <w:pPr>
              <w:spacing w:after="0"/>
              <w:jc w:val="right"/>
            </w:pPr>
            <w:r>
              <w:rPr>
                <w:b/>
                <w:color w:val="0F766E"/>
                <w:sz w:val="17"/>
              </w:rPr>
              <w:t>—</w:t>
            </w:r>
          </w:p>
        </w:tc>
        <w:tc>
          <w:tcPr>
            <w:tcW w:type="dxa" w:w="2549"/>
            <w:shd w:fill="E6F4F1"/>
            <w:tcMar>
              <w:top w:w="90" w:type="dxa"/>
              <w:bottom w:w="90" w:type="dxa"/>
              <w:left w:w="130" w:type="dxa"/>
              <w:right w:w="130" w:type="dxa"/>
            </w:tcMar>
          </w:tcPr>
          <w:p>
            <w:pPr>
              <w:spacing w:after="0"/>
              <w:jc w:val="right"/>
            </w:pPr>
            <w:r>
              <w:rPr>
                <w:b/>
                <w:color w:val="0F766E"/>
                <w:sz w:val="17"/>
              </w:rPr>
              <w:t>S$ 939,400 / year</w:t>
            </w:r>
          </w:p>
        </w:tc>
      </w:tr>
    </w:tbl>
    <w:p>
      <w:pPr>
        <w:spacing w:before="80" w:after="0"/>
      </w:pPr>
    </w:p>
    <w:p>
      <w:pPr>
        <w:keepNext/>
        <w:spacing w:before="220" w:after="60"/>
      </w:pPr>
      <w:r>
        <w:rPr>
          <w:rFonts w:ascii="Calibri" w:hAnsi="Calibri"/>
          <w:b/>
          <w:color w:val="0F172A"/>
          <w:sz w:val="23"/>
        </w:rPr>
        <w:t>2.3. Commercial Pricing Models for Insurers</w:t>
      </w:r>
    </w:p>
    <w:p>
      <w:pPr>
        <w:spacing w:before="120" w:after="40"/>
        <w:jc w:val="center"/>
      </w:pPr>
      <w:r>
        <w:drawing>
          <wp:inline xmlns:a="http://schemas.openxmlformats.org/drawingml/2006/main" xmlns:pic="http://schemas.openxmlformats.org/drawingml/2006/picture">
            <wp:extent cx="4754880" cy="2749999"/>
            <wp:docPr id="2" name="Picture 2"/>
            <wp:cNvGraphicFramePr>
              <a:graphicFrameLocks noChangeAspect="1"/>
            </wp:cNvGraphicFramePr>
            <a:graphic>
              <a:graphicData uri="http://schemas.openxmlformats.org/drawingml/2006/picture">
                <pic:pic>
                  <pic:nvPicPr>
                    <pic:cNvPr id="0" name="diagram2_pie.png"/>
                    <pic:cNvPicPr/>
                  </pic:nvPicPr>
                  <pic:blipFill>
                    <a:blip r:embed="rId12"/>
                    <a:stretch>
                      <a:fillRect/>
                    </a:stretch>
                  </pic:blipFill>
                  <pic:spPr>
                    <a:xfrm>
                      <a:off x="0" y="0"/>
                      <a:ext cx="4754880" cy="2749999"/>
                    </a:xfrm>
                    <a:prstGeom prst="rect"/>
                  </pic:spPr>
                </pic:pic>
              </a:graphicData>
            </a:graphic>
          </wp:inline>
        </w:drawing>
      </w:r>
    </w:p>
    <w:p>
      <w:pPr>
        <w:spacing w:after="200"/>
        <w:jc w:val="center"/>
      </w:pPr>
      <w:r>
        <w:rPr>
          <w:i/>
          <w:color w:val="64748B"/>
          <w:sz w:val="17"/>
        </w:rPr>
        <w:t>Figure 2: Insurer Economic Value Distribution &amp; Revenue Realization Mix</w:t>
      </w:r>
    </w:p>
    <w:p>
      <w:r>
        <w:rPr>
          <w:b/>
          <w:color w:val="0F172A"/>
        </w:rPr>
        <w:t>1. Model A: Fixed PEPM (Per Eligible / Covered Life Per Month)</w:t>
      </w:r>
    </w:p>
    <w:p>
      <w:pPr>
        <w:spacing w:after="40"/>
        <w:ind w:left="432"/>
      </w:pPr>
      <w:r>
        <w:rPr>
          <w:b/>
        </w:rPr>
        <w:t xml:space="preserve">• </w:t>
      </w:r>
      <w:r>
        <w:rPr>
          <w:b/>
        </w:rPr>
        <w:t xml:space="preserve">License Fee: </w:t>
      </w:r>
      <w:r>
        <w:t>S$1.50 PEPM.</w:t>
      </w:r>
    </w:p>
    <w:p>
      <w:pPr>
        <w:spacing w:after="40"/>
        <w:ind w:left="432"/>
      </w:pPr>
      <w:r>
        <w:rPr>
          <w:b/>
        </w:rPr>
        <w:t xml:space="preserve">• </w:t>
      </w:r>
      <w:r>
        <w:rPr>
          <w:b/>
        </w:rPr>
        <w:t xml:space="preserve">Annual Platform Investment: </w:t>
      </w:r>
      <w:r>
        <w:t>50,000 × S$1.50 × 12 = S$900,000.</w:t>
      </w:r>
    </w:p>
    <w:p>
      <w:pPr>
        <w:spacing w:after="40"/>
        <w:ind w:left="432"/>
      </w:pPr>
      <w:r>
        <w:rPr>
          <w:b/>
        </w:rPr>
        <w:t xml:space="preserve">• </w:t>
      </w:r>
      <w:r>
        <w:rPr>
          <w:b/>
        </w:rPr>
        <w:t xml:space="preserve">Insurer Gross Claims Savings: </w:t>
      </w:r>
      <w:r>
        <w:t>S$939,400.</w:t>
      </w:r>
    </w:p>
    <w:p>
      <w:pPr>
        <w:spacing w:after="40"/>
        <w:ind w:left="432"/>
      </w:pPr>
      <w:r>
        <w:rPr>
          <w:b/>
        </w:rPr>
        <w:t xml:space="preserve">• </w:t>
      </w:r>
      <w:r>
        <w:rPr>
          <w:b/>
        </w:rPr>
        <w:t xml:space="preserve">Direct Insurer ROI: </w:t>
      </w:r>
      <w:r>
        <w:t>Break-even in Year 1 + 18% increase in net customer retention (NPS).</w:t>
      </w:r>
    </w:p>
    <w:p>
      <w:pPr>
        <w:spacing w:before="120"/>
      </w:pPr>
      <w:r>
        <w:rPr>
          <w:b/>
          <w:color w:val="0F172A"/>
        </w:rPr>
        <w:t>2. Model B: Risk-Sharing Corridor (Recommended for Faster Anchor Signing)</w:t>
      </w:r>
    </w:p>
    <w:p>
      <w:pPr>
        <w:spacing w:after="40"/>
        <w:ind w:left="432"/>
      </w:pPr>
      <w:r>
        <w:rPr>
          <w:b/>
        </w:rPr>
        <w:t xml:space="preserve">• </w:t>
      </w:r>
      <w:r>
        <w:rPr>
          <w:b/>
        </w:rPr>
        <w:t xml:space="preserve">Base Platform Fee: </w:t>
      </w:r>
      <w:r>
        <w:t>S$0.75 PEPM (S$450,000/year).</w:t>
      </w:r>
    </w:p>
    <w:p>
      <w:pPr>
        <w:spacing w:after="40"/>
        <w:ind w:left="432"/>
      </w:pPr>
      <w:r>
        <w:rPr>
          <w:b/>
        </w:rPr>
        <w:t xml:space="preserve">• </w:t>
      </w:r>
      <w:r>
        <w:rPr>
          <w:b/>
        </w:rPr>
        <w:t xml:space="preserve">Shared Savings Success Fee: </w:t>
      </w:r>
      <w:r>
        <w:t>25% of verified claims reduction below the agreed actuarial baseline.</w:t>
      </w:r>
    </w:p>
    <w:p>
      <w:pPr>
        <w:spacing w:after="40"/>
        <w:ind w:left="432"/>
      </w:pPr>
      <w:r>
        <w:rPr>
          <w:b/>
        </w:rPr>
        <w:t xml:space="preserve">• </w:t>
      </w:r>
      <w:r>
        <w:rPr>
          <w:b/>
        </w:rPr>
        <w:t xml:space="preserve">Claims Drop Case (S$939,400 drop): </w:t>
      </w:r>
      <w:r>
        <w:t>Base Fee: S$450,000 | Performance Fee: 25% × S$939,400 = S$234,850.</w:t>
      </w:r>
    </w:p>
    <w:p>
      <w:pPr>
        <w:spacing w:after="40"/>
        <w:ind w:left="432"/>
      </w:pPr>
      <w:r>
        <w:rPr>
          <w:b/>
        </w:rPr>
        <w:t xml:space="preserve">• </w:t>
      </w:r>
      <w:r>
        <w:rPr>
          <w:b/>
        </w:rPr>
        <w:t xml:space="preserve">Total GranPocket Revenue: </w:t>
      </w:r>
      <w:r>
        <w:t>S$684,850.</w:t>
      </w:r>
    </w:p>
    <w:p>
      <w:pPr>
        <w:spacing w:after="40"/>
        <w:ind w:left="432"/>
      </w:pPr>
      <w:r>
        <w:rPr>
          <w:b/>
        </w:rPr>
        <w:t xml:space="preserve">• </w:t>
      </w:r>
      <w:r>
        <w:rPr>
          <w:b/>
        </w:rPr>
        <w:t xml:space="preserve">Net Insurer Profit: </w:t>
      </w:r>
      <w:r>
        <w:t>S$254,550 hard claims savings on day one.</w:t>
      </w:r>
    </w:p>
    <w:p>
      <w:pPr>
        <w:keepNext/>
        <w:spacing w:before="320" w:after="80"/>
        <w:pBdr>
          <w:bottom w:val="single" w:sz="12" w:space="4" w:color="0F766E"/>
        </w:pBdr>
      </w:pPr>
      <w:r>
        <w:rPr>
          <w:rFonts w:ascii="Calibri" w:hAnsi="Calibri"/>
          <w:b/>
          <w:color w:val="0F766E"/>
          <w:sz w:val="27"/>
        </w:rPr>
        <w:t>3. Anchor Partner Prioritization Matrix (Singapore Market)</w:t>
      </w:r>
    </w:p>
    <w:tbl>
      <w:tblPr>
        <w:tblW w:type="auto" w:w="0"/>
        <w:jc w:val="center"/>
        <w:tblLayout w:type="fixed"/>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2509"/>
        <w:gridCol w:w="2509"/>
        <w:gridCol w:w="2509"/>
        <w:gridCol w:w="2509"/>
      </w:tblGrid>
      <w:tr>
        <w:trPr>
          <w:cantSplit/>
          <w:tblHeader/>
        </w:trPr>
        <w:tc>
          <w:tcPr>
            <w:tcW w:type="dxa" w:w="1944"/>
            <w:shd w:fill="0F766E"/>
            <w:tcMar>
              <w:top w:w="100" w:type="dxa"/>
              <w:bottom w:w="100" w:type="dxa"/>
              <w:left w:w="120" w:type="dxa"/>
              <w:right w:w="120" w:type="dxa"/>
            </w:tcMar>
          </w:tcPr>
          <w:p>
            <w:pPr>
              <w:spacing w:after="0"/>
            </w:pPr>
            <w:r>
              <w:rPr>
                <w:b/>
                <w:color w:val="FFFFFF"/>
                <w:sz w:val="17"/>
              </w:rPr>
              <w:t>Target Partner</w:t>
            </w:r>
          </w:p>
        </w:tc>
        <w:tc>
          <w:tcPr>
            <w:tcW w:type="dxa" w:w="2664"/>
            <w:shd w:fill="0F766E"/>
            <w:tcMar>
              <w:top w:w="100" w:type="dxa"/>
              <w:bottom w:w="100" w:type="dxa"/>
              <w:left w:w="120" w:type="dxa"/>
              <w:right w:w="120" w:type="dxa"/>
            </w:tcMar>
          </w:tcPr>
          <w:p>
            <w:pPr>
              <w:spacing w:after="0"/>
            </w:pPr>
            <w:r>
              <w:rPr>
                <w:b/>
                <w:color w:val="FFFFFF"/>
                <w:sz w:val="17"/>
              </w:rPr>
              <w:t>Strategic Fit &amp; Product Integration</w:t>
            </w:r>
          </w:p>
        </w:tc>
        <w:tc>
          <w:tcPr>
            <w:tcW w:type="dxa" w:w="2304"/>
            <w:shd w:fill="0F766E"/>
            <w:tcMar>
              <w:top w:w="100" w:type="dxa"/>
              <w:bottom w:w="100" w:type="dxa"/>
              <w:left w:w="120" w:type="dxa"/>
              <w:right w:w="120" w:type="dxa"/>
            </w:tcMar>
          </w:tcPr>
          <w:p>
            <w:pPr>
              <w:spacing w:after="0"/>
            </w:pPr>
            <w:r>
              <w:rPr>
                <w:b/>
                <w:color w:val="FFFFFF"/>
                <w:sz w:val="17"/>
              </w:rPr>
              <w:t>Primary Decision Maker</w:t>
            </w:r>
          </w:p>
        </w:tc>
        <w:tc>
          <w:tcPr>
            <w:tcW w:type="dxa" w:w="3125"/>
            <w:shd w:fill="0F766E"/>
            <w:tcMar>
              <w:top w:w="100" w:type="dxa"/>
              <w:bottom w:w="100" w:type="dxa"/>
              <w:left w:w="120" w:type="dxa"/>
              <w:right w:w="120" w:type="dxa"/>
            </w:tcMar>
          </w:tcPr>
          <w:p>
            <w:pPr>
              <w:spacing w:after="0"/>
            </w:pPr>
            <w:r>
              <w:rPr>
                <w:b/>
                <w:color w:val="FFFFFF"/>
                <w:sz w:val="17"/>
              </w:rPr>
              <w:t>Value Wedge</w:t>
            </w:r>
          </w:p>
        </w:tc>
      </w:tr>
      <w:tr>
        <w:trPr>
          <w:cantSplit/>
        </w:trPr>
        <w:tc>
          <w:tcPr>
            <w:tcW w:type="dxa" w:w="1944"/>
            <w:shd w:fill="F8FAFC"/>
            <w:tcMar>
              <w:top w:w="90" w:type="dxa"/>
              <w:bottom w:w="90" w:type="dxa"/>
              <w:left w:w="120" w:type="dxa"/>
              <w:right w:w="120" w:type="dxa"/>
            </w:tcMar>
          </w:tcPr>
          <w:p>
            <w:pPr>
              <w:spacing w:after="0"/>
            </w:pPr>
            <w:r>
              <w:rPr>
                <w:b/>
                <w:color w:val="0F172A"/>
                <w:sz w:val="17"/>
              </w:rPr>
              <w:t>1. AIA Singapore (Priority 1)</w:t>
            </w:r>
          </w:p>
        </w:tc>
        <w:tc>
          <w:tcPr>
            <w:tcW w:type="dxa" w:w="2664"/>
            <w:shd w:fill="F8FAFC"/>
            <w:tcMar>
              <w:top w:w="90" w:type="dxa"/>
              <w:bottom w:w="90" w:type="dxa"/>
              <w:left w:w="120" w:type="dxa"/>
              <w:right w:w="120" w:type="dxa"/>
            </w:tcMar>
          </w:tcPr>
          <w:p>
            <w:pPr>
              <w:spacing w:after="0"/>
            </w:pPr>
            <w:r>
              <w:rPr>
                <w:sz w:val="17"/>
              </w:rPr>
              <w:t>AIA HealthShield Gold Max + AIA Vitality ecosystem. High mobile app engagement.</w:t>
            </w:r>
          </w:p>
        </w:tc>
        <w:tc>
          <w:tcPr>
            <w:tcW w:type="dxa" w:w="2304"/>
            <w:shd w:fill="F8FAFC"/>
            <w:tcMar>
              <w:top w:w="90" w:type="dxa"/>
              <w:bottom w:w="90" w:type="dxa"/>
              <w:left w:w="120" w:type="dxa"/>
              <w:right w:w="120" w:type="dxa"/>
            </w:tcMar>
          </w:tcPr>
          <w:p>
            <w:pPr>
              <w:spacing w:after="0"/>
            </w:pPr>
            <w:r>
              <w:rPr>
                <w:sz w:val="17"/>
              </w:rPr>
              <w:t>Head of Health &amp; Claims / Chief Customer Officer</w:t>
            </w:r>
          </w:p>
        </w:tc>
        <w:tc>
          <w:tcPr>
            <w:tcW w:type="dxa" w:w="3125"/>
            <w:shd w:fill="F8FAFC"/>
            <w:tcMar>
              <w:top w:w="90" w:type="dxa"/>
              <w:bottom w:w="90" w:type="dxa"/>
              <w:left w:w="120" w:type="dxa"/>
              <w:right w:w="120" w:type="dxa"/>
            </w:tcMar>
          </w:tcPr>
          <w:p>
            <w:pPr>
              <w:spacing w:after="0"/>
            </w:pPr>
            <w:r>
              <w:rPr>
                <w:sz w:val="17"/>
              </w:rPr>
              <w:t>Embed GranPocket as "AIA Family Shield Digital Doctor". Deflects high rider claims; awards Vitality points for preventive check-backs.</w:t>
            </w:r>
          </w:p>
        </w:tc>
      </w:tr>
      <w:tr>
        <w:trPr>
          <w:cantSplit/>
        </w:trPr>
        <w:tc>
          <w:tcPr>
            <w:tcW w:type="dxa" w:w="1944"/>
            <w:shd w:fill="FFFFFF"/>
            <w:tcMar>
              <w:top w:w="90" w:type="dxa"/>
              <w:bottom w:w="90" w:type="dxa"/>
              <w:left w:w="120" w:type="dxa"/>
              <w:right w:w="120" w:type="dxa"/>
            </w:tcMar>
          </w:tcPr>
          <w:p>
            <w:pPr>
              <w:spacing w:after="0"/>
            </w:pPr>
            <w:r>
              <w:rPr>
                <w:b/>
                <w:color w:val="0F172A"/>
                <w:sz w:val="17"/>
              </w:rPr>
              <w:t>2. Great Eastern (Priority 2)</w:t>
            </w:r>
          </w:p>
        </w:tc>
        <w:tc>
          <w:tcPr>
            <w:tcW w:type="dxa" w:w="2664"/>
            <w:shd w:fill="FFFFFF"/>
            <w:tcMar>
              <w:top w:w="90" w:type="dxa"/>
              <w:bottom w:w="90" w:type="dxa"/>
              <w:left w:w="120" w:type="dxa"/>
              <w:right w:w="120" w:type="dxa"/>
            </w:tcMar>
          </w:tcPr>
          <w:p>
            <w:pPr>
              <w:spacing w:after="0"/>
            </w:pPr>
            <w:r>
              <w:rPr>
                <w:sz w:val="17"/>
              </w:rPr>
              <w:t>SupremeHealth + GREAT Family Care. Strong brand equity in pediatric and critical illness.</w:t>
            </w:r>
          </w:p>
        </w:tc>
        <w:tc>
          <w:tcPr>
            <w:tcW w:type="dxa" w:w="2304"/>
            <w:shd w:fill="FFFFFF"/>
            <w:tcMar>
              <w:top w:w="90" w:type="dxa"/>
              <w:bottom w:w="90" w:type="dxa"/>
              <w:left w:w="120" w:type="dxa"/>
              <w:right w:w="120" w:type="dxa"/>
            </w:tcMar>
          </w:tcPr>
          <w:p>
            <w:pPr>
              <w:spacing w:after="0"/>
            </w:pPr>
            <w:r>
              <w:rPr>
                <w:sz w:val="17"/>
              </w:rPr>
              <w:t>Head of Group Healthcare Ecosystems</w:t>
            </w:r>
          </w:p>
        </w:tc>
        <w:tc>
          <w:tcPr>
            <w:tcW w:type="dxa" w:w="3125"/>
            <w:shd w:fill="FFFFFF"/>
            <w:tcMar>
              <w:top w:w="90" w:type="dxa"/>
              <w:bottom w:w="90" w:type="dxa"/>
              <w:left w:w="120" w:type="dxa"/>
              <w:right w:w="120" w:type="dxa"/>
            </w:tcMar>
          </w:tcPr>
          <w:p>
            <w:pPr>
              <w:spacing w:after="0"/>
            </w:pPr>
            <w:r>
              <w:rPr>
                <w:sz w:val="17"/>
              </w:rPr>
              <w:t>Differentiator for family policy sales against Prudential; prevents infant fever claims.</w:t>
            </w:r>
          </w:p>
        </w:tc>
      </w:tr>
      <w:tr>
        <w:trPr>
          <w:cantSplit/>
        </w:trPr>
        <w:tc>
          <w:tcPr>
            <w:tcW w:type="dxa" w:w="1944"/>
            <w:shd w:fill="F8FAFC"/>
            <w:tcMar>
              <w:top w:w="90" w:type="dxa"/>
              <w:bottom w:w="90" w:type="dxa"/>
              <w:left w:w="120" w:type="dxa"/>
              <w:right w:w="120" w:type="dxa"/>
            </w:tcMar>
          </w:tcPr>
          <w:p>
            <w:pPr>
              <w:spacing w:after="0"/>
            </w:pPr>
            <w:r>
              <w:rPr>
                <w:b/>
                <w:color w:val="0F172A"/>
                <w:sz w:val="17"/>
              </w:rPr>
              <w:t>3. Prudential Singapore (Priority 3)</w:t>
            </w:r>
          </w:p>
        </w:tc>
        <w:tc>
          <w:tcPr>
            <w:tcW w:type="dxa" w:w="2664"/>
            <w:shd w:fill="F8FAFC"/>
            <w:tcMar>
              <w:top w:w="90" w:type="dxa"/>
              <w:bottom w:w="90" w:type="dxa"/>
              <w:left w:w="120" w:type="dxa"/>
              <w:right w:w="120" w:type="dxa"/>
            </w:tcMar>
          </w:tcPr>
          <w:p>
            <w:pPr>
              <w:spacing w:after="0"/>
            </w:pPr>
            <w:r>
              <w:rPr>
                <w:sz w:val="17"/>
              </w:rPr>
              <w:t>PRUShield + Pulse by Prudential health app. Aggressive digital innovation focus.</w:t>
            </w:r>
          </w:p>
        </w:tc>
        <w:tc>
          <w:tcPr>
            <w:tcW w:type="dxa" w:w="2304"/>
            <w:shd w:fill="F8FAFC"/>
            <w:tcMar>
              <w:top w:w="90" w:type="dxa"/>
              <w:bottom w:w="90" w:type="dxa"/>
              <w:left w:w="120" w:type="dxa"/>
              <w:right w:w="120" w:type="dxa"/>
            </w:tcMar>
          </w:tcPr>
          <w:p>
            <w:pPr>
              <w:spacing w:after="0"/>
            </w:pPr>
            <w:r>
              <w:rPr>
                <w:sz w:val="17"/>
              </w:rPr>
              <w:t>Chief Digital Officer / Head of Medical Network</w:t>
            </w:r>
          </w:p>
        </w:tc>
        <w:tc>
          <w:tcPr>
            <w:tcW w:type="dxa" w:w="3125"/>
            <w:shd w:fill="F8FAFC"/>
            <w:tcMar>
              <w:top w:w="90" w:type="dxa"/>
              <w:bottom w:w="90" w:type="dxa"/>
              <w:left w:w="120" w:type="dxa"/>
              <w:right w:w="120" w:type="dxa"/>
            </w:tcMar>
          </w:tcPr>
          <w:p>
            <w:pPr>
              <w:spacing w:after="0"/>
            </w:pPr>
            <w:r>
              <w:rPr>
                <w:sz w:val="17"/>
              </w:rPr>
              <w:t>API integration directly into the Pulse app shell to boost MAU and claims engagement.</w:t>
            </w:r>
          </w:p>
        </w:tc>
      </w:tr>
      <w:tr>
        <w:trPr>
          <w:cantSplit/>
        </w:trPr>
        <w:tc>
          <w:tcPr>
            <w:tcW w:type="dxa" w:w="1944"/>
            <w:shd w:fill="FFFFFF"/>
            <w:tcMar>
              <w:top w:w="90" w:type="dxa"/>
              <w:bottom w:w="90" w:type="dxa"/>
              <w:left w:w="120" w:type="dxa"/>
              <w:right w:w="120" w:type="dxa"/>
            </w:tcMar>
          </w:tcPr>
          <w:p>
            <w:pPr>
              <w:spacing w:after="0"/>
            </w:pPr>
            <w:r>
              <w:rPr>
                <w:b/>
                <w:color w:val="0F172A"/>
                <w:sz w:val="17"/>
              </w:rPr>
              <w:t>4. Singlife (Priority 4)</w:t>
            </w:r>
          </w:p>
        </w:tc>
        <w:tc>
          <w:tcPr>
            <w:tcW w:type="dxa" w:w="2664"/>
            <w:shd w:fill="FFFFFF"/>
            <w:tcMar>
              <w:top w:w="90" w:type="dxa"/>
              <w:bottom w:w="90" w:type="dxa"/>
              <w:left w:w="120" w:type="dxa"/>
              <w:right w:w="120" w:type="dxa"/>
            </w:tcMar>
          </w:tcPr>
          <w:p>
            <w:pPr>
              <w:spacing w:after="0"/>
            </w:pPr>
            <w:r>
              <w:rPr>
                <w:sz w:val="17"/>
              </w:rPr>
              <w:t>Singlife Shield. Digital-first challenger insurer with agile tech integration.</w:t>
            </w:r>
          </w:p>
        </w:tc>
        <w:tc>
          <w:tcPr>
            <w:tcW w:type="dxa" w:w="2304"/>
            <w:shd w:fill="FFFFFF"/>
            <w:tcMar>
              <w:top w:w="90" w:type="dxa"/>
              <w:bottom w:w="90" w:type="dxa"/>
              <w:left w:w="120" w:type="dxa"/>
              <w:right w:w="120" w:type="dxa"/>
            </w:tcMar>
          </w:tcPr>
          <w:p>
            <w:pPr>
              <w:spacing w:after="0"/>
            </w:pPr>
            <w:r>
              <w:rPr>
                <w:sz w:val="17"/>
              </w:rPr>
              <w:t>Head of Digital Products &amp; Partnerships</w:t>
            </w:r>
          </w:p>
        </w:tc>
        <w:tc>
          <w:tcPr>
            <w:tcW w:type="dxa" w:w="3125"/>
            <w:shd w:fill="FFFFFF"/>
            <w:tcMar>
              <w:top w:w="90" w:type="dxa"/>
              <w:bottom w:w="90" w:type="dxa"/>
              <w:left w:w="120" w:type="dxa"/>
              <w:right w:w="120" w:type="dxa"/>
            </w:tcMar>
          </w:tcPr>
          <w:p>
            <w:pPr>
              <w:spacing w:after="0"/>
            </w:pPr>
            <w:r>
              <w:rPr>
                <w:sz w:val="17"/>
              </w:rPr>
              <w:t>Faster pilot sandbox approval (30–45 days) due to streamlined governance hierarchy.</w:t>
            </w:r>
          </w:p>
        </w:tc>
      </w:tr>
      <w:tr>
        <w:trPr>
          <w:cantSplit/>
        </w:trPr>
        <w:tc>
          <w:tcPr>
            <w:tcW w:type="dxa" w:w="1944"/>
            <w:shd w:fill="F8FAFC"/>
            <w:tcMar>
              <w:top w:w="90" w:type="dxa"/>
              <w:bottom w:w="90" w:type="dxa"/>
              <w:left w:w="120" w:type="dxa"/>
              <w:right w:w="120" w:type="dxa"/>
            </w:tcMar>
          </w:tcPr>
          <w:p>
            <w:pPr>
              <w:spacing w:after="0"/>
            </w:pPr>
            <w:r>
              <w:rPr>
                <w:b/>
                <w:color w:val="0F172A"/>
                <w:sz w:val="17"/>
              </w:rPr>
              <w:t>5. MOH / Healthier SG (Public Track)</w:t>
            </w:r>
          </w:p>
        </w:tc>
        <w:tc>
          <w:tcPr>
            <w:tcW w:type="dxa" w:w="2664"/>
            <w:shd w:fill="F8FAFC"/>
            <w:tcMar>
              <w:top w:w="90" w:type="dxa"/>
              <w:bottom w:w="90" w:type="dxa"/>
              <w:left w:w="120" w:type="dxa"/>
              <w:right w:w="120" w:type="dxa"/>
            </w:tcMar>
          </w:tcPr>
          <w:p>
            <w:pPr>
              <w:spacing w:after="0"/>
            </w:pPr>
            <w:r>
              <w:rPr>
                <w:sz w:val="17"/>
              </w:rPr>
              <w:t>HealthHub &amp; National Electronic Health Record (NEHR) integration.</w:t>
            </w:r>
          </w:p>
        </w:tc>
        <w:tc>
          <w:tcPr>
            <w:tcW w:type="dxa" w:w="2304"/>
            <w:shd w:fill="F8FAFC"/>
            <w:tcMar>
              <w:top w:w="90" w:type="dxa"/>
              <w:bottom w:w="90" w:type="dxa"/>
              <w:left w:w="120" w:type="dxa"/>
              <w:right w:w="120" w:type="dxa"/>
            </w:tcMar>
          </w:tcPr>
          <w:p>
            <w:pPr>
              <w:spacing w:after="0"/>
            </w:pPr>
            <w:r>
              <w:rPr>
                <w:sz w:val="17"/>
              </w:rPr>
              <w:t>Director, MOHT (MOH Office for Healthcare Transformation)</w:t>
            </w:r>
          </w:p>
        </w:tc>
        <w:tc>
          <w:tcPr>
            <w:tcW w:type="dxa" w:w="3125"/>
            <w:shd w:fill="F8FAFC"/>
            <w:tcMar>
              <w:top w:w="90" w:type="dxa"/>
              <w:bottom w:w="90" w:type="dxa"/>
              <w:left w:w="120" w:type="dxa"/>
              <w:right w:w="120" w:type="dxa"/>
            </w:tcMar>
          </w:tcPr>
          <w:p>
            <w:pPr>
              <w:spacing w:after="0"/>
            </w:pPr>
            <w:r>
              <w:rPr>
                <w:sz w:val="17"/>
              </w:rPr>
              <w:t>Community eldercare double-dose prevention and polyclinic load-balancing.</w:t>
            </w:r>
          </w:p>
        </w:tc>
      </w:tr>
    </w:tbl>
    <w:p>
      <w:pPr>
        <w:keepNext/>
        <w:spacing w:before="320" w:after="80"/>
        <w:pBdr>
          <w:bottom w:val="single" w:sz="12" w:space="4" w:color="0F766E"/>
        </w:pBdr>
      </w:pPr>
      <w:r>
        <w:rPr>
          <w:rFonts w:ascii="Calibri" w:hAnsi="Calibri"/>
          <w:b/>
          <w:color w:val="0F766E"/>
          <w:sz w:val="27"/>
        </w:rPr>
        <w:t>4. 180-Day Pilot Execution Blueprint</w:t>
      </w:r>
    </w:p>
    <w:p>
      <w:pPr>
        <w:spacing w:before="160" w:after="40"/>
        <w:jc w:val="center"/>
      </w:pPr>
      <w:r>
        <w:drawing>
          <wp:inline xmlns:a="http://schemas.openxmlformats.org/drawingml/2006/main" xmlns:pic="http://schemas.openxmlformats.org/drawingml/2006/picture">
            <wp:extent cx="5852160" cy="2164244"/>
            <wp:docPr id="3" name="Picture 3"/>
            <wp:cNvGraphicFramePr>
              <a:graphicFrameLocks noChangeAspect="1"/>
            </wp:cNvGraphicFramePr>
            <a:graphic>
              <a:graphicData uri="http://schemas.openxmlformats.org/drawingml/2006/picture">
                <pic:pic>
                  <pic:nvPicPr>
                    <pic:cNvPr id="0" name="diagram3_gantt.png"/>
                    <pic:cNvPicPr/>
                  </pic:nvPicPr>
                  <pic:blipFill>
                    <a:blip r:embed="rId13"/>
                    <a:stretch>
                      <a:fillRect/>
                    </a:stretch>
                  </pic:blipFill>
                  <pic:spPr>
                    <a:xfrm>
                      <a:off x="0" y="0"/>
                      <a:ext cx="5852160" cy="2164244"/>
                    </a:xfrm>
                    <a:prstGeom prst="rect"/>
                  </pic:spPr>
                </pic:pic>
              </a:graphicData>
            </a:graphic>
          </wp:inline>
        </w:drawing>
      </w:r>
    </w:p>
    <w:p>
      <w:pPr>
        <w:spacing w:after="200"/>
        <w:jc w:val="center"/>
      </w:pPr>
      <w:r>
        <w:rPr>
          <w:i/>
          <w:color w:val="64748B"/>
          <w:sz w:val="17"/>
        </w:rPr>
        <w:t>Figure 3: GranPocket 180-Day Anchor Insurer Pilot Roadmap &amp; Phased Milestones</w:t>
      </w:r>
    </w:p>
    <w:p>
      <w:pPr>
        <w:keepNext/>
        <w:spacing w:before="220" w:after="60"/>
      </w:pPr>
      <w:r>
        <w:rPr>
          <w:rFonts w:ascii="Calibri" w:hAnsi="Calibri"/>
          <w:b/>
          <w:color w:val="0F172A"/>
          <w:sz w:val="23"/>
        </w:rPr>
        <w:t>Stage-by-Stage Implementation</w:t>
      </w:r>
    </w:p>
    <w:p>
      <w:pPr>
        <w:keepNext/>
        <w:spacing w:before="160" w:after="40"/>
      </w:pPr>
      <w:r>
        <w:rPr>
          <w:rFonts w:ascii="Calibri" w:hAnsi="Calibri"/>
          <w:b/>
          <w:color w:val="1E293B"/>
          <w:sz w:val="21"/>
        </w:rPr>
        <w:t>Phase 1 (Days 1–30): Cohort &amp; Governance Setup</w:t>
      </w:r>
    </w:p>
    <w:p>
      <w:pPr>
        <w:spacing w:after="40"/>
        <w:ind w:left="288"/>
      </w:pPr>
      <w:r>
        <w:rPr>
          <w:b/>
        </w:rPr>
        <w:t xml:space="preserve">• </w:t>
      </w:r>
      <w:r>
        <w:t>Establish the Joint Steering Committee (Insurer Chief Medical Officer + GranPocket Clinical Governance Board).</w:t>
      </w:r>
    </w:p>
    <w:p>
      <w:pPr>
        <w:spacing w:after="40"/>
        <w:ind w:left="288"/>
      </w:pPr>
      <w:r>
        <w:rPr>
          <w:b/>
        </w:rPr>
        <w:t xml:space="preserve">• </w:t>
      </w:r>
      <w:r>
        <w:t>Identify pilot cohort: 10,000 policyholder families holding comprehensive hospital riders with at least 1 pediatric or geriatric dependent.</w:t>
      </w:r>
    </w:p>
    <w:p>
      <w:pPr>
        <w:spacing w:after="40"/>
        <w:ind w:left="288"/>
      </w:pPr>
      <w:r>
        <w:rPr>
          <w:b/>
        </w:rPr>
        <w:t xml:space="preserve">• </w:t>
      </w:r>
      <w:r>
        <w:t>Extract historical 24-month claims baseline for this specific cohort.</w:t>
      </w:r>
    </w:p>
    <w:p>
      <w:pPr>
        <w:keepNext/>
        <w:spacing w:before="160" w:after="40"/>
      </w:pPr>
      <w:r>
        <w:rPr>
          <w:rFonts w:ascii="Calibri" w:hAnsi="Calibri"/>
          <w:b/>
          <w:color w:val="1E293B"/>
          <w:sz w:val="21"/>
        </w:rPr>
        <w:t>Phase 2 (Days 31–60): Technical &amp; Claims Integration</w:t>
      </w:r>
    </w:p>
    <w:p>
      <w:pPr>
        <w:spacing w:after="40"/>
        <w:ind w:left="288"/>
      </w:pPr>
      <w:r>
        <w:rPr>
          <w:b/>
        </w:rPr>
        <w:t xml:space="preserve">• </w:t>
      </w:r>
      <w:r>
        <w:t>Implement OAuth2 / OIDC SingPass or Insurer App single-sign-on (SSO).</w:t>
      </w:r>
    </w:p>
    <w:p>
      <w:pPr>
        <w:spacing w:after="40"/>
        <w:ind w:left="288"/>
      </w:pPr>
      <w:r>
        <w:rPr>
          <w:b/>
        </w:rPr>
        <w:t xml:space="preserve">• </w:t>
      </w:r>
      <w:r>
        <w:t>Pre-populate panel clinics and telemedicine providers (e.g., WhiteCoat / Doctor Anywhere) within GranPocket's OneMap routing engine.</w:t>
      </w:r>
    </w:p>
    <w:p>
      <w:pPr>
        <w:spacing w:after="40"/>
        <w:ind w:left="288"/>
      </w:pPr>
      <w:r>
        <w:rPr>
          <w:b/>
        </w:rPr>
        <w:t xml:space="preserve">• </w:t>
      </w:r>
      <w:r>
        <w:t>Establish automated claims event logging via the existing SHA-256 cryptographic audit trail.</w:t>
      </w:r>
    </w:p>
    <w:p>
      <w:pPr>
        <w:keepNext/>
        <w:spacing w:before="160" w:after="40"/>
      </w:pPr>
      <w:r>
        <w:rPr>
          <w:rFonts w:ascii="Calibri" w:hAnsi="Calibri"/>
          <w:b/>
          <w:color w:val="1E293B"/>
          <w:sz w:val="21"/>
        </w:rPr>
        <w:t>Phase 3 (Days 61–120): Live Clinical Pilot Execution</w:t>
      </w:r>
    </w:p>
    <w:p>
      <w:pPr>
        <w:spacing w:after="40"/>
        <w:ind w:left="288"/>
      </w:pPr>
      <w:r>
        <w:rPr>
          <w:b/>
        </w:rPr>
        <w:t xml:space="preserve">• </w:t>
      </w:r>
      <w:r>
        <w:t>Launch GranPocket as an exclusive, complimentary benefit for the 10,000 policyholder families.</w:t>
      </w:r>
    </w:p>
    <w:p>
      <w:pPr>
        <w:spacing w:after="40"/>
        <w:ind w:left="288"/>
      </w:pPr>
      <w:r>
        <w:rPr>
          <w:b/>
        </w:rPr>
        <w:t xml:space="preserve">• </w:t>
      </w:r>
      <w:r>
        <w:t>Caregivers utilize the app for symptom assessment, vision scans, and medication scheduling.</w:t>
      </w:r>
    </w:p>
    <w:p>
      <w:pPr>
        <w:spacing w:after="40"/>
        <w:ind w:left="288"/>
      </w:pPr>
      <w:r>
        <w:rPr>
          <w:b/>
        </w:rPr>
        <w:t xml:space="preserve">• </w:t>
      </w:r>
      <w:r>
        <w:t>Provide 24/7 tele-doctor escalation when the @expert_doctor_agent flags yellow-tier symptoms.</w:t>
      </w:r>
    </w:p>
    <w:p>
      <w:pPr>
        <w:keepNext/>
        <w:spacing w:before="160" w:after="40"/>
      </w:pPr>
      <w:r>
        <w:rPr>
          <w:rFonts w:ascii="Calibri" w:hAnsi="Calibri"/>
          <w:b/>
          <w:color w:val="1E293B"/>
          <w:sz w:val="21"/>
        </w:rPr>
        <w:t>Phase 4 (Days 121–180): Actuarial Audit &amp; Enterprise Contract Conversion</w:t>
      </w:r>
    </w:p>
    <w:p>
      <w:pPr>
        <w:spacing w:after="40"/>
        <w:ind w:left="288"/>
      </w:pPr>
      <w:r>
        <w:rPr>
          <w:b/>
        </w:rPr>
        <w:t xml:space="preserve">• </w:t>
      </w:r>
      <w:r>
        <w:t>Conduct formal claims variance audit comparing the pilot cohort against a matched control group.</w:t>
      </w:r>
    </w:p>
    <w:p>
      <w:pPr>
        <w:spacing w:after="40"/>
        <w:ind w:left="288"/>
      </w:pPr>
      <w:r>
        <w:rPr>
          <w:b/>
        </w:rPr>
        <w:t xml:space="preserve">• </w:t>
      </w:r>
      <w:r>
        <w:t>Present verified A&amp;E deflection rate, claims cost delta, and user satisfaction (CSAT &gt; 90%).</w:t>
      </w:r>
    </w:p>
    <w:p>
      <w:pPr>
        <w:spacing w:after="40"/>
        <w:ind w:left="288"/>
      </w:pPr>
      <w:r>
        <w:rPr>
          <w:b/>
        </w:rPr>
        <w:t xml:space="preserve">• </w:t>
      </w:r>
      <w:r>
        <w:t>Convert pilot into a 3-year enterprise license contract across the insurer's entire policyholder base (250,000+ lives).</w:t>
      </w:r>
    </w:p>
    <w:p>
      <w:pPr>
        <w:keepNext/>
        <w:spacing w:before="320" w:after="80"/>
        <w:pBdr>
          <w:bottom w:val="single" w:sz="12" w:space="4" w:color="0F766E"/>
        </w:pBdr>
      </w:pPr>
      <w:r>
        <w:rPr>
          <w:rFonts w:ascii="Calibri" w:hAnsi="Calibri"/>
          <w:b/>
          <w:color w:val="0F766E"/>
          <w:sz w:val="27"/>
        </w:rPr>
        <w:t>5. Architectural Proof Points in Existing Codebase</w:t>
      </w:r>
    </w:p>
    <w:p>
      <w:r>
        <w:t>GranPocket’s existing codebase directly embodies the enterprise governance and clinical safety features demanded by institutional health payors:</w:t>
      </w:r>
    </w:p>
    <w:p>
      <w:pPr>
        <w:spacing w:after="80"/>
        <w:ind w:left="288"/>
      </w:pPr>
      <w:r>
        <w:rPr>
          <w:b/>
          <w:color w:val="0F172A"/>
        </w:rPr>
        <w:t>1. Zero-Hallucination Tier 1 Safety Net:</w:t>
        <w:br/>
      </w:r>
      <w:r>
        <w:rPr>
          <w:color w:val="64748B"/>
        </w:rPr>
        <w:t xml:space="preserve">Inspect </w:t>
      </w:r>
      <w:r>
        <w:rPr>
          <w:rFonts w:ascii="Consolas" w:hAnsi="Consolas"/>
          <w:b/>
          <w:color w:val="0F766E"/>
          <w:sz w:val="17"/>
        </w:rPr>
        <w:t>src/engine/agenticPipeline.ts</w:t>
      </w:r>
      <w:r>
        <w:t xml:space="preserve"> : Red-flag emergencies (anaphylaxis, stridor, unresponsive states) completely bypass LLMs via hardcoded MoH clinical criteria for immediate SCDF 995 dispatch.</w:t>
      </w:r>
    </w:p>
    <w:p>
      <w:pPr>
        <w:spacing w:after="80"/>
        <w:ind w:left="288"/>
      </w:pPr>
      <w:r>
        <w:rPr>
          <w:b/>
          <w:color w:val="0F172A"/>
        </w:rPr>
        <w:t>2. Physician Adversarial Attestation Loop:</w:t>
        <w:br/>
      </w:r>
      <w:r>
        <w:rPr>
          <w:color w:val="64748B"/>
        </w:rPr>
        <w:t xml:space="preserve">Inspect </w:t>
      </w:r>
      <w:r>
        <w:rPr>
          <w:rFonts w:ascii="Consolas" w:hAnsi="Consolas"/>
          <w:b/>
          <w:color w:val="0F766E"/>
          <w:sz w:val="17"/>
        </w:rPr>
        <w:t>server/dynamicAgents.ts</w:t>
      </w:r>
      <w:r>
        <w:t xml:space="preserve"> : Every AI diagnostic draft is challenged by @expert_doctor_agent with up to 2 retry gates, preventing premature or dangerous self-care recommendations.</w:t>
      </w:r>
    </w:p>
    <w:p>
      <w:pPr>
        <w:spacing w:after="80"/>
        <w:ind w:left="288"/>
      </w:pPr>
      <w:r>
        <w:rPr>
          <w:b/>
          <w:color w:val="0F172A"/>
        </w:rPr>
        <w:t>3. Cross-Caregiver Medication Safety Lock:</w:t>
        <w:br/>
      </w:r>
      <w:r>
        <w:rPr>
          <w:color w:val="64748B"/>
        </w:rPr>
        <w:t xml:space="preserve">Inspect </w:t>
      </w:r>
      <w:r>
        <w:rPr>
          <w:rFonts w:ascii="Consolas" w:hAnsi="Consolas"/>
          <w:b/>
          <w:color w:val="0F766E"/>
          <w:sz w:val="17"/>
        </w:rPr>
        <w:t>src/components/MedicationLogView.tsx</w:t>
      </w:r>
      <w:r>
        <w:t xml:space="preserve"> : Real-time synchronization across family members and domestic helpers with minimum dosing intervals preventing toxic double-dosing.</w:t>
      </w:r>
    </w:p>
    <w:p>
      <w:pPr>
        <w:spacing w:after="80"/>
        <w:ind w:left="288"/>
      </w:pPr>
      <w:r>
        <w:rPr>
          <w:b/>
          <w:color w:val="0F172A"/>
        </w:rPr>
        <w:t>4. Institutional PDPA &amp; Data Governance:</w:t>
        <w:br/>
      </w:r>
      <w:r>
        <w:rPr>
          <w:color w:val="64748B"/>
        </w:rPr>
        <w:t xml:space="preserve">Inspect </w:t>
      </w:r>
      <w:r>
        <w:rPr>
          <w:rFonts w:ascii="Consolas" w:hAnsi="Consolas"/>
          <w:b/>
          <w:color w:val="0F766E"/>
          <w:sz w:val="17"/>
        </w:rPr>
        <w:t>src/components/CreateHouseholdModal.tsx and src/components/AuditAndPdpaView.tsx</w:t>
      </w:r>
      <w:r>
        <w:t xml:space="preserve"> : Mandatory PDPA 2012 consent popup and immutable SHA-256 cryptographic audit ledger tracking all clinical modifications.</w:t>
      </w:r>
    </w:p>
    <w:p>
      <w:pPr>
        <w:keepNext/>
        <w:spacing w:before="320" w:after="80"/>
        <w:pBdr>
          <w:bottom w:val="single" w:sz="12" w:space="4" w:color="0F766E"/>
        </w:pBdr>
      </w:pPr>
      <w:r>
        <w:rPr>
          <w:rFonts w:ascii="Calibri" w:hAnsi="Calibri"/>
          <w:b/>
          <w:color w:val="0F766E"/>
          <w:sz w:val="27"/>
        </w:rPr>
        <w:t>6. Investor Pitch Presentation Script (Slide-by-Slide)</w:t>
      </w:r>
    </w:p>
    <w:tbl>
      <w:tblPr>
        <w:tblW w:type="auto" w:w="0"/>
        <w:jc w:val="center"/>
        <w:tblLayout w:type="fixed"/>
        <w:tblLook w:firstColumn="1" w:firstRow="1" w:lastColumn="0" w:lastRow="0" w:noHBand="0" w:noVBand="1" w:val="04A0"/>
        <w:tblBorders>
          <w:top w:val="single" w:sz="6" w:space="0" w:color="1E293B"/>
          <w:bottom w:val="single" w:sz="6" w:space="0" w:color="1E293B"/>
          <w:left w:val="single" w:sz="6" w:space="0" w:color="1E293B"/>
          <w:right w:val="single" w:sz="6" w:space="0" w:color="1E293B"/>
          <w:insideH w:val="single" w:sz="6" w:space="0" w:color="1E293B"/>
          <w:insideV w:val="single" w:sz="6" w:space="0" w:color="1E293B"/>
        </w:tblBorders>
      </w:tblPr>
      <w:tblGrid>
        <w:gridCol w:w="10037"/>
      </w:tblGrid>
      <w:tr>
        <w:tc>
          <w:tcPr>
            <w:tcW w:type="dxa" w:w="10037"/>
            <w:shd w:fill="0F172A"/>
            <w:tcMar>
              <w:top w:w="180" w:type="dxa"/>
              <w:bottom w:w="180" w:type="dxa"/>
              <w:left w:w="200" w:type="dxa"/>
              <w:right w:w="200" w:type="dxa"/>
            </w:tcMar>
          </w:tcPr>
          <w:p>
            <w:pPr>
              <w:spacing w:before="0" w:after="40"/>
            </w:pPr>
            <w:r>
              <w:rPr>
                <w:rFonts w:ascii="Consolas" w:hAnsi="Consolas"/>
                <w:b/>
                <w:color w:val="38BDF8"/>
                <w:sz w:val="17"/>
              </w:rPr>
              <w:t>SLIDE 1: THE S$100M EMERGENCY ROOM INFLATION TRAP</w:t>
            </w:r>
          </w:p>
          <w:p>
            <w:pPr>
              <w:spacing w:before="0" w:after="80"/>
            </w:pPr>
            <w:r>
              <w:rPr>
                <w:rFonts w:ascii="Consolas" w:hAnsi="Consolas"/>
                <w:color w:val="E2E8F0"/>
                <w:sz w:val="16"/>
              </w:rPr>
              <w:t>"In Singapore today, private health insurers are bleeding margin. Why? Because when a 3-year-old spikes a 38.5°C fever at 2 AM, anxious parents do what any panicked parent does: they rush to KKH or Mount Elizabeth A&amp;E. That single non-emergency visit costs the insurer S$500. Multiply that across thousands of families, and you get our multi-million-dollar claims crisis."</w:t>
            </w:r>
          </w:p>
          <w:p>
            <w:pPr>
              <w:spacing w:before="160" w:after="40"/>
            </w:pPr>
            <w:r>
              <w:rPr>
                <w:rFonts w:ascii="Consolas" w:hAnsi="Consolas"/>
                <w:b/>
                <w:color w:val="38BDF8"/>
                <w:sz w:val="17"/>
              </w:rPr>
              <w:t>SLIDE 2: MEET GRANPOCKET: THE MULTI-GENERATIONAL CLINICAL AIRBAG</w:t>
            </w:r>
          </w:p>
          <w:p>
            <w:pPr>
              <w:spacing w:before="0" w:after="80"/>
            </w:pPr>
            <w:r>
              <w:rPr>
                <w:rFonts w:ascii="Consolas" w:hAnsi="Consolas"/>
                <w:color w:val="E2E8F0"/>
                <w:sz w:val="16"/>
              </w:rPr>
              <w:t>"GranPocket is not a medical chat bot. It is an agentic clinical safety net built specifically for Singapore households. It combines deterministic emergency safety—bypassing AI completely for critical emergencies—with a multi-agent doctor-in-the-loop reasoning swarm that guides parents and caregivers with clinical confidence."</w:t>
            </w:r>
          </w:p>
          <w:p>
            <w:pPr>
              <w:spacing w:before="160" w:after="40"/>
            </w:pPr>
            <w:r>
              <w:rPr>
                <w:rFonts w:ascii="Consolas" w:hAnsi="Consolas"/>
                <w:b/>
                <w:color w:val="38BDF8"/>
                <w:sz w:val="17"/>
              </w:rPr>
              <w:t>SLIDE 3: PREVENTING THE UNSEEN KILLER: ACCIDENTAL DOUBLE-DOSING</w:t>
            </w:r>
          </w:p>
          <w:p>
            <w:pPr>
              <w:spacing w:before="0" w:after="80"/>
            </w:pPr>
            <w:r>
              <w:rPr>
                <w:rFonts w:ascii="Consolas" w:hAnsi="Consolas"/>
                <w:color w:val="E2E8F0"/>
                <w:sz w:val="16"/>
              </w:rPr>
              <w:t>"In homes where Mom, Dad, Grandma, and the domestic helper all care for the same child or elderly grandparent, who tracks when the paracetamol or amlodipine was last given? GranPocket synchronizes the entire household in real-time, locking out duplicate doses and eliminating toxic medication crises."</w:t>
            </w:r>
          </w:p>
          <w:p>
            <w:pPr>
              <w:spacing w:before="160" w:after="40"/>
            </w:pPr>
            <w:r>
              <w:rPr>
                <w:rFonts w:ascii="Consolas" w:hAnsi="Consolas"/>
                <w:b/>
                <w:color w:val="38BDF8"/>
                <w:sz w:val="17"/>
              </w:rPr>
              <w:t>SLIDE 4: THE ACTUARIAL ROI: HOW WE SAVE INSURERS S$940,000 PER 50,000 LIVES</w:t>
            </w:r>
          </w:p>
          <w:p>
            <w:pPr>
              <w:spacing w:before="0" w:after="80"/>
            </w:pPr>
            <w:r>
              <w:rPr>
                <w:rFonts w:ascii="Consolas" w:hAnsi="Consolas"/>
                <w:color w:val="E2E8F0"/>
                <w:sz w:val="16"/>
              </w:rPr>
              <w:t>"We ran the numbers on Singapore Integrated Shield portfolios. By deflecting just 28% of non-urgent after-hours A&amp;E attendances to telemedicine and guided recovery, GranPocket delivers S$940,000 in net annual claims savings per 50,000 covered lives. For insurers, this transforms an escalating claims headache into a 2.1x ROI in Year 1."</w:t>
            </w:r>
          </w:p>
          <w:p>
            <w:pPr>
              <w:spacing w:before="160" w:after="40"/>
            </w:pPr>
            <w:r>
              <w:rPr>
                <w:rFonts w:ascii="Consolas" w:hAnsi="Consolas"/>
                <w:b/>
                <w:color w:val="38BDF8"/>
                <w:sz w:val="17"/>
              </w:rPr>
              <w:t>SLIDE 5: OUR GO-TO-MARKET ANCHOR: THE B2B2C STRATEGY</w:t>
            </w:r>
          </w:p>
          <w:p>
            <w:pPr>
              <w:spacing w:before="0" w:after="80"/>
            </w:pPr>
            <w:r>
              <w:rPr>
                <w:rFonts w:ascii="Consolas" w:hAnsi="Consolas"/>
                <w:color w:val="E2E8F0"/>
                <w:sz w:val="16"/>
              </w:rPr>
              <w:t>"We do not spend millions acquiring consumers on Google Ads. We partner directly with Singapore's tier-1 insurers—AIA, Great Eastern, and Prudential. They sponsor GranPocket for their policyholder families at S$1.50 per month, slashing claims expense, driving customer retention, and generating recurring high-margin enterprise revenue from day one."</w:t>
            </w:r>
          </w:p>
          <w:p>
            <w:pPr>
              <w:spacing w:before="160" w:after="40"/>
            </w:pPr>
            <w:r>
              <w:rPr>
                <w:rFonts w:ascii="Consolas" w:hAnsi="Consolas"/>
                <w:b/>
                <w:color w:val="38BDF8"/>
                <w:sz w:val="17"/>
              </w:rPr>
              <w:t>SLIDE 6: THE ASK &amp; 18-MONTH HORIZON</w:t>
            </w:r>
          </w:p>
          <w:p>
            <w:pPr>
              <w:spacing w:before="0" w:after="80"/>
            </w:pPr>
            <w:r>
              <w:rPr>
                <w:rFonts w:ascii="Consolas" w:hAnsi="Consolas"/>
                <w:color w:val="E2E8F0"/>
                <w:sz w:val="16"/>
              </w:rPr>
              <w:t>"We are raising S$1.2M in Seed funding to execute our 180-day anchor pilot with our first major Singapore insurer, scale our licensed clinician governance board, and expand into 150,000 covered lives. GranPocket is where clinical rigor meets family peace of mind."</w:t>
            </w:r>
          </w:p>
        </w:tc>
      </w:tr>
    </w:tbl>
    <w:sectPr w:rsidR="00FC693F" w:rsidRPr="0006063C" w:rsidSect="00034616">
      <w:headerReference w:type="default" r:id="rId9"/>
      <w:footerReference w:type="default" r:id="rId10"/>
      <w:pgSz w:w="11909" w:h="16834"/>
      <w:pgMar w:top="936" w:right="936" w:bottom="936" w:left="93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color w:val="64748B"/>
        <w:sz w:val="16"/>
      </w:rPr>
      <w:t>GranPocket: Anchor Insurer Strategy &amp; Enterprise Commercialization Blueprint</w:t>
    </w:r>
    <w:r>
      <w:rPr>
        <w:color w:val="64748B"/>
        <w:sz w:val="16"/>
      </w:rPr>
      <w:tab/>
      <w:tab/>
      <w:t xml:space="preserve">Page </w:t>
    </w:r>
    <w:r>
      <w:rPr>
        <w:color w:val="64748B"/>
        <w:sz w:val="16"/>
      </w:rPr>
      <w:fldChar w:fldCharType="begin"/>
      <w:instrText xml:space="preserve"> PAGE </w:instrText>
      <w:fldChar w:fldCharType="separate"/>
      <w:fldChar w:fldCharType="end"/>
    </w:r>
    <w:r>
      <w:rPr>
        <w:color w:val="64748B"/>
        <w:sz w:val="16"/>
      </w:rPr>
      <w:t xml:space="preserve"> of </w:t>
    </w:r>
    <w:r>
      <w:rPr>
        <w:color w:val="64748B"/>
        <w:sz w:val="16"/>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4" w:space="2" w:color="CBD5E1"/>
      </w:pBdr>
    </w:pPr>
    <w:r>
      <w:rPr>
        <w:color w:val="64748B"/>
        <w:sz w:val="16"/>
      </w:rPr>
      <w:t>GranPocket • Commercialization &amp; Anchor Payor Strategic Dossier</w:t>
    </w:r>
    <w:r>
      <w:rPr>
        <w:color w:val="64748B"/>
        <w:sz w:val="16"/>
      </w:rPr>
      <w:tab/>
      <w:tab/>
      <w:t>Confidential • For Investor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