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91f1db9b0f59e985977ef43d1d95e4eae4b7fc8"/>
    <w:p>
      <w:pPr>
        <w:pStyle w:val="Heading1"/>
      </w:pPr>
      <w:r>
        <w:t xml:space="preserve">Cover Letter — Revised Submission, PONE-D-26-19748</w:t>
      </w:r>
    </w:p>
    <w:p>
      <w:pPr>
        <w:pStyle w:val="FirstParagraph"/>
      </w:pPr>
      <w:r>
        <w:t xml:space="preserve">Dear Dr. Mohammadzadeh and the PLOS ONE Editorial Office,</w:t>
      </w:r>
    </w:p>
    <w:p>
      <w:pPr>
        <w:pStyle w:val="BodyText"/>
      </w:pPr>
      <w:r>
        <w:t xml:space="preserve">Please find enclosed our revised manuscript,</w:t>
      </w:r>
      <w:r>
        <w:t xml:space="preserve"> </w:t>
      </w:r>
      <w:r>
        <w:rPr>
          <w:i/>
          <w:iCs/>
        </w:rPr>
        <w:t xml:space="preserve">“Evaluating Small Open LLMs for Medical Question Answering: A Practical Framework”</w:t>
      </w:r>
      <w:r>
        <w:t xml:space="preserve"> </w:t>
      </w:r>
      <w:r>
        <w:t xml:space="preserve">(PONE-D-26-19748), together with a point-by-point Response to Reviewers and a tracked-changes version.</w:t>
      </w:r>
    </w:p>
    <w:p>
      <w:pPr>
        <w:pStyle w:val="BodyText"/>
      </w:pPr>
      <w:r>
        <w:t xml:space="preserve">We are grateful for the constructive reviews. In this revision we strengthened the statistical reporting (95% bootstrap confidence intervals and an explicit aggregation procedure), added a semantic reproducibility metric, and substantially expanded the evaluation: it now spans</w:t>
      </w:r>
      <w:r>
        <w:t xml:space="preserve"> </w:t>
      </w:r>
      <w:r>
        <w:rPr>
          <w:b/>
          <w:bCs/>
        </w:rPr>
        <w:t xml:space="preserve">five models</w:t>
      </w:r>
      <w:r>
        <w:t xml:space="preserve"> </w:t>
      </w:r>
      <w:r>
        <w:t xml:space="preserve">— adding a same-size general-purpose control (Gemma 3 4B) and a closed-source reference (GPT-4.1-nano) — across</w:t>
      </w:r>
      <w:r>
        <w:t xml:space="preserve"> </w:t>
      </w:r>
      <w:r>
        <w:rPr>
          <w:b/>
          <w:bCs/>
        </w:rPr>
        <w:t xml:space="preserve">two datasets</w:t>
      </w:r>
      <w:r>
        <w:t xml:space="preserve"> </w:t>
      </w:r>
      <w:r>
        <w:t xml:space="preserve">(MedQuAD and MedicationQA; 5,000 responses in total). These additions yield two strengthened findings: run-to-run divergence is overwhelmingly</w:t>
      </w:r>
      <w:r>
        <w:t xml:space="preserve"> </w:t>
      </w:r>
      <w:r>
        <w:rPr>
          <w:i/>
          <w:iCs/>
        </w:rPr>
        <w:t xml:space="preserve">paraphrastic</w:t>
      </w:r>
      <w:r>
        <w:t xml:space="preserve"> </w:t>
      </w:r>
      <w:r>
        <w:t xml:space="preserve">(semantic self-similarity 0.94–0.97 despite lexical self-agreement of only 0.11–0.26), a pattern that holds on both datasets and even for the closed reference model; and, with the same-size control included,</w:t>
      </w:r>
      <w:r>
        <w:t xml:space="preserve"> </w:t>
      </w:r>
      <w:r>
        <w:rPr>
          <w:i/>
          <w:iCs/>
        </w:rPr>
        <w:t xml:space="preserve">model scale</w:t>
      </w:r>
      <w:r>
        <w:t xml:space="preserve"> </w:t>
      </w:r>
      <w:r>
        <w:t xml:space="preserve">rather than clinical fine-tuning drives quality. We also quantified the LLM judge’s reliability (ICC(1) = 0.94 on MedQuAD, 0.69 on MedicationQA), reframed several claims more conservatively, and added a Discussion of how the framework could be extended (including a type-3 ANFIS uncertainty-aware aggregation layer) and how it relates to other methods, as the editor requested.</w:t>
      </w:r>
    </w:p>
    <w:p>
      <w:pPr>
        <w:pStyle w:val="BodyText"/>
      </w:pPr>
      <w:r>
        <w:t xml:space="preserve">We address the journal requirements below.</w:t>
      </w:r>
    </w:p>
    <w:p>
      <w:pPr>
        <w:pStyle w:val="BodyText"/>
      </w:pPr>
      <w:r>
        <w:rPr>
          <w:b/>
          <w:bCs/>
        </w:rPr>
        <w:t xml:space="preserve">Prior posting / dual publication.</w:t>
      </w:r>
      <w:r>
        <w:t xml:space="preserve"> </w:t>
      </w:r>
      <w:r>
        <w:t xml:space="preserve">An earlier version of this work was posted as a</w:t>
      </w:r>
      <w:r>
        <w:t xml:space="preserve"> </w:t>
      </w:r>
      <w:r>
        <w:rPr>
          <w:b/>
          <w:bCs/>
        </w:rPr>
        <w:t xml:space="preserve">preprint on arXiv</w:t>
      </w:r>
      <w:r>
        <w:t xml:space="preserve">. This is a non-peer-reviewed preprint of the present manuscript, not a separate, formally published, peer-reviewed article, and therefore does not constitute dual publication. No part of this work has been published in, or is under consideration at, any peer-reviewed venue.</w:t>
      </w:r>
    </w:p>
    <w:p>
      <w:pPr>
        <w:pStyle w:val="BodyText"/>
      </w:pPr>
      <w:r>
        <w:rPr>
          <w:b/>
          <w:bCs/>
        </w:rPr>
        <w:t xml:space="preserve">PLOS LaTeX template &amp; style.</w:t>
      </w:r>
      <w:r>
        <w:t xml:space="preserve"> </w:t>
      </w:r>
      <w:r>
        <w:t xml:space="preserve">The manuscript has been reformatted using the official PLOS LaTeX template and conforms to PLOS ONE style and file-naming requirements.</w:t>
      </w:r>
    </w:p>
    <w:p>
      <w:pPr>
        <w:pStyle w:val="BodyText"/>
      </w:pPr>
      <w:r>
        <w:rPr>
          <w:b/>
          <w:bCs/>
        </w:rPr>
        <w:t xml:space="preserve">Abstract consistency.</w:t>
      </w:r>
      <w:r>
        <w:t xml:space="preserve"> </w:t>
      </w:r>
      <w:r>
        <w:t xml:space="preserve">The abstract in the manuscript and the abstract entered in the online submission form have been made identical.</w:t>
      </w:r>
    </w:p>
    <w:p>
      <w:pPr>
        <w:pStyle w:val="BodyText"/>
      </w:pPr>
      <w:r>
        <w:rPr>
          <w:b/>
          <w:bCs/>
        </w:rPr>
        <w:t xml:space="preserve">Financial disclosure.</w:t>
      </w:r>
      <w:r>
        <w:t xml:space="preserve"> </w:t>
      </w:r>
      <w:r>
        <w:t xml:space="preserve">[PLACEHOLDER — confirm/keep current statement, e.g.:</w:t>
      </w:r>
      <w:r>
        <w:t xml:space="preserve"> </w:t>
      </w:r>
      <w:r>
        <w:t xml:space="preserve">“The author received no specific funding for this work.”</w:t>
      </w:r>
      <w:r>
        <w:t xml:space="preserve">]</w:t>
      </w:r>
    </w:p>
    <w:p>
      <w:pPr>
        <w:pStyle w:val="BodyText"/>
      </w:pPr>
      <w:r>
        <w:rPr>
          <w:b/>
          <w:bCs/>
        </w:rPr>
        <w:t xml:space="preserve">Data availability.</w:t>
      </w:r>
      <w:r>
        <w:t xml:space="preserve"> </w:t>
      </w:r>
      <w:r>
        <w:t xml:space="preserve">All code, data-processing pipelines, configurations, and the exact sampled evaluation set (Supplementary S1) are publicly released at https://github.com/aviad-buskila/llm_medical_reproducibility to ensure full reproducibility.</w:t>
      </w:r>
    </w:p>
    <w:p>
      <w:pPr>
        <w:pStyle w:val="BodyText"/>
      </w:pPr>
      <w:r>
        <w:rPr>
          <w:b/>
          <w:bCs/>
        </w:rPr>
        <w:t xml:space="preserve">Peer-review history.</w:t>
      </w:r>
      <w:r>
        <w:t xml:space="preserve"> </w:t>
      </w:r>
      <w:r>
        <w:t xml:space="preserve">[PLACEHOLDER — state your choice: do you opt in to publishing the peer-review history?]</w:t>
      </w:r>
    </w:p>
    <w:p>
      <w:pPr>
        <w:pStyle w:val="BodyText"/>
      </w:pPr>
      <w:r>
        <w:rPr>
          <w:b/>
          <w:bCs/>
        </w:rPr>
        <w:t xml:space="preserve">ORCID.</w:t>
      </w:r>
      <w:r>
        <w:t xml:space="preserve"> </w:t>
      </w:r>
      <w:r>
        <w:t xml:space="preserve">The corresponding (and sole) author’s ORCID iD is verified in the submission system.</w:t>
      </w:r>
    </w:p>
    <w:p>
      <w:pPr>
        <w:pStyle w:val="BodyText"/>
      </w:pPr>
      <w:r>
        <w:t xml:space="preserve">We believe the revised manuscript fully addresses the reviewers’ and editor’s comments and hope it is now suitable for publication in PLOS ONE.</w:t>
      </w:r>
    </w:p>
    <w:p>
      <w:pPr>
        <w:pStyle w:val="BodyText"/>
      </w:pPr>
      <w:r>
        <w:t xml:space="preserve">Sincerely,</w:t>
      </w:r>
      <w:r>
        <w:t xml:space="preserve"> </w:t>
      </w:r>
      <w:r>
        <w:t xml:space="preserve">Avi-ad Avraam Buskila</w:t>
      </w:r>
      <w:r>
        <w:t xml:space="preserve"> </w:t>
      </w:r>
      <w:r>
        <w:t xml:space="preserve">Department of Information Science and Applied Artificial Intelligence, Bar-Ilan University, Ramat-Gan, Israel</w:t>
      </w:r>
      <w:r>
        <w:t xml:space="preserve"> </w:t>
      </w:r>
      <w:r>
        <w:t xml:space="preserve">aviad-avraam.buskila@biu.ac.il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2026-05-31T06:46:01Z</dcterms:created>
  <dcterms:modified xsi:type="dcterms:W3CDTF">2026-05-31T06:46:01Z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