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MALAT USE CASE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DLI</w:t>
            </w:r>
          </w:p>
        </w:tc>
        <w:tc>
          <w:tcPr>
            <w:tcW w:type="dxa" w:w="4320"/>
          </w:tcPr>
          <w:p>
            <w:r>
              <w:t>UPL</w:t>
            </w:r>
          </w:p>
        </w:tc>
      </w:tr>
      <w:tr>
        <w:tc>
          <w:tcPr>
            <w:tcW w:type="dxa" w:w="4320"/>
          </w:tcPr>
          <w:p>
            <w:r>
              <w:t>#201</w:t>
            </w:r>
          </w:p>
        </w:tc>
        <w:tc>
          <w:tcPr>
            <w:tcW w:type="dxa" w:w="4320"/>
          </w:tcPr>
          <w:p>
            <w:r>
              <w:t>Vsm_Pyld_Slow_Cyclic</w:t>
            </w:r>
          </w:p>
        </w:tc>
      </w:tr>
      <w:tr>
        <w:tc>
          <w:tcPr>
            <w:tcW w:type="dxa" w:w="4320"/>
          </w:tcPr>
          <w:p>
            <w:r>
              <w:t>AddressesSensor</w:t>
            </w:r>
          </w:p>
        </w:tc>
        <w:tc>
          <w:tcPr>
            <w:tcW w:type="dxa" w:w="4320"/>
          </w:tcPr>
          <w:p>
            <w:r>
              <w:t>FOV_ON</w:t>
            </w:r>
          </w:p>
        </w:tc>
      </w:tr>
      <w:tr>
        <w:tc>
          <w:tcPr>
            <w:tcW w:type="dxa" w:w="4320"/>
          </w:tcPr>
          <w:p>
            <w:r>
              <w:t>GimbalsOn</w:t>
            </w:r>
          </w:p>
        </w:tc>
        <w:tc>
          <w:tcPr>
            <w:tcW w:type="dxa" w:w="4320"/>
          </w:tcPr>
          <w:p>
            <w:r>
              <w:t>LaserCode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