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B9A" w:rsidRPr="00451938" w:rsidRDefault="00C72B9A" w:rsidP="00451938">
      <w:pPr>
        <w:pStyle w:val="NormalWeb"/>
        <w:jc w:val="center"/>
        <w:rPr>
          <w:sz w:val="32"/>
          <w:szCs w:val="32"/>
        </w:rPr>
      </w:pPr>
      <w:r w:rsidRPr="00451938">
        <w:rPr>
          <w:sz w:val="32"/>
          <w:szCs w:val="32"/>
        </w:rPr>
        <w:t>The role of p</w:t>
      </w:r>
      <w:r>
        <w:rPr>
          <w:sz w:val="32"/>
          <w:szCs w:val="32"/>
        </w:rPr>
        <w:t>hoto-osmotic adaptation in semi-</w:t>
      </w:r>
      <w:r w:rsidRPr="00451938">
        <w:rPr>
          <w:sz w:val="32"/>
          <w:szCs w:val="32"/>
        </w:rPr>
        <w:t>continuou</w:t>
      </w:r>
      <w:r>
        <w:rPr>
          <w:sz w:val="32"/>
          <w:szCs w:val="32"/>
        </w:rPr>
        <w:t xml:space="preserve">s culture and lipid particle release from </w:t>
      </w:r>
      <w:r w:rsidRPr="00451938">
        <w:rPr>
          <w:i/>
          <w:sz w:val="32"/>
          <w:szCs w:val="32"/>
        </w:rPr>
        <w:t xml:space="preserve">Dunaliella </w:t>
      </w:r>
      <w:r>
        <w:rPr>
          <w:i/>
          <w:sz w:val="32"/>
          <w:szCs w:val="32"/>
        </w:rPr>
        <w:t>viridis</w:t>
      </w:r>
    </w:p>
    <w:p w:rsidR="00C72B9A" w:rsidRPr="00C76BFF" w:rsidRDefault="00C72B9A" w:rsidP="00AE665C">
      <w:r>
        <w:t>Ryan W. Davis</w:t>
      </w:r>
      <w:r w:rsidRPr="002E5A7A">
        <w:rPr>
          <w:vertAlign w:val="superscript"/>
        </w:rPr>
        <w:t>1</w:t>
      </w:r>
      <w:r>
        <w:t>, B</w:t>
      </w:r>
      <w:r w:rsidRPr="00B20C8F">
        <w:t>enjamin J. Carvalho</w:t>
      </w:r>
      <w:r w:rsidRPr="002E5A7A">
        <w:rPr>
          <w:vertAlign w:val="superscript"/>
        </w:rPr>
        <w:t>1</w:t>
      </w:r>
      <w:r w:rsidRPr="00B20C8F">
        <w:t>, Howland D.T. Jones</w:t>
      </w:r>
      <w:r w:rsidRPr="002E5A7A">
        <w:rPr>
          <w:vertAlign w:val="superscript"/>
        </w:rPr>
        <w:t>2</w:t>
      </w:r>
      <w:r>
        <w:rPr>
          <w:vertAlign w:val="superscript"/>
        </w:rPr>
        <w:t>*</w:t>
      </w:r>
      <w:r w:rsidRPr="00B20C8F">
        <w:t xml:space="preserve">, and </w:t>
      </w:r>
      <w:r w:rsidRPr="00C76BFF">
        <w:t>Seema Singh</w:t>
      </w:r>
      <w:r w:rsidRPr="002E5A7A">
        <w:rPr>
          <w:vertAlign w:val="superscript"/>
        </w:rPr>
        <w:t>1</w:t>
      </w:r>
      <w:bookmarkStart w:id="0" w:name="_GoBack"/>
      <w:bookmarkEnd w:id="0"/>
    </w:p>
    <w:p w:rsidR="00AE665C" w:rsidRDefault="00C72B9A" w:rsidP="00AE665C">
      <w:r w:rsidRPr="002E5A7A">
        <w:rPr>
          <w:vertAlign w:val="superscript"/>
        </w:rPr>
        <w:t>1</w:t>
      </w:r>
      <w:r w:rsidRPr="00C76BFF">
        <w:t xml:space="preserve">Sandia National Laboratories, </w:t>
      </w:r>
      <w:r>
        <w:t>Livermore, CA</w:t>
      </w:r>
      <w:r w:rsidRPr="00C76BFF">
        <w:t xml:space="preserve"> </w:t>
      </w:r>
      <w:r>
        <w:t>94551</w:t>
      </w:r>
      <w:r w:rsidR="00AE665C">
        <w:t xml:space="preserve">, e-mail: </w:t>
      </w:r>
      <w:r w:rsidR="00AE665C">
        <w:t>seesing@sandia.gov</w:t>
      </w:r>
    </w:p>
    <w:p w:rsidR="00C72B9A" w:rsidRPr="00AE665C" w:rsidRDefault="00C72B9A" w:rsidP="002E5A7A">
      <w:pPr>
        <w:jc w:val="center"/>
      </w:pPr>
    </w:p>
    <w:p w:rsidR="00C72B9A" w:rsidRPr="00C76BFF" w:rsidRDefault="00C72B9A" w:rsidP="00AE665C">
      <w:r w:rsidRPr="002E5A7A">
        <w:rPr>
          <w:vertAlign w:val="superscript"/>
        </w:rPr>
        <w:t>2</w:t>
      </w:r>
      <w:r>
        <w:t>Sandia National Laboratories, Albuquerque, New Mexico 87185</w:t>
      </w:r>
    </w:p>
    <w:p w:rsidR="00C72B9A" w:rsidRDefault="00C72B9A" w:rsidP="002E5A7A">
      <w:pPr>
        <w:ind w:firstLine="720"/>
        <w:jc w:val="both"/>
      </w:pPr>
    </w:p>
    <w:p w:rsidR="00AE665C" w:rsidRDefault="00AE665C" w:rsidP="004C4B60">
      <w:pPr>
        <w:spacing w:line="480" w:lineRule="auto"/>
        <w:jc w:val="both"/>
        <w:rPr>
          <w:b/>
        </w:rPr>
      </w:pPr>
    </w:p>
    <w:p w:rsidR="00C72B9A" w:rsidRDefault="00C72B9A" w:rsidP="004C4B60">
      <w:pPr>
        <w:spacing w:line="480" w:lineRule="auto"/>
        <w:jc w:val="both"/>
      </w:pPr>
      <w:r w:rsidRPr="0066762F">
        <w:rPr>
          <w:b/>
        </w:rPr>
        <w:t>Abstract</w:t>
      </w:r>
      <w:r>
        <w:rPr>
          <w:b/>
        </w:rPr>
        <w:t xml:space="preserve">  </w:t>
      </w:r>
      <w:r w:rsidRPr="00E30816">
        <w:t>Although</w:t>
      </w:r>
      <w:r>
        <w:t xml:space="preserve"> great efforts have been made</w:t>
      </w:r>
      <w:r w:rsidRPr="00E30816">
        <w:t xml:space="preserve"> to elucidate the </w:t>
      </w:r>
      <w:r>
        <w:t xml:space="preserve">phenotypic </w:t>
      </w:r>
      <w:r w:rsidRPr="00E30816">
        <w:t>responses of alga to varying levels of nutrients</w:t>
      </w:r>
      <w:r>
        <w:t>, osmotic environments, and photosynthetically active radiation intensities</w:t>
      </w:r>
      <w:r w:rsidRPr="00E30816">
        <w:t xml:space="preserve">, the role of interactions among these variables is largely nebulous. Here we </w:t>
      </w:r>
      <w:r>
        <w:t xml:space="preserve">describe a  general method for establishing and maintaining semi-continuous cultures of the halophilic microalgal production strain, </w:t>
      </w:r>
      <w:r w:rsidRPr="00EB142F">
        <w:rPr>
          <w:i/>
        </w:rPr>
        <w:t xml:space="preserve">Dunaliella </w:t>
      </w:r>
      <w:r>
        <w:rPr>
          <w:i/>
        </w:rPr>
        <w:t>viridis</w:t>
      </w:r>
      <w:r>
        <w:t xml:space="preserve">, that is independent of variations in salinity and illumination intensity.  Using this method the cultures were evaluated to elucidate the </w:t>
      </w:r>
      <w:r w:rsidRPr="00E30816">
        <w:t>overlapping roles of photosynthetic and osmotic adaptation on</w:t>
      </w:r>
      <w:r>
        <w:t xml:space="preserve"> the </w:t>
      </w:r>
      <w:r w:rsidRPr="00E30816">
        <w:t xml:space="preserve">accumulation </w:t>
      </w:r>
      <w:r>
        <w:t xml:space="preserve">and compositional variation of the biomass, photosynthetic productivity, and physiological biomarkers, as well as spectroscopic and morphological details at the single cell level.  Correlation matrices defining the relationships among the observables and based on variation of the illumination intensity and salinity were constructed for predicting bioproduct yields for varying culture conditions.  Following maintenance of stable cultures for six week intervals, phenotypic responses to photo-osmotic drift were explored using a combination of single cell hyperspectral fluorescence imaging and flow cytometry.  In addition to morphological changes, release of lipid microparticles from the cells that is disproportionate to cell lysis was observed under hypotonic drift, indicating the existence of a reversible membrane permeation mechanism in </w:t>
      </w:r>
      <w:r w:rsidRPr="00A50CC8">
        <w:rPr>
          <w:i/>
        </w:rPr>
        <w:t>Dunaliella</w:t>
      </w:r>
      <w:r>
        <w:t xml:space="preserve">.  This phenomenon introduces the potential for low cost strategies for recovering lipids and pigments from the microalgae by minimizing the requirement for energy intensive harvesting and dewatering of the biomass.  </w:t>
      </w:r>
      <w:r>
        <w:lastRenderedPageBreak/>
        <w:t xml:space="preserve">The results should be applicable to outdoor culture, where seasonal changes, resulting in variable solar flux and precipitation and evaporation rates are anticipated.      </w:t>
      </w:r>
    </w:p>
    <w:p w:rsidR="00C72B9A" w:rsidRDefault="00C72B9A" w:rsidP="00D6306C">
      <w:pPr>
        <w:spacing w:line="480" w:lineRule="auto"/>
        <w:jc w:val="both"/>
      </w:pPr>
      <w:r w:rsidRPr="0066762F">
        <w:rPr>
          <w:b/>
        </w:rPr>
        <w:t>Keywords</w:t>
      </w:r>
      <w:r>
        <w:t xml:space="preserve">  microalgae, </w:t>
      </w:r>
      <w:r w:rsidRPr="00260475">
        <w:rPr>
          <w:i/>
        </w:rPr>
        <w:t xml:space="preserve">Dunaliella </w:t>
      </w:r>
      <w:r>
        <w:rPr>
          <w:i/>
        </w:rPr>
        <w:t>viridis</w:t>
      </w:r>
      <w:r>
        <w:t xml:space="preserve">, algae bioproducts, semi-continuous culture, photo-osmotic adaptation, lipid microparticles, algal milking   </w:t>
      </w:r>
    </w:p>
    <w:p w:rsidR="00C72B9A" w:rsidRDefault="00C72B9A" w:rsidP="0066762F">
      <w:pPr>
        <w:spacing w:line="480" w:lineRule="auto"/>
        <w:jc w:val="both"/>
        <w:rPr>
          <w:b/>
        </w:rPr>
      </w:pPr>
    </w:p>
    <w:p w:rsidR="00C72B9A" w:rsidRPr="0066762F" w:rsidRDefault="00C72B9A" w:rsidP="0066762F">
      <w:pPr>
        <w:spacing w:line="480" w:lineRule="auto"/>
        <w:jc w:val="both"/>
        <w:rPr>
          <w:b/>
        </w:rPr>
      </w:pPr>
      <w:r w:rsidRPr="0066762F">
        <w:rPr>
          <w:b/>
        </w:rPr>
        <w:t>Introduction</w:t>
      </w:r>
    </w:p>
    <w:p w:rsidR="00C72B9A" w:rsidRDefault="00C72B9A" w:rsidP="00D02D9F">
      <w:pPr>
        <w:spacing w:line="480" w:lineRule="auto"/>
        <w:ind w:firstLine="720"/>
        <w:jc w:val="both"/>
      </w:pPr>
      <w:r w:rsidRPr="000E318E">
        <w:rPr>
          <w:i/>
        </w:rPr>
        <w:t xml:space="preserve">Dunaliella </w:t>
      </w:r>
      <w:r>
        <w:rPr>
          <w:i/>
        </w:rPr>
        <w:t>viridis</w:t>
      </w:r>
      <w:r>
        <w:t xml:space="preserve">, a halophilic Chlorophyte, is among the most commercially relevant microalgae strains worldwide.  </w:t>
      </w:r>
      <w:r w:rsidRPr="00145CB8">
        <w:rPr>
          <w:i/>
        </w:rPr>
        <w:t>Dunaliella</w:t>
      </w:r>
      <w:r>
        <w:t xml:space="preserve"> spp. have been explored for industrial scale production in outdoor cultivation facilities for a variety of value-added and antioxidant compounds used in the neutraceutical, cosmetic, and biochemical industries </w:t>
      </w:r>
      <w:r>
        <w:rPr>
          <w:noProof/>
        </w:rPr>
        <w:t>(Borowitzka 1986)</w:t>
      </w:r>
      <w:r>
        <w:t>.  In particular, t</w:t>
      </w:r>
      <w:r w:rsidRPr="001623AD">
        <w:t xml:space="preserve">his </w:t>
      </w:r>
      <w:r>
        <w:t>genus</w:t>
      </w:r>
      <w:r w:rsidRPr="001623AD">
        <w:t xml:space="preserve"> serves as a</w:t>
      </w:r>
      <w:r>
        <w:t xml:space="preserve"> potential biological </w:t>
      </w:r>
      <w:r w:rsidRPr="001623AD">
        <w:t xml:space="preserve">source of food dyes, vitamin A, tocopherols, </w:t>
      </w:r>
      <w:r>
        <w:t xml:space="preserve">glycerol, </w:t>
      </w:r>
      <w:r w:rsidRPr="001623AD">
        <w:t xml:space="preserve">lutein, </w:t>
      </w:r>
      <w:r>
        <w:t xml:space="preserve">peptides, </w:t>
      </w:r>
      <w:r w:rsidRPr="001623AD">
        <w:t>and beta-caroten</w:t>
      </w:r>
      <w:r>
        <w:t xml:space="preserve">e </w:t>
      </w:r>
      <w:r>
        <w:rPr>
          <w:noProof/>
        </w:rPr>
        <w:t>(Ben-Amotz and Avron 1982; Jin and Melis 2003; Lewin 1992)</w:t>
      </w:r>
      <w:r w:rsidRPr="001623AD">
        <w:t xml:space="preserve">. </w:t>
      </w:r>
      <w:r>
        <w:t xml:space="preserve"> Furthermore, </w:t>
      </w:r>
      <w:r>
        <w:rPr>
          <w:i/>
        </w:rPr>
        <w:t>Dunaliella</w:t>
      </w:r>
      <w:r w:rsidRPr="001623AD">
        <w:t xml:space="preserve"> and related species have lipid and fatty acid compositions </w:t>
      </w:r>
      <w:r>
        <w:t xml:space="preserve">that are </w:t>
      </w:r>
      <w:r w:rsidRPr="001623AD">
        <w:t>suitable for bio</w:t>
      </w:r>
      <w:r>
        <w:t>diesel</w:t>
      </w:r>
      <w:r w:rsidRPr="001623AD">
        <w:t xml:space="preserve"> production</w:t>
      </w:r>
      <w:r>
        <w:t xml:space="preserve"> </w:t>
      </w:r>
      <w:r>
        <w:rPr>
          <w:noProof/>
        </w:rPr>
        <w:t>(Azachi et al. 2002; McCormick et al. 2006; Peeler et al. 1989; Tornabene et al. 1980)</w:t>
      </w:r>
      <w:r>
        <w:t xml:space="preserve">, although the potential for exploiting this feedstock for biofuels application has been only marginally investigated. A recent assessment of biofuel production (i.e. bioethanol and biodiesel) from microalgae suggests that the optimal composition of the biomass should approach 60% lipids, 30% starch, and 10% protein </w:t>
      </w:r>
      <w:r>
        <w:rPr>
          <w:noProof/>
        </w:rPr>
        <w:t>(Martin and Grossmann 2013)</w:t>
      </w:r>
      <w:r>
        <w:t xml:space="preserve">; however, this is rarely achieved in high productivity outdoor cultures.  In an integrated production model, extraction of the co-products present in the biomass will likely continue to play a large role for the economic viability of producing the feedstock </w:t>
      </w:r>
      <w:r>
        <w:rPr>
          <w:noProof/>
        </w:rPr>
        <w:t>(Wijffels et al. 2010)</w:t>
      </w:r>
      <w:r>
        <w:t xml:space="preserve">.  Furthermore, recent advances in genetic manipulation of </w:t>
      </w:r>
      <w:r w:rsidRPr="00863D20">
        <w:rPr>
          <w:i/>
        </w:rPr>
        <w:t>Dunaliella</w:t>
      </w:r>
      <w:r>
        <w:t xml:space="preserve"> for expression of recombinant therapeutics could significantly expand the prospects for molecular farming in this species </w:t>
      </w:r>
      <w:r>
        <w:rPr>
          <w:noProof/>
        </w:rPr>
        <w:t>(Barzegari et al. 2010; Polle and Song 2009)</w:t>
      </w:r>
      <w:r>
        <w:t xml:space="preserve">.  </w:t>
      </w:r>
    </w:p>
    <w:p w:rsidR="00C72B9A" w:rsidRDefault="00C72B9A" w:rsidP="00F250F4">
      <w:pPr>
        <w:spacing w:line="480" w:lineRule="auto"/>
        <w:ind w:firstLine="720"/>
        <w:jc w:val="both"/>
      </w:pPr>
      <w:r>
        <w:lastRenderedPageBreak/>
        <w:t xml:space="preserve">In addition to the potentially lucrative biomaterials produced by </w:t>
      </w:r>
      <w:r w:rsidRPr="00E75762">
        <w:rPr>
          <w:i/>
        </w:rPr>
        <w:t>Dunaliella</w:t>
      </w:r>
      <w:r>
        <w:rPr>
          <w:i/>
        </w:rPr>
        <w:t xml:space="preserve"> viridis</w:t>
      </w:r>
      <w:r>
        <w:t xml:space="preserve">, the species’ robust growth in high salinity environments is biotechnologically and agriculturally desirable for development of non-arable land resources - a key sustainability concern for production scale-up </w:t>
      </w:r>
      <w:r>
        <w:rPr>
          <w:noProof/>
        </w:rPr>
        <w:t>(Borowitzka and Moheimani 2013; Pate et al. 2011)</w:t>
      </w:r>
      <w:r>
        <w:t>. Whereas</w:t>
      </w:r>
      <w:r w:rsidRPr="00BD1DCC">
        <w:t xml:space="preserve"> </w:t>
      </w:r>
      <w:r>
        <w:t xml:space="preserve">high </w:t>
      </w:r>
      <w:r w:rsidRPr="00BD1DCC">
        <w:t xml:space="preserve">salinity </w:t>
      </w:r>
      <w:r>
        <w:t xml:space="preserve">is </w:t>
      </w:r>
      <w:r w:rsidRPr="00BD1DCC">
        <w:t>inhibit</w:t>
      </w:r>
      <w:r>
        <w:t>ory to</w:t>
      </w:r>
      <w:r w:rsidRPr="00BD1DCC">
        <w:t xml:space="preserve"> photosynthesis</w:t>
      </w:r>
      <w:r>
        <w:t xml:space="preserve"> in most higher plants, high salinity</w:t>
      </w:r>
      <w:r w:rsidRPr="001228EF">
        <w:rPr>
          <w:i/>
        </w:rPr>
        <w:t xml:space="preserve"> </w:t>
      </w:r>
      <w:r w:rsidRPr="001228EF">
        <w:t>has been found to</w:t>
      </w:r>
      <w:r>
        <w:t xml:space="preserve"> enhance photosynthetic activity and carbon assimilation in</w:t>
      </w:r>
      <w:r>
        <w:rPr>
          <w:i/>
        </w:rPr>
        <w:t xml:space="preserve"> </w:t>
      </w:r>
      <w:r w:rsidRPr="00BD1DCC">
        <w:rPr>
          <w:i/>
        </w:rPr>
        <w:t>Dunaliella</w:t>
      </w:r>
      <w:r w:rsidRPr="00BD1DCC">
        <w:t xml:space="preserve"> </w:t>
      </w:r>
      <w:r>
        <w:rPr>
          <w:noProof/>
        </w:rPr>
        <w:t>(Booth and Beardall 1991; Liska et al. 2004)</w:t>
      </w:r>
      <w:r>
        <w:t xml:space="preserve">.  Other adaptations contributing to halotolerant osmoregulation in </w:t>
      </w:r>
      <w:r>
        <w:rPr>
          <w:i/>
        </w:rPr>
        <w:t>Du</w:t>
      </w:r>
      <w:r w:rsidRPr="001228EF">
        <w:rPr>
          <w:i/>
        </w:rPr>
        <w:t>n</w:t>
      </w:r>
      <w:r>
        <w:rPr>
          <w:i/>
        </w:rPr>
        <w:t>a</w:t>
      </w:r>
      <w:r w:rsidRPr="001228EF">
        <w:rPr>
          <w:i/>
        </w:rPr>
        <w:t>liella</w:t>
      </w:r>
      <w:r>
        <w:t xml:space="preserve"> include the replacement of a rigid cell wall with a flexible mucin layer </w:t>
      </w:r>
      <w:r>
        <w:rPr>
          <w:noProof/>
        </w:rPr>
        <w:t>(Kirst 1989)</w:t>
      </w:r>
      <w:r>
        <w:t xml:space="preserve">, production of glycerol as an intracellular compatible solute </w:t>
      </w:r>
      <w:r>
        <w:rPr>
          <w:noProof/>
        </w:rPr>
        <w:t>(Ben-Amotz and Avron 1973; Borowitzka and Brown 1974; Chitlaru and Pick 1991)</w:t>
      </w:r>
      <w:r>
        <w:t xml:space="preserve">, enhanced synthesis of carotenoids as a protectant against photo-oxidative stress </w:t>
      </w:r>
      <w:r>
        <w:rPr>
          <w:noProof/>
        </w:rPr>
        <w:t>(Jin and Melis 2003; Zamir et al. 2004)</w:t>
      </w:r>
      <w:r>
        <w:t>, and the production of extracellular</w:t>
      </w:r>
      <w:r w:rsidRPr="001623AD">
        <w:t xml:space="preserve"> </w:t>
      </w:r>
      <w:r>
        <w:t>halotolerant enzymes</w:t>
      </w:r>
      <w:r w:rsidRPr="001623AD">
        <w:t xml:space="preserve"> that retain structural stability and solubility </w:t>
      </w:r>
      <w:r>
        <w:t>over a wide range of</w:t>
      </w:r>
      <w:r w:rsidRPr="001623AD">
        <w:t xml:space="preserve"> salt concentrations</w:t>
      </w:r>
      <w:r>
        <w:t xml:space="preserve"> </w:t>
      </w:r>
      <w:r>
        <w:rPr>
          <w:noProof/>
        </w:rPr>
        <w:t>(Booth and Beardall 1991; Premkumar et al. 2005)</w:t>
      </w:r>
      <w:r>
        <w:t>.  Thus the prospects for combining high biomaterials productivity with</w:t>
      </w:r>
      <w:r w:rsidRPr="001623AD">
        <w:t xml:space="preserve"> </w:t>
      </w:r>
      <w:r>
        <w:t xml:space="preserve">the </w:t>
      </w:r>
      <w:r w:rsidRPr="001623AD">
        <w:t>ability to grow in extreme saline</w:t>
      </w:r>
      <w:r>
        <w:t xml:space="preserve"> environments make </w:t>
      </w:r>
      <w:r w:rsidRPr="00D826CA">
        <w:rPr>
          <w:i/>
        </w:rPr>
        <w:t>Dunaliella</w:t>
      </w:r>
      <w:r>
        <w:t xml:space="preserve"> a genus of continued interest for commodity-scale bioresource development. </w:t>
      </w:r>
    </w:p>
    <w:p w:rsidR="00C72B9A" w:rsidRDefault="00C72B9A" w:rsidP="004D4A8B">
      <w:pPr>
        <w:spacing w:line="480" w:lineRule="auto"/>
        <w:jc w:val="both"/>
      </w:pPr>
      <w:r>
        <w:tab/>
        <w:t xml:space="preserve">Coupling effective means of harvesting and product isolation to high biomass yields has been identified as a major requirement for large scale microalgae production </w:t>
      </w:r>
      <w:r>
        <w:rPr>
          <w:noProof/>
        </w:rPr>
        <w:t>(Greenwell et al. 2010)</w:t>
      </w:r>
      <w:r>
        <w:t xml:space="preserve">.  </w:t>
      </w:r>
      <w:r w:rsidRPr="003D63E8">
        <w:t>Semi-continuous cultur</w:t>
      </w:r>
      <w:r>
        <w:t>e</w:t>
      </w:r>
      <w:r w:rsidRPr="003D63E8">
        <w:t xml:space="preserve"> of microalgae provides the opportunity to</w:t>
      </w:r>
      <w:r>
        <w:t xml:space="preserve"> optimize biomass yields by</w:t>
      </w:r>
      <w:r w:rsidRPr="003D63E8">
        <w:t xml:space="preserve"> overcom</w:t>
      </w:r>
      <w:r>
        <w:t>ing</w:t>
      </w:r>
      <w:r w:rsidRPr="003D63E8">
        <w:t xml:space="preserve"> growth lags by minimizing the inhibitory effects of light shading in high density cultures and slow onset </w:t>
      </w:r>
      <w:r>
        <w:t>in low density inocula</w:t>
      </w:r>
      <w:r w:rsidRPr="003D63E8">
        <w:t xml:space="preserve">.  Furthermore, semi-continuous culture systems </w:t>
      </w:r>
      <w:r>
        <w:t>minimize</w:t>
      </w:r>
      <w:r w:rsidRPr="003D63E8">
        <w:t xml:space="preserve"> land footprint, favor the production of high grow</w:t>
      </w:r>
      <w:r>
        <w:t xml:space="preserve">th-rate strains, and enable </w:t>
      </w:r>
      <w:r w:rsidRPr="003D63E8">
        <w:t>standardization of the resultant biomass</w:t>
      </w:r>
      <w:r>
        <w:t xml:space="preserve"> composition</w:t>
      </w:r>
      <w:r w:rsidRPr="003D63E8">
        <w:t xml:space="preserve">. </w:t>
      </w:r>
      <w:r>
        <w:t xml:space="preserve">  A potential complimentary approach to semi-continuous culture involves non-lethal isolation of specific analytes of interest (esp. lipids and carotenoids) from the active culture, sometimes referred </w:t>
      </w:r>
      <w:r>
        <w:lastRenderedPageBreak/>
        <w:t xml:space="preserve">to as algal milking. Although non-lethal milking of hydrocarbons has been demonstrated for </w:t>
      </w:r>
      <w:r w:rsidRPr="00203DA1">
        <w:rPr>
          <w:i/>
        </w:rPr>
        <w:t>Botryococcus braunii</w:t>
      </w:r>
      <w:r>
        <w:t xml:space="preserve"> </w:t>
      </w:r>
      <w:r>
        <w:rPr>
          <w:noProof/>
        </w:rPr>
        <w:t>(Moheimani et al. 2013)</w:t>
      </w:r>
      <w:r>
        <w:t xml:space="preserve">, strategies intending to milk bioproducts from </w:t>
      </w:r>
      <w:r w:rsidRPr="00A87C76">
        <w:rPr>
          <w:i/>
        </w:rPr>
        <w:t>Dunaliella</w:t>
      </w:r>
      <w:r>
        <w:rPr>
          <w:i/>
        </w:rPr>
        <w:t xml:space="preserve"> </w:t>
      </w:r>
      <w:r>
        <w:rPr>
          <w:noProof/>
        </w:rPr>
        <w:t>(Hejazi et al. 2004; Kleinegris et al. 2010a)</w:t>
      </w:r>
      <w:r>
        <w:t xml:space="preserve"> have in fact resulted on lysis of the cells from exposure to organic solvents </w:t>
      </w:r>
      <w:r>
        <w:rPr>
          <w:noProof/>
        </w:rPr>
        <w:t>(Kleinegris et al. 2011)</w:t>
      </w:r>
      <w:r>
        <w:t xml:space="preserve">.  In this manuscript we detail observations which indicate that semi-continuous cultures under osmotic drift can provide disproportionally high release of lipid microparticles from the algae cells compared to cell lysis.  This finding indicates the potential for reversible osmotic permeation of </w:t>
      </w:r>
      <w:r>
        <w:rPr>
          <w:i/>
        </w:rPr>
        <w:t>Dunaliella viridis</w:t>
      </w:r>
      <w:r>
        <w:t xml:space="preserve"> for release of lipid phase bioproducts.       </w:t>
      </w:r>
    </w:p>
    <w:p w:rsidR="00C72B9A" w:rsidRPr="0001655F" w:rsidRDefault="00C72B9A" w:rsidP="004D4A8B">
      <w:pPr>
        <w:spacing w:line="480" w:lineRule="auto"/>
        <w:jc w:val="both"/>
      </w:pPr>
      <w:r>
        <w:t xml:space="preserve">          In order to identify the dominant factors impacting the return on investment from biomass production, accurate measurement of a wide range of physiological parameters over a multiplicity of controlled inputs is required. In recent years, a variety of spectroscopic and imaging methods have been employed for quantifying total biomass, metabolic biomarkers, lipid speciation and content, and high-value algal biomaterials, such as carotenoids </w:t>
      </w:r>
      <w:r>
        <w:rPr>
          <w:noProof/>
        </w:rPr>
        <w:t>(Davis et al. 2012; Kleinegris et al. 2010b; Vermaas et al. 2008; Wu et al. 2011)</w:t>
      </w:r>
      <w:r>
        <w:t xml:space="preserve">.  In this study, we employed the combination of established and recently developed spectroscopic techniques, including hyperspectral confocal fluorescence imaging, excitation modulated fluoromety, and flow cytometry in conjunction with common fluorescent and colorimetric indicators to track the morphological, metabolic, and biomaterials parameters of </w:t>
      </w:r>
      <w:r w:rsidRPr="0050497D">
        <w:rPr>
          <w:i/>
        </w:rPr>
        <w:t>Duna</w:t>
      </w:r>
      <w:r>
        <w:rPr>
          <w:i/>
        </w:rPr>
        <w:t>l</w:t>
      </w:r>
      <w:r w:rsidRPr="0050497D">
        <w:rPr>
          <w:i/>
        </w:rPr>
        <w:t xml:space="preserve">iella </w:t>
      </w:r>
      <w:r>
        <w:rPr>
          <w:i/>
        </w:rPr>
        <w:t>viridis</w:t>
      </w:r>
      <w:r>
        <w:t xml:space="preserve"> across a variety of photo-osmotic conditions.  Together these data should be broadly applicable for identifying biomass yield and composition for maximizing return on algae biomass production.  </w:t>
      </w:r>
    </w:p>
    <w:p w:rsidR="00C72B9A" w:rsidRDefault="00C72B9A" w:rsidP="00F250F4">
      <w:pPr>
        <w:spacing w:line="480" w:lineRule="auto"/>
        <w:jc w:val="both"/>
        <w:rPr>
          <w:b/>
        </w:rPr>
      </w:pPr>
      <w:r w:rsidRPr="0066762F">
        <w:rPr>
          <w:b/>
        </w:rPr>
        <w:t>Materials and Methods</w:t>
      </w:r>
    </w:p>
    <w:p w:rsidR="00C72B9A" w:rsidRDefault="00C72B9A" w:rsidP="002F4D90">
      <w:pPr>
        <w:spacing w:line="480" w:lineRule="auto"/>
        <w:jc w:val="both"/>
        <w:rPr>
          <w:lang w:val="pt-BR"/>
        </w:rPr>
      </w:pPr>
      <w:r>
        <w:rPr>
          <w:i/>
        </w:rPr>
        <w:t xml:space="preserve">Algal cultures.  Dunaliella viridis </w:t>
      </w:r>
      <w:r>
        <w:t xml:space="preserve">was cultured from UTEX LB200 stock </w:t>
      </w:r>
      <w:r>
        <w:rPr>
          <w:noProof/>
        </w:rPr>
        <w:t>(Borowitzka and Siva 2007)</w:t>
      </w:r>
      <w:r>
        <w:t xml:space="preserve"> in enriched artificial seawater medium </w:t>
      </w:r>
      <w:r>
        <w:rPr>
          <w:noProof/>
        </w:rPr>
        <w:t>(Berges et al. 2001)</w:t>
      </w:r>
      <w:r>
        <w:t xml:space="preserve"> supplemented with 5</w:t>
      </w:r>
      <w:r w:rsidRPr="001623AD">
        <w:t>% v/v</w:t>
      </w:r>
      <w:r>
        <w:t xml:space="preserve"> sterile-filtered soil-seawater (UTEX, USA), and additional nitrate (3 mM total) and </w:t>
      </w:r>
      <w:r>
        <w:lastRenderedPageBreak/>
        <w:t xml:space="preserve">phosphate (66 µM total).  Three distinct salinity levels were maintained: “low salinity” (LS) which corresponds to seawater, “moderate salinity” (MS) which corresponds to seawater with the addition of 1M NaCl, and “high salinity” (HS) which corresponds to seawater with the addition of 2M NaCl.   </w:t>
      </w:r>
      <w:r>
        <w:rPr>
          <w:lang w:val="pt-BR"/>
        </w:rPr>
        <w:t>M</w:t>
      </w:r>
      <w:r w:rsidRPr="00FA0905">
        <w:rPr>
          <w:lang w:val="pt-BR"/>
        </w:rPr>
        <w:t>odified ESAW</w:t>
      </w:r>
      <w:r>
        <w:rPr>
          <w:lang w:val="pt-BR"/>
        </w:rPr>
        <w:t xml:space="preserve"> was prepared as per the recipe in Table 1.</w:t>
      </w:r>
    </w:p>
    <w:p w:rsidR="00E823E9" w:rsidRPr="004E4846" w:rsidRDefault="00E823E9" w:rsidP="00E823E9">
      <w:pPr>
        <w:spacing w:line="480" w:lineRule="auto"/>
        <w:jc w:val="both"/>
      </w:pPr>
      <w:r>
        <w:t xml:space="preserve"> </w:t>
      </w:r>
      <w:r w:rsidRPr="00380AE3">
        <w:rPr>
          <w:b/>
        </w:rPr>
        <w:t>Table 1.</w:t>
      </w:r>
      <w:r>
        <w:t xml:space="preserve">  Compositional details of the semi-continuous </w:t>
      </w:r>
      <w:r>
        <w:rPr>
          <w:i/>
        </w:rPr>
        <w:t>D. viridis</w:t>
      </w:r>
      <w:r>
        <w:t xml:space="preserve"> cultivation medium.  All quantities, except for the varying NaCl component (Low Salt: LS, Medium Salt: MS, and High Salt: HS), were identical for each photo-osmotic growth condition.</w:t>
      </w:r>
    </w:p>
    <w:p w:rsidR="00E823E9" w:rsidRDefault="00E823E9" w:rsidP="002F4D90">
      <w:pPr>
        <w:spacing w:line="480" w:lineRule="auto"/>
        <w:jc w:val="both"/>
        <w:rPr>
          <w:lang w:val="pt-BR"/>
        </w:rPr>
      </w:pPr>
    </w:p>
    <w:p w:rsidR="00C72B9A" w:rsidRDefault="00C72B9A" w:rsidP="00CF54D0">
      <w:pPr>
        <w:spacing w:line="480" w:lineRule="auto"/>
        <w:jc w:val="both"/>
      </w:pPr>
      <w:r>
        <w:rPr>
          <w:i/>
        </w:rPr>
        <w:t xml:space="preserve">Algal culture.  </w:t>
      </w:r>
      <w:r w:rsidRPr="001623AD">
        <w:t xml:space="preserve">Culturing was performed </w:t>
      </w:r>
      <w:r>
        <w:t xml:space="preserve">in </w:t>
      </w:r>
      <w:r w:rsidRPr="001623AD">
        <w:t xml:space="preserve">500 mL </w:t>
      </w:r>
      <w:r>
        <w:t xml:space="preserve">cylindrical </w:t>
      </w:r>
      <w:r w:rsidRPr="001623AD">
        <w:t>flasks</w:t>
      </w:r>
      <w:r>
        <w:t xml:space="preserve"> (200 mL headspace volume)</w:t>
      </w:r>
      <w:r w:rsidRPr="001623AD">
        <w:t xml:space="preserve"> in a temperature regulated</w:t>
      </w:r>
      <w:r>
        <w:t xml:space="preserve"> (27º C)</w:t>
      </w:r>
      <w:r w:rsidRPr="001623AD">
        <w:t xml:space="preserve"> chamber </w:t>
      </w:r>
      <w:r>
        <w:t xml:space="preserve">equipped </w:t>
      </w:r>
      <w:r w:rsidRPr="001623AD">
        <w:t xml:space="preserve">with a custom peltier-cooled </w:t>
      </w:r>
      <w:r>
        <w:t xml:space="preserve">variable intensity LED strip </w:t>
      </w:r>
      <w:r w:rsidRPr="001623AD">
        <w:t>illumin</w:t>
      </w:r>
      <w:r>
        <w:t>ator system (</w:t>
      </w:r>
      <w:r w:rsidRPr="001623AD">
        <w:t>6500K solar spectrum</w:t>
      </w:r>
      <w:r>
        <w:t>) and</w:t>
      </w:r>
      <w:r w:rsidRPr="004F7ED1">
        <w:t xml:space="preserve"> </w:t>
      </w:r>
      <w:r>
        <w:t>humidified air injected bubbling (200 cm</w:t>
      </w:r>
      <w:r>
        <w:rPr>
          <w:vertAlign w:val="superscript"/>
        </w:rPr>
        <w:t>3</w:t>
      </w:r>
      <w:r>
        <w:t xml:space="preserve"> min</w:t>
      </w:r>
      <w:r w:rsidRPr="00200600">
        <w:rPr>
          <w:vertAlign w:val="superscript"/>
        </w:rPr>
        <w:t>-1</w:t>
      </w:r>
      <w:r>
        <w:t>).  This system supports simultaneous implementation of three independent photosynthetically active radiation (PAR) levels.  Culture flasks were placed directly on the illuminator</w:t>
      </w:r>
      <w:r w:rsidRPr="001623AD">
        <w:t xml:space="preserve"> </w:t>
      </w:r>
      <w:r>
        <w:t>and the intensities in the samples were adjusted to</w:t>
      </w:r>
      <w:r w:rsidRPr="001623AD">
        <w:t xml:space="preserve"> 50 </w:t>
      </w:r>
      <w:r>
        <w:t>µmol photons m</w:t>
      </w:r>
      <w:r w:rsidRPr="00070CD6">
        <w:rPr>
          <w:vertAlign w:val="superscript"/>
        </w:rPr>
        <w:t>-2</w:t>
      </w:r>
      <w:r>
        <w:t xml:space="preserve"> sec</w:t>
      </w:r>
      <w:r w:rsidRPr="00070CD6">
        <w:rPr>
          <w:vertAlign w:val="superscript"/>
        </w:rPr>
        <w:t>-1</w:t>
      </w:r>
      <w:r w:rsidRPr="001623AD">
        <w:t xml:space="preserve"> </w:t>
      </w:r>
      <w:r>
        <w:t>for “</w:t>
      </w:r>
      <w:r w:rsidRPr="001623AD">
        <w:t>low</w:t>
      </w:r>
      <w:r>
        <w:t>”</w:t>
      </w:r>
      <w:r w:rsidRPr="001623AD">
        <w:t xml:space="preserve"> PAR</w:t>
      </w:r>
      <w:r>
        <w:t xml:space="preserve"> (LL) and 275</w:t>
      </w:r>
      <w:r w:rsidRPr="001623AD">
        <w:t xml:space="preserve"> </w:t>
      </w:r>
      <w:r>
        <w:t>µmol photons m</w:t>
      </w:r>
      <w:r w:rsidRPr="00070CD6">
        <w:rPr>
          <w:vertAlign w:val="superscript"/>
        </w:rPr>
        <w:t>-2</w:t>
      </w:r>
      <w:r>
        <w:t xml:space="preserve"> sec</w:t>
      </w:r>
      <w:r w:rsidRPr="00070CD6">
        <w:rPr>
          <w:vertAlign w:val="superscript"/>
        </w:rPr>
        <w:t>-1</w:t>
      </w:r>
      <w:r w:rsidRPr="001623AD">
        <w:t xml:space="preserve"> </w:t>
      </w:r>
      <w:r>
        <w:t>for “</w:t>
      </w:r>
      <w:r w:rsidRPr="001623AD">
        <w:t>high</w:t>
      </w:r>
      <w:r>
        <w:t>”</w:t>
      </w:r>
      <w:r w:rsidRPr="001623AD">
        <w:t xml:space="preserve"> PAR</w:t>
      </w:r>
      <w:r>
        <w:t xml:space="preserve"> (HL) measured with a </w:t>
      </w:r>
      <w:r w:rsidRPr="001623AD">
        <w:t xml:space="preserve">US-SQS/L spherical </w:t>
      </w:r>
      <w:r>
        <w:t xml:space="preserve">micro- quantum sensor (Walz, Germany) positioned in 2.54 cm from the illumination source in media-filled flasks, .     </w:t>
      </w:r>
    </w:p>
    <w:p w:rsidR="00C72B9A" w:rsidRDefault="00C72B9A" w:rsidP="002B1CCF">
      <w:pPr>
        <w:spacing w:line="480" w:lineRule="auto"/>
        <w:jc w:val="both"/>
      </w:pPr>
      <w:r w:rsidRPr="00B626BC">
        <w:rPr>
          <w:i/>
        </w:rPr>
        <w:t>Hyperspectral confocal fluorescence imaging</w:t>
      </w:r>
      <w:r>
        <w:rPr>
          <w:i/>
        </w:rPr>
        <w:t>.</w:t>
      </w:r>
      <w:r>
        <w:t xml:space="preserve">  </w:t>
      </w:r>
      <w:bookmarkStart w:id="1" w:name="OLE_LINK1"/>
      <w:r w:rsidRPr="00B626BC">
        <w:rPr>
          <w:lang w:eastAsia="zh-CN"/>
        </w:rPr>
        <w:t>Hyperspectral confocal fluorescence i</w:t>
      </w:r>
      <w:r>
        <w:rPr>
          <w:lang w:eastAsia="zh-CN"/>
        </w:rPr>
        <w:t xml:space="preserve">maging </w:t>
      </w:r>
      <w:r w:rsidRPr="00B626BC">
        <w:rPr>
          <w:lang w:eastAsia="zh-CN"/>
        </w:rPr>
        <w:t xml:space="preserve">was employed to facilitate </w:t>
      </w:r>
      <w:r>
        <w:rPr>
          <w:lang w:eastAsia="zh-CN"/>
        </w:rPr>
        <w:t>morphological variation and identification and</w:t>
      </w:r>
      <w:r w:rsidRPr="00B626BC">
        <w:rPr>
          <w:lang w:eastAsia="zh-CN"/>
        </w:rPr>
        <w:t xml:space="preserve"> assignment of the d</w:t>
      </w:r>
      <w:r>
        <w:rPr>
          <w:lang w:eastAsia="zh-CN"/>
        </w:rPr>
        <w:t>ominant</w:t>
      </w:r>
      <w:r w:rsidRPr="00B626BC">
        <w:rPr>
          <w:lang w:eastAsia="zh-CN"/>
        </w:rPr>
        <w:t xml:space="preserve"> spectral components present in fluorescence images and flow cytometry data. For imaging of </w:t>
      </w:r>
      <w:r w:rsidRPr="00B626BC">
        <w:rPr>
          <w:i/>
          <w:lang w:eastAsia="zh-CN"/>
        </w:rPr>
        <w:t xml:space="preserve">Dunaliella </w:t>
      </w:r>
      <w:r>
        <w:rPr>
          <w:i/>
          <w:lang w:eastAsia="zh-CN"/>
        </w:rPr>
        <w:t>viridis</w:t>
      </w:r>
      <w:r w:rsidRPr="00B626BC">
        <w:rPr>
          <w:lang w:eastAsia="zh-CN"/>
        </w:rPr>
        <w:t>, cells were collected, dark adapted and delivered to a glass slide and coverslip assembly.  Hyperspectral fluorescence images were collected using a 60x 1.4NA microscope objective with scanned 488 nm laser excitation and 512 EMCCD detector channels, corresponding to each pixel in the image having a spectral emission ra</w:t>
      </w:r>
      <w:r>
        <w:rPr>
          <w:lang w:eastAsia="zh-CN"/>
        </w:rPr>
        <w:t xml:space="preserve">nge of 500-800 nm as described previously </w:t>
      </w:r>
      <w:r>
        <w:rPr>
          <w:noProof/>
          <w:lang w:eastAsia="zh-CN"/>
        </w:rPr>
        <w:t>(Sinclair et al. 2006)</w:t>
      </w:r>
      <w:r w:rsidRPr="00B626BC">
        <w:rPr>
          <w:lang w:eastAsia="zh-CN"/>
        </w:rPr>
        <w:t xml:space="preserve">.  In order to obtain accurate spectral </w:t>
      </w:r>
      <w:r w:rsidRPr="00B626BC">
        <w:rPr>
          <w:lang w:eastAsia="zh-CN"/>
        </w:rPr>
        <w:lastRenderedPageBreak/>
        <w:t>estimates of the non-chlorophyll related spectral components (i</w:t>
      </w:r>
      <w:r>
        <w:rPr>
          <w:lang w:eastAsia="zh-CN"/>
        </w:rPr>
        <w:t>n the 500-625 nm spectral region</w:t>
      </w:r>
      <w:r w:rsidRPr="00B626BC">
        <w:rPr>
          <w:lang w:eastAsia="zh-CN"/>
        </w:rPr>
        <w:t>), two sets of image data were acquired per field, first using an absorptive filter (Newport BG-40) that attenuates the chlorophyll signal and ~150 µW laser excitation, and a second without the filter and ~0.5 µW laser excitation.  This method is necessary to remove the relative large Poissonian noise contribution from the high level of chlorophyll fluorescence on the lower intensity pigment emissions for downstream analysis.  In addition to fluorescence images of single algae cells, dark images were also collected to account for instrum</w:t>
      </w:r>
      <w:r>
        <w:rPr>
          <w:lang w:eastAsia="zh-CN"/>
        </w:rPr>
        <w:t xml:space="preserve">ent noise </w:t>
      </w:r>
      <w:r>
        <w:rPr>
          <w:noProof/>
          <w:lang w:eastAsia="zh-CN"/>
        </w:rPr>
        <w:t>(Jones et al. 2008)</w:t>
      </w:r>
      <w:r w:rsidRPr="00B626BC">
        <w:rPr>
          <w:lang w:eastAsia="zh-CN"/>
        </w:rPr>
        <w:t>.  The resulting spectral image data were then subject to multivariate curve resolution (MCR) analysis using imageMCR, an in-house</w:t>
      </w:r>
      <w:r>
        <w:rPr>
          <w:lang w:eastAsia="zh-CN"/>
        </w:rPr>
        <w:t xml:space="preserve"> software package written in</w:t>
      </w:r>
      <w:r w:rsidRPr="00B626BC">
        <w:rPr>
          <w:lang w:eastAsia="zh-CN"/>
        </w:rPr>
        <w:t xml:space="preserve"> </w:t>
      </w:r>
      <w:r>
        <w:rPr>
          <w:lang w:eastAsia="zh-CN"/>
        </w:rPr>
        <w:t>Matlab (Mathworks, Inc.)</w:t>
      </w:r>
      <w:r w:rsidRPr="00B626BC">
        <w:rPr>
          <w:lang w:eastAsia="zh-CN"/>
        </w:rPr>
        <w:t xml:space="preserve">. The imageMCR software implementation uses a constrained iterative alternating least squares </w:t>
      </w:r>
      <w:r>
        <w:rPr>
          <w:lang w:eastAsia="zh-CN"/>
        </w:rPr>
        <w:t xml:space="preserve">algorithm </w:t>
      </w:r>
      <w:r>
        <w:rPr>
          <w:noProof/>
          <w:lang w:eastAsia="zh-CN"/>
        </w:rPr>
        <w:t>(Haaland et al. 2009)</w:t>
      </w:r>
      <w:r w:rsidRPr="00B626BC">
        <w:rPr>
          <w:lang w:eastAsia="zh-CN"/>
        </w:rPr>
        <w:t xml:space="preserve"> to discover and model the spectral shapes and corresponding relative intensities of spectral components contained within the images.  </w:t>
      </w:r>
      <w:r w:rsidRPr="00B626BC">
        <w:t>For the MCR analysis, image data were combined across all of the photo-osmotic culture conditions and analyzed as a batch to obtain a common set of pure component spectra.</w:t>
      </w:r>
      <w:r w:rsidRPr="00B626BC">
        <w:rPr>
          <w:lang w:eastAsia="zh-CN"/>
        </w:rPr>
        <w:t xml:space="preserve">  Spectral assignments were made and confirmed by comparison to literature spectra.  </w:t>
      </w:r>
      <w:bookmarkEnd w:id="1"/>
      <w:r>
        <w:t xml:space="preserve">Cell diameter estimation was obtained from single cell fluorescence imaging data based on pixel size calibration via translation of 100 nm dia. fluorescent microspheres.  </w:t>
      </w:r>
    </w:p>
    <w:p w:rsidR="00C72B9A" w:rsidRDefault="00C72B9A" w:rsidP="00CF54D0">
      <w:pPr>
        <w:spacing w:line="480" w:lineRule="auto"/>
        <w:jc w:val="both"/>
      </w:pPr>
      <w:r>
        <w:rPr>
          <w:i/>
        </w:rPr>
        <w:t xml:space="preserve">Biomass estimation.  </w:t>
      </w:r>
      <w:r w:rsidRPr="002F4794">
        <w:t>S</w:t>
      </w:r>
      <w:r w:rsidRPr="00CF54D0">
        <w:t>emi-continuous cultures corresponding to the various PAR intensities and salinity levels (later referred to by photo-osmotic combinations, e.g. HLxHS corresponds to high PAR x high salinity</w:t>
      </w:r>
      <w:r>
        <w:t>, LLxLS to low PAR x low salinity, etc.</w:t>
      </w:r>
      <w:r w:rsidRPr="00CF54D0">
        <w:t>) were maintained for three 6 week intervals in mid- to late- log phase by harvesting the volumetric growth as indica</w:t>
      </w:r>
      <w:r>
        <w:t>ted by the near IR attenuation of the culture (800 nm optical density) at 48 h increments. T</w:t>
      </w:r>
      <w:r w:rsidRPr="002F4794">
        <w:t>he s</w:t>
      </w:r>
      <w:r>
        <w:t xml:space="preserve">pectrophotometric method was calibrated to account for the potential for significant differences in the attenuation profile of the microalgae arising from differences in </w:t>
      </w:r>
      <w:r>
        <w:lastRenderedPageBreak/>
        <w:t>the refractive indices of the varying salinity media and the cells (based on compositional variation) and impacts of cell size variation on the scattering and absorption coefficients.  This was achieved by performing serial dilution on the initial biomass samples and analyzing each using haemocytometry, flow cytometry, and VIS-NIR spectrophotometry to generate linear regression-based estimates of cell count from spectrophotometric data generated at each harvesting increment.  Following</w:t>
      </w:r>
      <w:r w:rsidRPr="00CF54D0">
        <w:t xml:space="preserve"> each </w:t>
      </w:r>
      <w:r>
        <w:t xml:space="preserve">harvesting </w:t>
      </w:r>
      <w:r w:rsidRPr="00CF54D0">
        <w:t xml:space="preserve">increment, </w:t>
      </w:r>
      <w:r>
        <w:t>the removed</w:t>
      </w:r>
      <w:r w:rsidRPr="00CF54D0">
        <w:t xml:space="preserve"> volumes were replaced with equal volumes of fresh medium.  </w:t>
      </w:r>
      <w:r>
        <w:t>Multifactorial d</w:t>
      </w:r>
      <w:r w:rsidRPr="00CF54D0">
        <w:t>ata collection was initiated at the beginning of the fourth harvesting increment to provide res</w:t>
      </w:r>
      <w:r>
        <w:t xml:space="preserve">ults consistent with </w:t>
      </w:r>
      <w:r w:rsidRPr="00CF54D0">
        <w:t>adapted stable cultures, and continued for the 6 week interval</w:t>
      </w:r>
      <w:r>
        <w:t>, corresponding to 20 samples per condition</w:t>
      </w:r>
      <w:r w:rsidRPr="00CF54D0">
        <w:t xml:space="preserve">. </w:t>
      </w:r>
      <w:r>
        <w:t xml:space="preserve"> Following the 6 week interval, the semi-continuous culture was continued for an additional week, however the replaced media consisted of one of the osmotic extrema (e.g. LS medium was added to HS cultures) to investigate the impacts of hypo- and hypertonic drift.  </w:t>
      </w:r>
    </w:p>
    <w:p w:rsidR="00C72B9A" w:rsidRDefault="00C72B9A" w:rsidP="0038525C">
      <w:pPr>
        <w:spacing w:line="480" w:lineRule="auto"/>
        <w:ind w:firstLine="720"/>
        <w:jc w:val="both"/>
      </w:pPr>
      <w:r w:rsidRPr="00CF54D0">
        <w:t xml:space="preserve">For each of the assays described below, samples for analysis were collected coincident with harvest, prior to supplementation with fresh media.  Live cell assays, including hyperspectral fluorescence imaging, flow cytometry, excitation modulation fluorescence, and the electrode-based measurements were performed immediately following sample collection;  </w:t>
      </w:r>
      <w:r>
        <w:t xml:space="preserve">samples for </w:t>
      </w:r>
      <w:r w:rsidRPr="00CF54D0">
        <w:t xml:space="preserve">algae </w:t>
      </w:r>
      <w:r>
        <w:t xml:space="preserve">biomass yield (as ash-free dry weight, AFDW) and </w:t>
      </w:r>
      <w:r w:rsidRPr="00CF54D0">
        <w:t>composition assays were centrifuged</w:t>
      </w:r>
      <w:r>
        <w:t xml:space="preserve"> (750</w:t>
      </w:r>
      <w:r w:rsidR="003C1AB1" w:rsidRPr="003C1AB1">
        <w:rPr>
          <w:i/>
        </w:rPr>
        <w:t>xg</w:t>
      </w:r>
      <w:r>
        <w:t>, 5 min), decanted</w:t>
      </w:r>
      <w:r w:rsidRPr="00CF54D0">
        <w:t>, lyophilized, and aggregately stored at</w:t>
      </w:r>
      <w:r>
        <w:t xml:space="preserve"> -80˚ C for later subsequent analysis</w:t>
      </w:r>
      <w:r w:rsidRPr="00CF54D0">
        <w:t>.</w:t>
      </w:r>
      <w:r>
        <w:t xml:space="preserve">   Final biomass quantity was assessed by gravimetric determination of AFDW according to established methods </w:t>
      </w:r>
      <w:r>
        <w:rPr>
          <w:noProof/>
        </w:rPr>
        <w:t>(Zhu and Lee 1997)</w:t>
      </w:r>
      <w:r>
        <w:t xml:space="preserve">.  Estimation of relative cellular motility was obtained by comparing cell counts (using flow cytometry) from 100 </w:t>
      </w:r>
      <w:r>
        <w:rPr>
          <w:rFonts w:ascii="Calibri" w:hAnsi="Calibri"/>
        </w:rPr>
        <w:t>µ</w:t>
      </w:r>
      <w:r>
        <w:t xml:space="preserve">L cell aliquots collected 5 mm below the surface of the medium before and following a 10 min (unstirred and non-illuminated) resting period following sample collection.   </w:t>
      </w:r>
    </w:p>
    <w:p w:rsidR="00C72B9A" w:rsidRPr="00470A7D" w:rsidRDefault="00C72B9A" w:rsidP="00470A7D">
      <w:pPr>
        <w:spacing w:line="480" w:lineRule="auto"/>
        <w:jc w:val="both"/>
      </w:pPr>
      <w:r>
        <w:rPr>
          <w:i/>
        </w:rPr>
        <w:lastRenderedPageBreak/>
        <w:t xml:space="preserve">Biomass composition: </w:t>
      </w:r>
      <w:r w:rsidRPr="00470A7D">
        <w:rPr>
          <w:i/>
        </w:rPr>
        <w:t>Protein content</w:t>
      </w:r>
      <w:r>
        <w:rPr>
          <w:i/>
        </w:rPr>
        <w:t>.</w:t>
      </w:r>
      <w:r>
        <w:t xml:space="preserve">  </w:t>
      </w:r>
      <w:r w:rsidRPr="00470A7D">
        <w:t xml:space="preserve">Extraction of proteins was performed by resuspending 5 mg of washed and lyophilized </w:t>
      </w:r>
      <w:r w:rsidRPr="00470A7D">
        <w:rPr>
          <w:i/>
        </w:rPr>
        <w:t xml:space="preserve">D. </w:t>
      </w:r>
      <w:r>
        <w:rPr>
          <w:i/>
        </w:rPr>
        <w:t>viridis</w:t>
      </w:r>
      <w:r w:rsidRPr="00470A7D">
        <w:t xml:space="preserve"> biomass in 5 mL of 100 mM phosphate buffered saline (PBS, pH 6.5) and subjecting the suspension to probe ultra-sonication (550 Sonic Dismembra</w:t>
      </w:r>
      <w:r>
        <w:t>na</w:t>
      </w:r>
      <w:r w:rsidRPr="00470A7D">
        <w:t>tor, Fisher Scientific) on ice at the microtip li</w:t>
      </w:r>
      <w:r>
        <w:t>mit on 50% duty cycle for 3 min</w:t>
      </w:r>
      <w:r w:rsidRPr="00470A7D">
        <w:t>, followed by gentle agitation</w:t>
      </w:r>
      <w:r>
        <w:t xml:space="preserve"> at 4˚C for 16 h.  Following centrifugation (7</w:t>
      </w:r>
      <w:r w:rsidRPr="00470A7D">
        <w:t>,</w:t>
      </w:r>
      <w:r>
        <w:t>5</w:t>
      </w:r>
      <w:r w:rsidRPr="00470A7D">
        <w:t>00</w:t>
      </w:r>
      <w:r w:rsidR="003C1AB1" w:rsidRPr="003C1AB1">
        <w:rPr>
          <w:i/>
        </w:rPr>
        <w:t>xg</w:t>
      </w:r>
      <w:r w:rsidRPr="00470A7D">
        <w:t>, 15 min, 4˚ C), the quantity of soluble proteins were determined from the supernatant using the bicinichoninic acid method (BCA) with bovine serum albumin as a colorimetric standard.  Insoluble proteins were then extracted from the remaining centrifugation pellet by resuspension in 5 mL of 5% (w/v) trichloroacetic acid (TCA), followed by b</w:t>
      </w:r>
      <w:r>
        <w:t>ath sonication at 90˚C for 3 h</w:t>
      </w:r>
      <w:r w:rsidRPr="00470A7D">
        <w:t>.  The resuspended material was then centrifuged (10,000</w:t>
      </w:r>
      <w:r w:rsidR="003C1AB1" w:rsidRPr="003C1AB1">
        <w:rPr>
          <w:i/>
        </w:rPr>
        <w:t>xg</w:t>
      </w:r>
      <w:r w:rsidRPr="00470A7D">
        <w:t>, 10 min, 4˚C) and the supernatant collected for subsequent determination of insoluble carbohydrate, while the pellet was resuspended in  3 m</w:t>
      </w:r>
      <w:r>
        <w:t>L 1N NaOH, and stored for 16 h</w:t>
      </w:r>
      <w:r w:rsidRPr="00470A7D">
        <w:t xml:space="preserve"> at 4˚C.  Following solubilizat</w:t>
      </w:r>
      <w:r>
        <w:t>i</w:t>
      </w:r>
      <w:r w:rsidRPr="00470A7D">
        <w:t xml:space="preserve">on in base, the biomass fraction was neutralized with 3 mL 1N HCl, and centrifuged.  The fraction of insoluble proteins was then determined from the supernatant using the BCA method as described previously.  </w:t>
      </w:r>
    </w:p>
    <w:p w:rsidR="00C72B9A" w:rsidRDefault="00C72B9A" w:rsidP="00470A7D">
      <w:pPr>
        <w:spacing w:line="480" w:lineRule="auto"/>
        <w:jc w:val="both"/>
      </w:pPr>
      <w:r>
        <w:rPr>
          <w:i/>
        </w:rPr>
        <w:t xml:space="preserve">Biomass composition: </w:t>
      </w:r>
      <w:r w:rsidRPr="00470A7D">
        <w:rPr>
          <w:i/>
        </w:rPr>
        <w:t>Carbohydrate content</w:t>
      </w:r>
      <w:r>
        <w:rPr>
          <w:i/>
        </w:rPr>
        <w:t>.</w:t>
      </w:r>
      <w:r>
        <w:t xml:space="preserve">  </w:t>
      </w:r>
      <w:r w:rsidRPr="00470A7D">
        <w:t xml:space="preserve">Determination of soluble and insoluble carbohydrates was performed using the colorimetric phenol-sulfuric acid method using </w:t>
      </w:r>
      <w:r>
        <w:t xml:space="preserve">a </w:t>
      </w:r>
      <w:r w:rsidRPr="00470A7D">
        <w:t>D-glucose standard</w:t>
      </w:r>
      <w:r>
        <w:t xml:space="preserve"> </w:t>
      </w:r>
      <w:r>
        <w:rPr>
          <w:noProof/>
        </w:rPr>
        <w:t>(Kochert 1991)</w:t>
      </w:r>
      <w:r w:rsidRPr="00470A7D">
        <w:t>.  Prior to analysis, proteins were removed from the solubilized biomass by precipitation using TCA and sodium</w:t>
      </w:r>
      <w:r>
        <w:t xml:space="preserve"> deoxycholate (DOC) </w:t>
      </w:r>
      <w:r>
        <w:rPr>
          <w:noProof/>
        </w:rPr>
        <w:t>(Clayton et al. 1988)</w:t>
      </w:r>
      <w:r w:rsidRPr="00470A7D">
        <w:t>.  Specifically, 400 µL of 1.4M TCA and 50µL of 9mM DOC were added to 5 mL of the PBS supernatant (from section 2.2.1), incubated at room temperature for 10 min and subsequently centrifuged (7500</w:t>
      </w:r>
      <w:r w:rsidR="003C1AB1" w:rsidRPr="003C1AB1">
        <w:rPr>
          <w:i/>
        </w:rPr>
        <w:t>xg</w:t>
      </w:r>
      <w:r w:rsidRPr="00470A7D">
        <w:t>, 10 min, 4º C).  Insoluble carbohydrates were extracted from the supernatant after removal of the structural pro</w:t>
      </w:r>
      <w:r>
        <w:t xml:space="preserve">teins (described above), according to established protocols </w:t>
      </w:r>
      <w:r>
        <w:rPr>
          <w:noProof/>
        </w:rPr>
        <w:t>(Bird 1982)</w:t>
      </w:r>
      <w:r w:rsidRPr="00470A7D">
        <w:t xml:space="preserve">.  For quantification of both the insoluble and soluble carbohydrate fractions, 250 µL of the samples were combined with 500 µL of 4% aqueous </w:t>
      </w:r>
      <w:r w:rsidRPr="00470A7D">
        <w:lastRenderedPageBreak/>
        <w:t>phenol and 1.25 mL of 12N H</w:t>
      </w:r>
      <w:r w:rsidRPr="00470A7D">
        <w:rPr>
          <w:vertAlign w:val="subscript"/>
        </w:rPr>
        <w:t>2</w:t>
      </w:r>
      <w:r w:rsidRPr="00470A7D">
        <w:t>SO</w:t>
      </w:r>
      <w:r w:rsidRPr="00470A7D">
        <w:rPr>
          <w:vertAlign w:val="subscript"/>
        </w:rPr>
        <w:t>4</w:t>
      </w:r>
      <w:r w:rsidRPr="00470A7D">
        <w:t xml:space="preserve">, incubated for 10 min in the dark and the absorbance was </w:t>
      </w:r>
      <w:r>
        <w:t>measured</w:t>
      </w:r>
      <w:r w:rsidRPr="00470A7D">
        <w:t xml:space="preserve"> at 487 nm.  No indication</w:t>
      </w:r>
      <w:r>
        <w:t>s</w:t>
      </w:r>
      <w:r w:rsidRPr="00470A7D">
        <w:t xml:space="preserve"> of false-positives for carbohydrate w</w:t>
      </w:r>
      <w:r>
        <w:t>ere observed by the presence of glycerol in</w:t>
      </w:r>
      <w:r w:rsidRPr="00470A7D">
        <w:t xml:space="preserve"> control samples.  </w:t>
      </w:r>
    </w:p>
    <w:p w:rsidR="00C72B9A" w:rsidRPr="003F103C" w:rsidRDefault="00C72B9A" w:rsidP="003F103C">
      <w:pPr>
        <w:spacing w:line="480" w:lineRule="auto"/>
        <w:jc w:val="both"/>
      </w:pPr>
      <w:r>
        <w:rPr>
          <w:i/>
        </w:rPr>
        <w:t xml:space="preserve">Biomass composition: </w:t>
      </w:r>
      <w:r w:rsidRPr="003F103C">
        <w:rPr>
          <w:i/>
        </w:rPr>
        <w:t>Total lipid content</w:t>
      </w:r>
      <w:r>
        <w:rPr>
          <w:i/>
        </w:rPr>
        <w:t>.</w:t>
      </w:r>
      <w:r>
        <w:t xml:space="preserve">  </w:t>
      </w:r>
      <w:r w:rsidRPr="003F103C">
        <w:t xml:space="preserve">Lipids, including triacylglycerol, polar (membrane) lipids, and pigments were extracted </w:t>
      </w:r>
      <w:r>
        <w:t xml:space="preserve">according to </w:t>
      </w:r>
      <w:r>
        <w:rPr>
          <w:noProof/>
        </w:rPr>
        <w:t>Folch et al. (1957)</w:t>
      </w:r>
      <w:r w:rsidRPr="003F103C">
        <w:t>.  Specifically, 10 mL of 2:1 (v/v) chloroform-methanol was added to 200 mg of lyophilized biomass and placed on a shaker table (240 rpm) for 15 min.  The lipid phase was then separated from the extracted biomass in a funnel (retaining any persistent emulsion) and dried to completion under a stream of dry N</w:t>
      </w:r>
      <w:r w:rsidRPr="003F103C">
        <w:rPr>
          <w:vertAlign w:val="subscript"/>
        </w:rPr>
        <w:t xml:space="preserve">2 </w:t>
      </w:r>
      <w:r w:rsidRPr="003F103C">
        <w:t>follow</w:t>
      </w:r>
      <w:r>
        <w:t>ed by vacuum desiccation (16 h</w:t>
      </w:r>
      <w:r w:rsidRPr="003F103C">
        <w:t xml:space="preserve">, 30ºC).  The total lipid content was then </w:t>
      </w:r>
      <w:r>
        <w:t>determined</w:t>
      </w:r>
      <w:r w:rsidRPr="003F103C">
        <w:t xml:space="preserve"> gravimetrically.  For mass balance considerations, the quantities of chlorophylls and carotenoids (discussed below) were subtracted from the total lipid content for each sample.</w:t>
      </w:r>
    </w:p>
    <w:p w:rsidR="00C72B9A" w:rsidRDefault="00C72B9A" w:rsidP="003F103C">
      <w:pPr>
        <w:spacing w:line="480" w:lineRule="auto"/>
        <w:jc w:val="both"/>
      </w:pPr>
      <w:r>
        <w:rPr>
          <w:i/>
        </w:rPr>
        <w:t xml:space="preserve">Biomass composition: </w:t>
      </w:r>
      <w:r w:rsidRPr="003F103C">
        <w:rPr>
          <w:i/>
        </w:rPr>
        <w:t>Chlorophyll and carotenoid content</w:t>
      </w:r>
      <w:r>
        <w:rPr>
          <w:i/>
        </w:rPr>
        <w:t>.</w:t>
      </w:r>
      <w:r>
        <w:t xml:space="preserve">  </w:t>
      </w:r>
      <w:r w:rsidRPr="003F103C">
        <w:t xml:space="preserve">Determination of the chlorophyll and carotenoid pigments content was performed spectrophotometrically following methanol extraction, using </w:t>
      </w:r>
      <w:r>
        <w:t xml:space="preserve">consistent equations </w:t>
      </w:r>
      <w:r>
        <w:rPr>
          <w:noProof/>
        </w:rPr>
        <w:t>(Ritchie 2006; Ritchie 2008)</w:t>
      </w:r>
      <w:r>
        <w:t xml:space="preserve"> for chlorophyll</w:t>
      </w:r>
      <w:r w:rsidRPr="003F103C">
        <w:t xml:space="preserve">, and </w:t>
      </w:r>
      <w:r>
        <w:t xml:space="preserve">carotenoids </w:t>
      </w:r>
      <w:r>
        <w:rPr>
          <w:noProof/>
        </w:rPr>
        <w:t>(Lichtenthaler and Wellburn 1983)</w:t>
      </w:r>
      <w:r w:rsidRPr="003F103C">
        <w:t>, respectively.  Specifically, 3 mL analytical grade methanol (Sigma) was added to 10 mg lyophilized biomass in a shatter-proof and sealable container.  The samples were then heated to 60° C and briefly vortex mixed, followed by 6 cycles of freeze-thaw.  Freeze-thaw cycles were performed by alternating between liquid N</w:t>
      </w:r>
      <w:r w:rsidRPr="003F103C">
        <w:rPr>
          <w:vertAlign w:val="subscript"/>
        </w:rPr>
        <w:t>2</w:t>
      </w:r>
      <w:r w:rsidRPr="003F103C">
        <w:t xml:space="preserve"> and 60° C sonication baths upon visual inspection of solid-liquid phase change behavior, with brief vortex mixing between each transition.  The cell suspensions were then centrifuged (7500</w:t>
      </w:r>
      <w:r w:rsidR="003C1AB1" w:rsidRPr="003C1AB1">
        <w:rPr>
          <w:i/>
        </w:rPr>
        <w:t>xg</w:t>
      </w:r>
      <w:r w:rsidRPr="003F103C">
        <w:t xml:space="preserve">, 4 min, room temp.) and the supernatant retained for UV-VIS absorbance measurements. Absorbance values </w:t>
      </w:r>
      <w:r>
        <w:t>measured</w:t>
      </w:r>
      <w:r w:rsidRPr="003F103C">
        <w:t xml:space="preserve"> at 665 nm and 470 nm were subsequently used to determine the concentrations of chlorophyll and</w:t>
      </w:r>
      <w:r>
        <w:t xml:space="preserve"> carotenoid.</w:t>
      </w:r>
    </w:p>
    <w:p w:rsidR="00C72B9A" w:rsidRDefault="00C72B9A" w:rsidP="009F6498">
      <w:pPr>
        <w:spacing w:line="480" w:lineRule="auto"/>
        <w:jc w:val="both"/>
      </w:pPr>
      <w:r>
        <w:rPr>
          <w:i/>
        </w:rPr>
        <w:lastRenderedPageBreak/>
        <w:t xml:space="preserve">Biomass composition: </w:t>
      </w:r>
      <w:r w:rsidRPr="009F6498">
        <w:rPr>
          <w:i/>
        </w:rPr>
        <w:t>Glycerol content</w:t>
      </w:r>
      <w:r>
        <w:rPr>
          <w:i/>
        </w:rPr>
        <w:t>.</w:t>
      </w:r>
      <w:r>
        <w:t xml:space="preserve">  </w:t>
      </w:r>
      <w:r w:rsidRPr="009F6498">
        <w:t>Determination of glycerol content w</w:t>
      </w:r>
      <w:r>
        <w:t xml:space="preserve">as according to methods established for </w:t>
      </w:r>
      <w:r w:rsidRPr="00245566">
        <w:rPr>
          <w:i/>
        </w:rPr>
        <w:t>Dunaliella</w:t>
      </w:r>
      <w:r>
        <w:t xml:space="preserve"> </w:t>
      </w:r>
      <w:r>
        <w:rPr>
          <w:noProof/>
        </w:rPr>
        <w:t>(Chitlaru and Pick 1989)</w:t>
      </w:r>
      <w:r w:rsidRPr="009F6498">
        <w:t xml:space="preserve"> using a glycerol standard.  Specifically, 2 mL of periodate reagent (65 mg NaIO</w:t>
      </w:r>
      <w:r w:rsidR="003C1AB1" w:rsidRPr="003C1AB1">
        <w:rPr>
          <w:vertAlign w:val="subscript"/>
        </w:rPr>
        <w:t>4</w:t>
      </w:r>
      <w:r w:rsidRPr="009F6498">
        <w:t>, 10 mL glacial acetic acid, 7.7 g ammonium acetate), and 5 mL of acetylacetone reagent (2.5 mL acetylacetone, 247.5 mL isopropanol) were added to 2.5 mg of lyophilized biomass and agitated for 30 min at 45ºC.   After cooling to room temp the absorbance of the sample was recorded at 4</w:t>
      </w:r>
      <w:r>
        <w:t>10 nm.</w:t>
      </w:r>
      <w:r w:rsidRPr="009F6498">
        <w:t xml:space="preserve">   </w:t>
      </w:r>
    </w:p>
    <w:p w:rsidR="00C72B9A" w:rsidRDefault="00C72B9A" w:rsidP="009F6498">
      <w:pPr>
        <w:spacing w:line="480" w:lineRule="auto"/>
        <w:jc w:val="both"/>
      </w:pPr>
      <w:r w:rsidRPr="009F6498">
        <w:rPr>
          <w:i/>
        </w:rPr>
        <w:t>Culture pH and nitrate consumption</w:t>
      </w:r>
      <w:r w:rsidR="00625FC0">
        <w:rPr>
          <w:i/>
        </w:rPr>
        <w:t>.</w:t>
      </w:r>
      <w:r>
        <w:t xml:space="preserve">  </w:t>
      </w:r>
      <w:r w:rsidRPr="009F6498">
        <w:t>The bulk pH and nitrate concentrations of each of the cultures were measured at each of the sample intervals for integration with the data matrix.  pH was measured using a standard calibrated pH/conductivity meter (</w:t>
      </w:r>
      <w:smartTag w:uri="urn:schemas-microsoft-com:office:smarttags" w:element="place">
        <w:smartTag w:uri="urn:schemas-microsoft-com:office:smarttags" w:element="City">
          <w:r w:rsidRPr="009F6498">
            <w:t>Orion</w:t>
          </w:r>
        </w:smartTag>
        <w:r w:rsidRPr="009F6498">
          <w:t xml:space="preserve">, </w:t>
        </w:r>
        <w:smartTag w:uri="urn:schemas-microsoft-com:office:smarttags" w:element="country-region">
          <w:r w:rsidRPr="009F6498">
            <w:t>USA</w:t>
          </w:r>
        </w:smartTag>
      </w:smartTag>
      <w:r w:rsidRPr="009F6498">
        <w:t>).  Nitrate concentration was measured using a DJM Micro Nitrate ISE (Lazar Research Laboratories, Inc., USA) in conjunction with a double junction reference electrode filled with a 0.1 M Lithium acetate solution.  An ionic strength adjuster (ISA) was employed at 1:1 volume ratio with the freshly collected algae sample to minimize interference from chloride ion in the media.  The ISA was comprised of 60.3 mM K</w:t>
      </w:r>
      <w:r w:rsidRPr="009F6498">
        <w:rPr>
          <w:vertAlign w:val="subscript"/>
        </w:rPr>
        <w:t>2</w:t>
      </w:r>
      <w:r w:rsidRPr="009F6498">
        <w:t>SO</w:t>
      </w:r>
      <w:r w:rsidRPr="009F6498">
        <w:rPr>
          <w:vertAlign w:val="subscript"/>
        </w:rPr>
        <w:t>4</w:t>
      </w:r>
      <w:r w:rsidRPr="009F6498">
        <w:t xml:space="preserve"> (Sigma) and 10 mM Ag</w:t>
      </w:r>
      <w:r w:rsidRPr="009F6498">
        <w:rPr>
          <w:vertAlign w:val="subscript"/>
        </w:rPr>
        <w:t>2</w:t>
      </w:r>
      <w:r w:rsidRPr="009F6498">
        <w:t>SO</w:t>
      </w:r>
      <w:r w:rsidRPr="009F6498">
        <w:rPr>
          <w:vertAlign w:val="subscript"/>
        </w:rPr>
        <w:t xml:space="preserve">4 </w:t>
      </w:r>
      <w:r w:rsidRPr="009F6498">
        <w:t>(Sigma), and adjusted to pH 2.75 with 0.1 M H</w:t>
      </w:r>
      <w:r w:rsidRPr="009F6498">
        <w:rPr>
          <w:vertAlign w:val="subscript"/>
        </w:rPr>
        <w:t>2</w:t>
      </w:r>
      <w:r w:rsidRPr="009F6498">
        <w:t>SO</w:t>
      </w:r>
      <w:r w:rsidRPr="009F6498">
        <w:rPr>
          <w:vertAlign w:val="subscript"/>
        </w:rPr>
        <w:t>4</w:t>
      </w:r>
      <w:r w:rsidRPr="009F6498">
        <w:t>.  Standard curves for nitrate were generated for each of the salinity adjusted media using media controls spanning a range of NaNO</w:t>
      </w:r>
      <w:r w:rsidRPr="009F6498">
        <w:rPr>
          <w:vertAlign w:val="subscript"/>
        </w:rPr>
        <w:t>3</w:t>
      </w:r>
      <w:r w:rsidRPr="009F6498">
        <w:t xml:space="preserve"> from 0-3 mM.  Quantitation of nitrate uptake (Δ[NO</w:t>
      </w:r>
      <w:r w:rsidRPr="009F6498">
        <w:rPr>
          <w:vertAlign w:val="subscript"/>
        </w:rPr>
        <w:t>3</w:t>
      </w:r>
      <w:r w:rsidRPr="009F6498">
        <w:rPr>
          <w:vertAlign w:val="superscript"/>
        </w:rPr>
        <w:t>-</w:t>
      </w:r>
      <w:r w:rsidRPr="009F6498">
        <w:t xml:space="preserve">]) was performed by comparing readings made immediately following re-addition of medium and at the subsequent harvest interval.   </w:t>
      </w:r>
    </w:p>
    <w:p w:rsidR="00C72B9A" w:rsidRDefault="00C72B9A" w:rsidP="006D5B28">
      <w:pPr>
        <w:spacing w:line="480" w:lineRule="auto"/>
        <w:jc w:val="both"/>
      </w:pPr>
      <w:r w:rsidRPr="006D5B28">
        <w:rPr>
          <w:i/>
        </w:rPr>
        <w:t>Flow cytometry</w:t>
      </w:r>
      <w:r w:rsidR="00625FC0">
        <w:rPr>
          <w:i/>
        </w:rPr>
        <w:t>.</w:t>
      </w:r>
      <w:r>
        <w:t xml:space="preserve">  </w:t>
      </w:r>
      <w:r w:rsidRPr="006D5B28">
        <w:t>Flow cytometric assays, including assessment of whole cell vs. debris content,</w:t>
      </w:r>
      <w:r>
        <w:t xml:space="preserve"> cell size, cellular granularity</w:t>
      </w:r>
      <w:r w:rsidRPr="006D5B28">
        <w:t>, relative chlorophyll a/b content, relative carotenoid c</w:t>
      </w:r>
      <w:r>
        <w:t>ontent, relative TAG content by Nile Red</w:t>
      </w:r>
      <w:r w:rsidRPr="006D5B28">
        <w:t xml:space="preserve"> </w:t>
      </w:r>
      <w:r>
        <w:t>(9-(diethylamino)-5H-benzo[a]phenoxazin-5-one</w:t>
      </w:r>
      <w:r w:rsidRPr="006D5B28">
        <w:t>)</w:t>
      </w:r>
      <w:r>
        <w:t xml:space="preserve"> </w:t>
      </w:r>
      <w:r>
        <w:rPr>
          <w:noProof/>
        </w:rPr>
        <w:t>(Cooksey et al. 1987)</w:t>
      </w:r>
      <w:r w:rsidRPr="006D5B28">
        <w:t>, intracellular calcium content by Fura-Red</w:t>
      </w:r>
      <w:r>
        <w:t xml:space="preserve"> AM (Glycine, N-[2-[(acetyloxy)methoxy]-2-oxoethyl]-N-[5-[2-[2-[bis[2-[(acetyloxy)methoxy]-2-oxoethyl]amino]-5-methylphenoxy]ethoxy]-2-[(5-oxo-2-thioxo-4-imidazolidinylidene)methyl]-6-benzofuranyl]-, (acetyloxy)methyl ester)) </w:t>
      </w:r>
      <w:r>
        <w:rPr>
          <w:noProof/>
        </w:rPr>
        <w:t xml:space="preserve">(Novak and </w:t>
      </w:r>
      <w:r>
        <w:rPr>
          <w:noProof/>
        </w:rPr>
        <w:lastRenderedPageBreak/>
        <w:t>Rabinovitch 1994)</w:t>
      </w:r>
      <w:r w:rsidRPr="006D5B28">
        <w:t>, and intracellular pH by</w:t>
      </w:r>
      <w:r>
        <w:t xml:space="preserve"> SNARF-1</w:t>
      </w:r>
      <w:r w:rsidRPr="006D5B28">
        <w:t xml:space="preserve"> </w:t>
      </w:r>
      <w:r>
        <w:t>(carboxy-seminaphthorhodafluor</w:t>
      </w:r>
      <w:r w:rsidRPr="006D5B28">
        <w:t>)</w:t>
      </w:r>
      <w:r>
        <w:t xml:space="preserve"> </w:t>
      </w:r>
      <w:r>
        <w:rPr>
          <w:noProof/>
        </w:rPr>
        <w:t>(Wieder et al. 1993)</w:t>
      </w:r>
      <w:r w:rsidRPr="006D5B28">
        <w:t xml:space="preserve"> were performed using an Accuri C6 Flow Cytometer (BD Biosciences).  </w:t>
      </w:r>
      <w:r>
        <w:t xml:space="preserve">Measurements were performed using sheath fluids with a range of NaCl from 0 to 2.5 M.   </w:t>
      </w:r>
      <w:r w:rsidRPr="006D5B28">
        <w:t xml:space="preserve">Calibration of the forward scatter </w:t>
      </w:r>
      <w:r>
        <w:t xml:space="preserve">(FSC) </w:t>
      </w:r>
      <w:r w:rsidRPr="006D5B28">
        <w:t>detector channel was performed using the following sizes of fluorescent polystyrene beads (FluoSpheres, Invitrogen, USA) suspended in double distilled filtered (20 nm, Whatman, USA) water: 2.0 µm, 7.52 µm, 9.7 µm, and 15.41 µm.  Calibration of the fluorescence detector channels was performed using constant diameter (3 µm), 8-intensity level fluorescent validation beads (Spherotech, BD Bioscience).  Following dark adaptation, staining, and pipette stirring, measurements were performed at a flow velocity of 35 µL</w:t>
      </w:r>
      <w:r w:rsidR="00625FC0">
        <w:t xml:space="preserve"> </w:t>
      </w:r>
      <w:r w:rsidRPr="006D5B28">
        <w:t>min</w:t>
      </w:r>
      <w:r w:rsidR="003C1AB1" w:rsidRPr="003C1AB1">
        <w:rPr>
          <w:vertAlign w:val="superscript"/>
        </w:rPr>
        <w:t>-1</w:t>
      </w:r>
      <w:r w:rsidRPr="006D5B28">
        <w:t>, corresponding to a core</w:t>
      </w:r>
      <w:r>
        <w:t xml:space="preserve"> flow diameter of 16 µm, with </w:t>
      </w:r>
      <w:r w:rsidRPr="006D5B28">
        <w:t>instrumental gating</w:t>
      </w:r>
      <w:r>
        <w:t xml:space="preserve"> imposed at forward scatter values of &lt;100 (i.e. below the nominal detection limit of the instrument)</w:t>
      </w:r>
      <w:r w:rsidRPr="006D5B28">
        <w:t>.  Analysis of the data was performed using software provided by Accuri or by the FloJo software package (Tree Star, Inc.).</w:t>
      </w:r>
      <w:r>
        <w:t xml:space="preserve">  Particle diameters were determined from FSC intensity and comparison to signals obtained by the polystyrene beads.  Relative cellular granularity was determined by from the side scatter (SSC) intensity.  Relative chlorophyll b content was determined by the FL3 fluorescence intensity (excitation wavelength: 488 nm, emission filter: &gt;670 nm ) and relative chlorophyll a content was determine by the FL4 fluorescence intensity (excitation wavelength: 640 nm, emission filter 675±12.5 nm).  Relative carotenoid content was determined by the FL2 fluorescence intensity (</w:t>
      </w:r>
      <w:r w:rsidRPr="006D5B28">
        <w:t>excitation wavelength: 488 nm, emission filter: 585±20 nm)</w:t>
      </w:r>
      <w:r>
        <w:t xml:space="preserve">.  Estimation of cellular debris in the medium relative to intact cells was obtained from 2D scatter plots of FSC and chlorophyll a (FL4) intensity, with particles not belonging to the dominant cell population counted as debris.  This debris count was corrected by subtracting average counts in the non-cell region from data collected using sterile filtered medium appropriate for the specified culture condition for the same amount of time that data was collected on the algal populations (1 </w:t>
      </w:r>
      <w:r>
        <w:lastRenderedPageBreak/>
        <w:t xml:space="preserve">minute).  </w:t>
      </w:r>
      <w:r w:rsidRPr="006D5B28">
        <w:t>Nile Red staining was performed by adding 5 µL</w:t>
      </w:r>
      <w:r w:rsidR="00625FC0">
        <w:t xml:space="preserve"> </w:t>
      </w:r>
      <w:r w:rsidRPr="006D5B28">
        <w:t>mL</w:t>
      </w:r>
      <w:r w:rsidR="003C1AB1" w:rsidRPr="003C1AB1">
        <w:rPr>
          <w:vertAlign w:val="superscript"/>
        </w:rPr>
        <w:t>-1</w:t>
      </w:r>
      <w:r w:rsidRPr="006D5B28">
        <w:t xml:space="preserve"> sample of 5 </w:t>
      </w:r>
      <w:r w:rsidR="00313DB5" w:rsidRPr="00313DB5">
        <w:t>µL mL</w:t>
      </w:r>
      <w:r w:rsidR="00313DB5" w:rsidRPr="00313DB5">
        <w:rPr>
          <w:vertAlign w:val="superscript"/>
        </w:rPr>
        <w:t>-1</w:t>
      </w:r>
      <w:r w:rsidR="00313DB5" w:rsidRPr="00313DB5">
        <w:t xml:space="preserve"> </w:t>
      </w:r>
      <w:r w:rsidRPr="006D5B28">
        <w:t xml:space="preserve">as an acetone bolus 10 min prior to the beginning of a measurement.  Nile Red fluorescence intensities </w:t>
      </w:r>
      <w:r>
        <w:t>were recorded in the FL2</w:t>
      </w:r>
      <w:r w:rsidRPr="006D5B28">
        <w:t xml:space="preserve"> </w:t>
      </w:r>
      <w:r>
        <w:t xml:space="preserve">detector channel </w:t>
      </w:r>
      <w:r w:rsidRPr="006D5B28">
        <w:t>and corrected by subtracting fluorescence detected in that channel from unstained cells.  Fura-Red staining was performed by solubilizing 50 µg the acetomethoxy ester (Fura-Red AM, Life Technologies) in 20 µL of reagent grade DMSO and subsequently combining this dye solution with 980 µL of a 10% (w/v) 0.2</w:t>
      </w:r>
      <w:r>
        <w:t xml:space="preserve"> </w:t>
      </w:r>
      <w:r w:rsidRPr="006D5B28">
        <w:t>µm-filtered aqueous Pluronic-127 solution at 40ºC, followed by  intermittent vortexing for ~1 min.  50 µL of the resulting fluorescent stain was then added to 225 µL of algae cell suspension (final [Fura-Red] = 10 µM) and incubated for 30 min at 27º C prior to analysis.  Fura-Red fluorescence intensities w</w:t>
      </w:r>
      <w:r>
        <w:t>ere recorded in the</w:t>
      </w:r>
      <w:r w:rsidRPr="006D5B28">
        <w:t xml:space="preserve"> FL1 detector channel (excitation wavelength: 488 nm, emission filter: 510±15 nm) and corrected by subtracting fluorescence detected in that channel from unstained cells.  SNARF-1 staining was performed by solubilizing 50 µg the acetomethoxy ester (SNARF-1 AM, Life Technologies) in 20 µL of reagent grade DMSO and subsequently combining this dye solution with 980 µL of a 10% (w/v) 0.2 µm-filtered aqueous Pluronic-127 solution at 40ºC, followed by  intermittent vortexing for ~1 min.  25 µL of the resulting fluorescent stain was then added to 225 µL of algae cell suspension (final [SNARF-1] = 10 µM) and incubated for 30 min at 27º C prior to analysis.  SNARF-1 ratiometric fluorescence intensities w</w:t>
      </w:r>
      <w:r>
        <w:t>ere recorded in the</w:t>
      </w:r>
      <w:r w:rsidRPr="006D5B28">
        <w:t xml:space="preserve"> FL2 and FL3 detector channels, and corrected by subtracting </w:t>
      </w:r>
      <w:r>
        <w:t xml:space="preserve">the average </w:t>
      </w:r>
      <w:r w:rsidRPr="006D5B28">
        <w:t xml:space="preserve">fluorescence </w:t>
      </w:r>
      <w:r>
        <w:t xml:space="preserve">intensity </w:t>
      </w:r>
      <w:r w:rsidRPr="006D5B28">
        <w:t xml:space="preserve">detected in these channels from unstained cells. </w:t>
      </w:r>
      <w:r>
        <w:t>Final pH values from the SNARF-1 ratiometric fluorescence intensities were obtained by comparison to literature values.</w:t>
      </w:r>
    </w:p>
    <w:p w:rsidR="00C72B9A" w:rsidRDefault="00C72B9A" w:rsidP="006D5B28">
      <w:pPr>
        <w:spacing w:line="480" w:lineRule="auto"/>
        <w:jc w:val="both"/>
      </w:pPr>
      <w:r w:rsidRPr="006D5B28">
        <w:rPr>
          <w:i/>
        </w:rPr>
        <w:t>Excitation modulated fluorescence</w:t>
      </w:r>
      <w:r w:rsidR="00313DB5">
        <w:rPr>
          <w:i/>
        </w:rPr>
        <w:t>.</w:t>
      </w:r>
      <w:r>
        <w:t xml:space="preserve">  Estimation of photosystem parameters was performed as described previously according to a Stern-Volmer process </w:t>
      </w:r>
      <w:r>
        <w:rPr>
          <w:noProof/>
        </w:rPr>
        <w:t>(Kramer et al. 2004; Schreiber 2004)</w:t>
      </w:r>
      <w:r>
        <w:t>.</w:t>
      </w:r>
    </w:p>
    <w:p w:rsidR="00CF4618" w:rsidRDefault="00C72B9A">
      <w:pPr>
        <w:spacing w:after="200" w:line="276" w:lineRule="auto"/>
        <w:jc w:val="both"/>
        <w:rPr>
          <w:rFonts w:eastAsiaTheme="minorEastAsia"/>
        </w:rPr>
      </w:pPr>
      <w:r w:rsidRPr="00415A83">
        <w:rPr>
          <w:rFonts w:eastAsiaTheme="minorHAnsi"/>
        </w:rPr>
        <w:t xml:space="preserve">The maximum PSII quantum yield </w:t>
      </w:r>
      <w:r>
        <w:rPr>
          <w:rFonts w:eastAsiaTheme="minorHAnsi"/>
        </w:rPr>
        <w:t>[</w:t>
      </w:r>
      <w:r>
        <w:rPr>
          <w:rFonts w:eastAsiaTheme="minorHAnsi"/>
          <w:i/>
        </w:rPr>
        <w:t>Y</w:t>
      </w:r>
      <w:r w:rsidRPr="0052775E">
        <w:rPr>
          <w:rFonts w:eastAsiaTheme="minorHAnsi"/>
          <w:i/>
          <w:vertAlign w:val="superscript"/>
        </w:rPr>
        <w:t>max</w:t>
      </w:r>
      <w:r>
        <w:rPr>
          <w:rFonts w:eastAsiaTheme="minorHAnsi"/>
          <w:i/>
        </w:rPr>
        <w:t>(II)</w:t>
      </w:r>
      <w:r w:rsidRPr="0052775E">
        <w:rPr>
          <w:rFonts w:eastAsiaTheme="minorHAnsi"/>
        </w:rPr>
        <w:t>]</w:t>
      </w:r>
      <w:r w:rsidRPr="00415A83">
        <w:rPr>
          <w:rFonts w:eastAsiaTheme="minorHAnsi"/>
        </w:rPr>
        <w:t xml:space="preserve"> is obtained from the equation,</w:t>
      </w:r>
      <w:r w:rsidR="00313DB5">
        <w:rPr>
          <w:rFonts w:eastAsiaTheme="minorHAnsi"/>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max</m:t>
            </m:r>
          </m:sup>
        </m:sSup>
        <m:d>
          <m:dPr>
            <m:ctrlPr>
              <w:rPr>
                <w:rFonts w:ascii="Cambria Math" w:eastAsiaTheme="minorEastAsia" w:hAnsi="Cambria Math"/>
                <w:i/>
              </w:rPr>
            </m:ctrlPr>
          </m:dPr>
          <m:e>
            <m:r>
              <w:rPr>
                <w:rFonts w:ascii="Cambria Math" w:eastAsiaTheme="minorEastAsia" w:hAnsi="Cambria Math"/>
              </w:rPr>
              <m:t>II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oMath>
      <w:r w:rsidRPr="00415A83">
        <w:rPr>
          <w:rFonts w:eastAsiaTheme="minorEastAsia"/>
        </w:rPr>
        <w:t>.</w:t>
      </w:r>
    </w:p>
    <w:p w:rsidR="00CF4618" w:rsidRDefault="00C72B9A">
      <w:pPr>
        <w:spacing w:after="200" w:line="480" w:lineRule="auto"/>
        <w:jc w:val="both"/>
        <w:rPr>
          <w:rFonts w:eastAsiaTheme="minorEastAsia"/>
        </w:rPr>
      </w:pPr>
      <w:r w:rsidRPr="00415A83">
        <w:rPr>
          <w:rFonts w:eastAsiaTheme="minorEastAsia"/>
        </w:rPr>
        <w:lastRenderedPageBreak/>
        <w:t xml:space="preserve">Following the initial PAR exposure, the subsequent elevated photon flux provides the effective PSII quantum yield, </w:t>
      </w:r>
      <w:r w:rsidRPr="00415A83">
        <w:rPr>
          <w:rFonts w:eastAsiaTheme="minorEastAsia"/>
          <w:i/>
        </w:rPr>
        <w:t>Y(II)</w:t>
      </w:r>
      <w:r w:rsidRPr="00415A83">
        <w:rPr>
          <w:rFonts w:eastAsiaTheme="minorEastAsia"/>
        </w:rPr>
        <w:t xml:space="preserve">, obtained by the previous expression, with </w:t>
      </w:r>
      <w:r w:rsidRPr="00415A83">
        <w:rPr>
          <w:rFonts w:eastAsiaTheme="minorEastAsia"/>
          <w:i/>
        </w:rPr>
        <w:t>F</w:t>
      </w:r>
      <w:r w:rsidRPr="00415A83">
        <w:rPr>
          <w:rFonts w:eastAsiaTheme="minorEastAsia"/>
          <w:i/>
          <w:vertAlign w:val="subscript"/>
        </w:rPr>
        <w:t>m</w:t>
      </w:r>
      <w:r w:rsidRPr="00415A83">
        <w:rPr>
          <w:rFonts w:eastAsiaTheme="minorEastAsia"/>
          <w:i/>
        </w:rPr>
        <w:t xml:space="preserve"> = F</w:t>
      </w:r>
      <w:r w:rsidRPr="00415A83">
        <w:rPr>
          <w:rFonts w:eastAsiaTheme="minorEastAsia"/>
          <w:i/>
          <w:vertAlign w:val="subscript"/>
        </w:rPr>
        <w:t>m</w:t>
      </w:r>
      <w:r w:rsidRPr="00415A83">
        <w:rPr>
          <w:rFonts w:eastAsiaTheme="minorEastAsia"/>
          <w:i/>
        </w:rPr>
        <w:t>’</w:t>
      </w:r>
      <w:r w:rsidRPr="00415A83">
        <w:rPr>
          <w:rFonts w:eastAsiaTheme="minorEastAsia"/>
        </w:rPr>
        <w:t>, i</w:t>
      </w:r>
      <w:r>
        <w:rPr>
          <w:rFonts w:eastAsiaTheme="minorEastAsia"/>
        </w:rPr>
        <w:t>.</w:t>
      </w:r>
      <w:r w:rsidRPr="00415A83">
        <w:rPr>
          <w:rFonts w:eastAsiaTheme="minorEastAsia"/>
        </w:rPr>
        <w:t xml:space="preserve">e. the modified </w:t>
      </w:r>
      <w:r w:rsidRPr="00415A83">
        <w:rPr>
          <w:rFonts w:eastAsiaTheme="minorEastAsia"/>
          <w:i/>
        </w:rPr>
        <w:t>F</w:t>
      </w:r>
      <w:r w:rsidRPr="00415A83">
        <w:rPr>
          <w:rFonts w:eastAsiaTheme="minorEastAsia"/>
          <w:i/>
          <w:vertAlign w:val="subscript"/>
        </w:rPr>
        <w:t>m</w:t>
      </w:r>
      <w:r w:rsidRPr="00415A83">
        <w:rPr>
          <w:rFonts w:eastAsiaTheme="minorEastAsia"/>
        </w:rPr>
        <w:t xml:space="preserve"> obtained at the fluorescence plateau during the second saturation pulse, and </w:t>
      </w:r>
      <w:r w:rsidRPr="00415A83">
        <w:rPr>
          <w:rFonts w:eastAsiaTheme="minorEastAsia"/>
          <w:i/>
        </w:rPr>
        <w:t>F</w:t>
      </w:r>
      <w:r w:rsidRPr="00415A83">
        <w:rPr>
          <w:rFonts w:eastAsiaTheme="minorEastAsia"/>
          <w:i/>
          <w:vertAlign w:val="subscript"/>
        </w:rPr>
        <w:t>0</w:t>
      </w:r>
      <w:r w:rsidRPr="00415A83">
        <w:rPr>
          <w:rFonts w:eastAsiaTheme="minorEastAsia"/>
        </w:rPr>
        <w:t xml:space="preserve"> = </w:t>
      </w:r>
      <w:r w:rsidRPr="00415A83">
        <w:rPr>
          <w:rFonts w:eastAsiaTheme="minorEastAsia"/>
          <w:i/>
        </w:rPr>
        <w:t xml:space="preserve">F, </w:t>
      </w:r>
      <w:r w:rsidRPr="00415A83">
        <w:rPr>
          <w:rFonts w:eastAsiaTheme="minorEastAsia"/>
        </w:rPr>
        <w:t>i</w:t>
      </w:r>
      <w:r>
        <w:rPr>
          <w:rFonts w:eastAsiaTheme="minorEastAsia"/>
        </w:rPr>
        <w:t>.</w:t>
      </w:r>
      <w:r w:rsidRPr="00415A83">
        <w:rPr>
          <w:rFonts w:eastAsiaTheme="minorEastAsia"/>
        </w:rPr>
        <w:t xml:space="preserve">e. the modified </w:t>
      </w:r>
      <w:r w:rsidRPr="00415A83">
        <w:rPr>
          <w:rFonts w:eastAsiaTheme="minorEastAsia"/>
          <w:i/>
        </w:rPr>
        <w:t>F</w:t>
      </w:r>
      <w:r w:rsidRPr="00415A83">
        <w:rPr>
          <w:rFonts w:eastAsiaTheme="minorEastAsia"/>
          <w:i/>
          <w:vertAlign w:val="subscript"/>
        </w:rPr>
        <w:t>0</w:t>
      </w:r>
      <w:r w:rsidRPr="00415A83">
        <w:rPr>
          <w:rFonts w:eastAsiaTheme="minorEastAsia"/>
        </w:rPr>
        <w:t xml:space="preserve"> obtained under increased, physio</w:t>
      </w:r>
      <w:r>
        <w:rPr>
          <w:rFonts w:eastAsiaTheme="minorEastAsia"/>
        </w:rPr>
        <w:t>logically relevant PAR intensities</w:t>
      </w:r>
      <w:r w:rsidRPr="00415A83">
        <w:rPr>
          <w:rFonts w:eastAsiaTheme="minorEastAsia"/>
        </w:rPr>
        <w:t xml:space="preserve">.  The non-photochemical quenching parameter, </w:t>
      </w:r>
      <w:r w:rsidRPr="00415A83">
        <w:rPr>
          <w:rFonts w:eastAsiaTheme="minorEastAsia"/>
          <w:i/>
        </w:rPr>
        <w:t>NPQ</w:t>
      </w:r>
      <w:r w:rsidRPr="00415A83">
        <w:rPr>
          <w:rFonts w:eastAsiaTheme="minorEastAsia"/>
        </w:rPr>
        <w:t>, is calculated according to a diffusion-limited Stern-Volmer quenching mechanism using the aforementioned fluorescence parameters according to the equation,</w:t>
      </w:r>
      <w:r w:rsidR="00656692">
        <w:rPr>
          <w:rFonts w:eastAsiaTheme="minorEastAsia"/>
        </w:rPr>
        <w:t xml:space="preserve"> </w:t>
      </w:r>
      <m:oMath>
        <m:r>
          <w:rPr>
            <w:rFonts w:ascii="Cambria Math" w:eastAsiaTheme="minorEastAsia" w:hAnsi="Cambria Math"/>
          </w:rPr>
          <m:t>PQ=(</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r>
          <w:rPr>
            <w:rFonts w:ascii="Cambria Math" w:eastAsiaTheme="minorEastAsia" w:hAnsi="Cambria Math"/>
          </w:rPr>
          <m:t>'</m:t>
        </m:r>
      </m:oMath>
      <w:r w:rsidRPr="00415A83">
        <w:rPr>
          <w:rFonts w:eastAsiaTheme="minorEastAsia"/>
        </w:rPr>
        <w:t xml:space="preserve"> .</w:t>
      </w:r>
    </w:p>
    <w:p w:rsidR="00CF4618" w:rsidRDefault="00C72B9A">
      <w:pPr>
        <w:spacing w:after="200" w:line="480" w:lineRule="auto"/>
        <w:jc w:val="both"/>
        <w:rPr>
          <w:rFonts w:eastAsiaTheme="minorEastAsia"/>
        </w:rPr>
      </w:pPr>
      <w:r w:rsidRPr="00415A83">
        <w:rPr>
          <w:rFonts w:eastAsiaTheme="minorEastAsia"/>
        </w:rPr>
        <w:t xml:space="preserve">The effective PSII quantum yield, </w:t>
      </w:r>
      <w:r w:rsidRPr="00415A83">
        <w:rPr>
          <w:rFonts w:eastAsiaTheme="minorEastAsia"/>
          <w:i/>
        </w:rPr>
        <w:t>Y(II)</w:t>
      </w:r>
      <w:r w:rsidRPr="00415A83">
        <w:rPr>
          <w:rFonts w:eastAsiaTheme="minorEastAsia"/>
        </w:rPr>
        <w:t xml:space="preserve">, sums to unity with the regulated, </w:t>
      </w:r>
      <w:r w:rsidRPr="00415A83">
        <w:rPr>
          <w:rFonts w:eastAsiaTheme="minorEastAsia"/>
          <w:i/>
        </w:rPr>
        <w:t>Y(NPQ)</w:t>
      </w:r>
      <w:r w:rsidRPr="00415A83">
        <w:rPr>
          <w:rFonts w:eastAsiaTheme="minorEastAsia"/>
        </w:rPr>
        <w:t xml:space="preserve">, and unregulated, </w:t>
      </w:r>
      <w:r w:rsidRPr="00415A83">
        <w:rPr>
          <w:rFonts w:eastAsiaTheme="minorEastAsia"/>
          <w:i/>
        </w:rPr>
        <w:t>Y(NO)</w:t>
      </w:r>
      <w:r w:rsidRPr="00415A83">
        <w:rPr>
          <w:rFonts w:eastAsiaTheme="minorEastAsia"/>
        </w:rPr>
        <w:t xml:space="preserve">, energy dissipation mechanisms to account for the PAR absorption in PSII.   The coefficient of photochemical quenching, </w:t>
      </w:r>
      <w:r w:rsidRPr="00415A83">
        <w:rPr>
          <w:rFonts w:eastAsiaTheme="minorEastAsia"/>
          <w:i/>
        </w:rPr>
        <w:t>qL</w:t>
      </w:r>
      <w:r w:rsidRPr="00415A83">
        <w:rPr>
          <w:rFonts w:eastAsiaTheme="minorEastAsia"/>
        </w:rPr>
        <w:t xml:space="preserve">, required for differentiation of the two energy dissipation mechanisms is obtained following exposure to the far red illumination to obtain the minimal fluorescence yield, </w:t>
      </w:r>
      <w:r w:rsidRPr="00415A83">
        <w:rPr>
          <w:rFonts w:eastAsiaTheme="minorEastAsia"/>
          <w:i/>
        </w:rPr>
        <w:t>F</w:t>
      </w:r>
      <w:r w:rsidRPr="00415A83">
        <w:rPr>
          <w:rFonts w:eastAsiaTheme="minorEastAsia"/>
          <w:i/>
          <w:vertAlign w:val="subscript"/>
        </w:rPr>
        <w:t>0</w:t>
      </w:r>
      <w:r w:rsidRPr="00415A83">
        <w:rPr>
          <w:rFonts w:eastAsiaTheme="minorEastAsia"/>
          <w:i/>
        </w:rPr>
        <w:t>’</w:t>
      </w:r>
      <w:r w:rsidRPr="00415A83">
        <w:rPr>
          <w:rFonts w:eastAsiaTheme="minorEastAsia"/>
        </w:rPr>
        <w:t>, and the aforementioned effective PSII quantum yield parameters according to the equation,</w:t>
      </w:r>
      <w:r w:rsidR="00656692">
        <w:rPr>
          <w:rFonts w:eastAsiaTheme="minorEastAsia"/>
        </w:rPr>
        <w:t xml:space="preserve"> </w:t>
      </w:r>
      <m:oMath>
        <m:r>
          <w:rPr>
            <w:rFonts w:ascii="Cambria Math" w:eastAsiaTheme="minorHAnsi" w:hAnsi="Cambria Math"/>
          </w:rPr>
          <m:t>qL=</m:t>
        </m:r>
        <m:sSubSup>
          <m:sSubSupPr>
            <m:ctrlPr>
              <w:rPr>
                <w:rFonts w:ascii="Cambria Math" w:eastAsiaTheme="minorHAnsi" w:hAnsi="Cambria Math"/>
                <w:i/>
              </w:rPr>
            </m:ctrlPr>
          </m:sSubSupPr>
          <m:e>
            <m:r>
              <w:rPr>
                <w:rFonts w:ascii="Cambria Math" w:eastAsiaTheme="minorHAnsi" w:hAnsi="Cambria Math"/>
              </w:rPr>
              <m:t>F</m:t>
            </m:r>
          </m:e>
          <m:sub>
            <m:r>
              <w:rPr>
                <w:rFonts w:ascii="Cambria Math" w:eastAsiaTheme="minorHAnsi" w:hAnsi="Cambria Math"/>
              </w:rPr>
              <m:t>0</m:t>
            </m:r>
          </m:sub>
          <m:sup>
            <m:r>
              <w:rPr>
                <w:rFonts w:ascii="Cambria Math" w:eastAsiaTheme="minorHAnsi" w:hAnsi="Cambria Math"/>
              </w:rPr>
              <m:t>'</m:t>
            </m:r>
          </m:sup>
        </m:sSubSup>
        <m:r>
          <w:rPr>
            <w:rFonts w:ascii="Cambria Math" w:eastAsiaTheme="minorHAnsi" w:hAnsi="Cambria Math"/>
          </w:rPr>
          <m:t>(</m:t>
        </m:r>
        <m:sSubSup>
          <m:sSubSupPr>
            <m:ctrlPr>
              <w:rPr>
                <w:rFonts w:ascii="Cambria Math" w:eastAsiaTheme="minorHAnsi" w:hAnsi="Cambria Math"/>
                <w:i/>
              </w:rPr>
            </m:ctrlPr>
          </m:sSubSupPr>
          <m:e>
            <m:r>
              <w:rPr>
                <w:rFonts w:ascii="Cambria Math" w:eastAsiaTheme="minorHAnsi" w:hAnsi="Cambria Math"/>
              </w:rPr>
              <m:t>F</m:t>
            </m:r>
          </m:e>
          <m:sub>
            <m:r>
              <w:rPr>
                <w:rFonts w:ascii="Cambria Math" w:eastAsiaTheme="minorHAnsi" w:hAnsi="Cambria Math"/>
              </w:rPr>
              <m:t>m</m:t>
            </m:r>
          </m:sub>
          <m:sup>
            <m:r>
              <w:rPr>
                <w:rFonts w:ascii="Cambria Math" w:eastAsiaTheme="minorHAnsi" w:hAnsi="Cambria Math"/>
              </w:rPr>
              <m:t>'</m:t>
            </m:r>
          </m:sup>
        </m:sSubSup>
        <m:r>
          <w:rPr>
            <w:rFonts w:ascii="Cambria Math" w:eastAsiaTheme="minorHAnsi" w:hAnsi="Cambria Math"/>
          </w:rPr>
          <m:t>-F)/(F</m:t>
        </m:r>
        <m:sSubSup>
          <m:sSubSupPr>
            <m:ctrlPr>
              <w:rPr>
                <w:rFonts w:ascii="Cambria Math" w:eastAsiaTheme="minorHAnsi" w:hAnsi="Cambria Math"/>
                <w:i/>
              </w:rPr>
            </m:ctrlPr>
          </m:sSubSupPr>
          <m:e>
            <m:r>
              <w:rPr>
                <w:rFonts w:ascii="Cambria Math" w:eastAsiaTheme="minorHAnsi" w:hAnsi="Cambria Math"/>
              </w:rPr>
              <m:t>F</m:t>
            </m:r>
          </m:e>
          <m:sub>
            <m:r>
              <w:rPr>
                <w:rFonts w:ascii="Cambria Math" w:eastAsiaTheme="minorHAnsi" w:hAnsi="Cambria Math"/>
              </w:rPr>
              <m:t>m</m:t>
            </m:r>
          </m:sub>
          <m:sup>
            <m:r>
              <w:rPr>
                <w:rFonts w:ascii="Cambria Math" w:eastAsiaTheme="minorHAnsi" w:hAnsi="Cambria Math"/>
              </w:rPr>
              <m:t>'</m:t>
            </m:r>
          </m:sup>
        </m:sSubSup>
        <m:r>
          <w:rPr>
            <w:rFonts w:ascii="Cambria Math" w:eastAsiaTheme="minorHAnsi" w:hAnsi="Cambria Math"/>
          </w:rPr>
          <m:t>-F</m:t>
        </m:r>
        <m:sSubSup>
          <m:sSubSupPr>
            <m:ctrlPr>
              <w:rPr>
                <w:rFonts w:ascii="Cambria Math" w:eastAsiaTheme="minorHAnsi" w:hAnsi="Cambria Math"/>
                <w:i/>
              </w:rPr>
            </m:ctrlPr>
          </m:sSubSupPr>
          <m:e>
            <m:r>
              <w:rPr>
                <w:rFonts w:ascii="Cambria Math" w:eastAsiaTheme="minorHAnsi" w:hAnsi="Cambria Math"/>
              </w:rPr>
              <m:t>F</m:t>
            </m:r>
          </m:e>
          <m:sub>
            <m:r>
              <w:rPr>
                <w:rFonts w:ascii="Cambria Math" w:eastAsiaTheme="minorHAnsi" w:hAnsi="Cambria Math"/>
              </w:rPr>
              <m:t>0</m:t>
            </m:r>
          </m:sub>
          <m:sup>
            <m:r>
              <w:rPr>
                <w:rFonts w:ascii="Cambria Math" w:eastAsiaTheme="minorHAnsi" w:hAnsi="Cambria Math"/>
              </w:rPr>
              <m:t>'</m:t>
            </m:r>
          </m:sup>
        </m:sSubSup>
        <m:r>
          <w:rPr>
            <w:rFonts w:ascii="Cambria Math" w:eastAsiaTheme="minorHAnsi" w:hAnsi="Cambria Math"/>
          </w:rPr>
          <m:t>)</m:t>
        </m:r>
      </m:oMath>
    </w:p>
    <w:p w:rsidR="00C72B9A" w:rsidRDefault="00C72B9A" w:rsidP="00EC3EF1">
      <w:pPr>
        <w:spacing w:after="200" w:line="480" w:lineRule="auto"/>
        <w:jc w:val="both"/>
        <w:rPr>
          <w:rFonts w:eastAsiaTheme="minorEastAsia"/>
        </w:rPr>
      </w:pPr>
      <w:r w:rsidRPr="00415A83">
        <w:rPr>
          <w:rFonts w:eastAsiaTheme="minorEastAsia"/>
        </w:rPr>
        <w:t xml:space="preserve">Finally, </w:t>
      </w:r>
      <w:r w:rsidRPr="00415A83">
        <w:rPr>
          <w:rFonts w:eastAsiaTheme="minorEastAsia"/>
          <w:i/>
        </w:rPr>
        <w:t>Y(NO)</w:t>
      </w:r>
      <w:r w:rsidRPr="00415A83">
        <w:rPr>
          <w:rFonts w:eastAsiaTheme="minorEastAsia"/>
        </w:rPr>
        <w:t xml:space="preserve"> and </w:t>
      </w:r>
      <w:r w:rsidRPr="00415A83">
        <w:rPr>
          <w:rFonts w:eastAsiaTheme="minorEastAsia"/>
          <w:i/>
        </w:rPr>
        <w:t>Y(NPQ)</w:t>
      </w:r>
      <w:r w:rsidRPr="00415A83">
        <w:rPr>
          <w:rFonts w:eastAsiaTheme="minorEastAsia"/>
        </w:rPr>
        <w:t xml:space="preserve"> are calculated using the following equation, and by incorporating the unity constrain among these parameters and </w:t>
      </w:r>
      <w:r w:rsidRPr="00415A83">
        <w:rPr>
          <w:rFonts w:eastAsiaTheme="minorEastAsia"/>
          <w:i/>
        </w:rPr>
        <w:t>Y(II)</w:t>
      </w:r>
      <w:r w:rsidRPr="00415A83">
        <w:rPr>
          <w:rFonts w:eastAsiaTheme="minorEastAsia"/>
        </w:rPr>
        <w:t xml:space="preserve">. </w:t>
      </w:r>
    </w:p>
    <w:p w:rsidR="00C72B9A" w:rsidRPr="00EC3EF1" w:rsidRDefault="000B70D5" w:rsidP="00EC3EF1">
      <w:pPr>
        <w:spacing w:after="200" w:line="480" w:lineRule="auto"/>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NO</m:t>
                  </m:r>
                </m:e>
              </m:d>
              <m:r>
                <w:rPr>
                  <w:rFonts w:ascii="Cambria Math" w:eastAsiaTheme="minorEastAsia" w:hAnsi="Cambria Math"/>
                </w:rPr>
                <m:t>=(1+NPQ+qL</m:t>
              </m:r>
              <m:d>
                <m:dPr>
                  <m:ctrlPr>
                    <w:rPr>
                      <w:rFonts w:ascii="Cambria Math" w:eastAsiaTheme="minorEastAsia" w:hAnsi="Cambria Math"/>
                      <w:i/>
                    </w:rPr>
                  </m:ctrlPr>
                </m:dPr>
                <m:e>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den>
                  </m:f>
                  <m:r>
                    <w:rPr>
                      <w:rFonts w:ascii="Cambria Math" w:eastAsiaTheme="minorEastAsia" w:hAnsi="Cambria Math"/>
                    </w:rPr>
                    <m:t>-1</m:t>
                  </m:r>
                </m:e>
              </m:d>
              <m:r>
                <w:rPr>
                  <w:rFonts w:ascii="Cambria Math" w:eastAsiaTheme="minorEastAsia" w:hAnsi="Cambria Math"/>
                </w:rPr>
                <m:t>)</m:t>
              </m:r>
            </m:e>
            <m:sup>
              <m:r>
                <w:rPr>
                  <w:rFonts w:ascii="Cambria Math" w:eastAsiaTheme="minorEastAsia" w:hAnsi="Cambria Math"/>
                </w:rPr>
                <m:t>-1</m:t>
              </m:r>
            </m:sup>
          </m:sSup>
        </m:oMath>
      </m:oMathPara>
    </w:p>
    <w:p w:rsidR="00C72B9A" w:rsidRPr="001E2EBE" w:rsidRDefault="00C72B9A" w:rsidP="001E2EBE">
      <w:pPr>
        <w:pStyle w:val="Default"/>
        <w:spacing w:line="480" w:lineRule="auto"/>
        <w:jc w:val="both"/>
        <w:rPr>
          <w:rFonts w:ascii="Times New Roman" w:hAnsi="Times New Roman" w:cs="Times New Roman"/>
        </w:rPr>
      </w:pPr>
      <w:r w:rsidRPr="001E2EBE">
        <w:rPr>
          <w:rFonts w:ascii="Times New Roman" w:hAnsi="Times New Roman" w:cs="Times New Roman"/>
        </w:rPr>
        <w:t>The aforementioned photosynthetic param</w:t>
      </w:r>
      <w:r>
        <w:rPr>
          <w:rFonts w:ascii="Times New Roman" w:hAnsi="Times New Roman" w:cs="Times New Roman"/>
        </w:rPr>
        <w:t>e</w:t>
      </w:r>
      <w:r w:rsidRPr="001E2EBE">
        <w:rPr>
          <w:rFonts w:ascii="Times New Roman" w:hAnsi="Times New Roman" w:cs="Times New Roman"/>
        </w:rPr>
        <w:t>ters and photosynthetically induced NAD(P)</w:t>
      </w:r>
      <w:r w:rsidRPr="001E2EBE">
        <w:rPr>
          <w:rFonts w:ascii="Times New Roman" w:hAnsi="Times New Roman" w:cs="Times New Roman"/>
          <w:vertAlign w:val="superscript"/>
        </w:rPr>
        <w:t>+</w:t>
      </w:r>
      <w:r>
        <w:rPr>
          <w:rFonts w:ascii="Times New Roman" w:hAnsi="Times New Roman" w:cs="Times New Roman"/>
        </w:rPr>
        <w:t xml:space="preserve">  /</w:t>
      </w:r>
      <w:r w:rsidRPr="001E2EBE">
        <w:rPr>
          <w:rFonts w:ascii="Times New Roman" w:hAnsi="Times New Roman" w:cs="Times New Roman"/>
        </w:rPr>
        <w:t xml:space="preserve">NAD(P)H redox turnover [ΔNAD(P)H] were measured using a Pulse Amplitude Modulated (PAM) fluorimeter (Dual PAM-100, Walz, Germany).  In the present study, data was collected using the rapid light curve (or RLC) routine </w:t>
      </w:r>
      <w:r w:rsidRPr="001E2EBE">
        <w:rPr>
          <w:rFonts w:ascii="Times New Roman" w:hAnsi="Times New Roman" w:cs="Times New Roman"/>
          <w:noProof/>
        </w:rPr>
        <w:t>(White and Critchley 1999)</w:t>
      </w:r>
      <w:r w:rsidRPr="001E2EBE">
        <w:rPr>
          <w:rFonts w:ascii="Times New Roman" w:hAnsi="Times New Roman" w:cs="Times New Roman"/>
        </w:rPr>
        <w:t xml:space="preserve">.   Chlorophyll fluorescence (700±20 nm) </w:t>
      </w:r>
      <w:r>
        <w:rPr>
          <w:rFonts w:ascii="Times New Roman" w:hAnsi="Times New Roman" w:cs="Times New Roman"/>
        </w:rPr>
        <w:t xml:space="preserve">was detected in response to the </w:t>
      </w:r>
      <w:r w:rsidRPr="001E2EBE">
        <w:rPr>
          <w:rFonts w:ascii="Times New Roman" w:hAnsi="Times New Roman" w:cs="Times New Roman"/>
        </w:rPr>
        <w:t xml:space="preserve">measuring light and ~1 ms duration saturation pulses applied following exposure to stepped increases of actinic excitation intensity (635 nm, </w:t>
      </w:r>
      <w:r w:rsidRPr="001E2EBE">
        <w:rPr>
          <w:rFonts w:ascii="Times New Roman" w:eastAsiaTheme="minorEastAsia" w:hAnsi="Times New Roman" w:cs="Times New Roman"/>
        </w:rPr>
        <w:t>steppi</w:t>
      </w:r>
      <w:r>
        <w:rPr>
          <w:rFonts w:ascii="Times New Roman" w:eastAsiaTheme="minorEastAsia" w:hAnsi="Times New Roman" w:cs="Times New Roman"/>
        </w:rPr>
        <w:t>ng increments = 50, 100, 150, 275</w:t>
      </w:r>
      <w:r w:rsidRPr="001E2EBE">
        <w:rPr>
          <w:rFonts w:ascii="Times New Roman" w:eastAsiaTheme="minorEastAsia" w:hAnsi="Times New Roman" w:cs="Times New Roman"/>
        </w:rPr>
        <w:t>, 450, 650, 1050, 1600 µ</w:t>
      </w:r>
      <w:r>
        <w:rPr>
          <w:rFonts w:ascii="Times New Roman" w:eastAsiaTheme="minorEastAsia" w:hAnsi="Times New Roman" w:cs="Times New Roman"/>
        </w:rPr>
        <w:t>mol photons</w:t>
      </w:r>
      <w:r w:rsidRPr="001E2EBE">
        <w:rPr>
          <w:rFonts w:ascii="Times New Roman" w:eastAsiaTheme="minorEastAsia" w:hAnsi="Times New Roman" w:cs="Times New Roman"/>
        </w:rPr>
        <w:t xml:space="preserve"> m</w:t>
      </w:r>
      <w:r w:rsidRPr="001E2EBE">
        <w:rPr>
          <w:rFonts w:ascii="Times New Roman" w:eastAsiaTheme="minorEastAsia" w:hAnsi="Times New Roman" w:cs="Times New Roman"/>
          <w:vertAlign w:val="superscript"/>
        </w:rPr>
        <w:t>-2</w:t>
      </w:r>
      <w:r w:rsidRPr="001E2EBE">
        <w:rPr>
          <w:rFonts w:ascii="Times New Roman" w:eastAsiaTheme="minorEastAsia" w:hAnsi="Times New Roman" w:cs="Times New Roman"/>
        </w:rPr>
        <w:t xml:space="preserve"> sec</w:t>
      </w:r>
      <w:r w:rsidRPr="001E2EBE">
        <w:rPr>
          <w:rFonts w:ascii="Times New Roman" w:eastAsiaTheme="minorEastAsia" w:hAnsi="Times New Roman" w:cs="Times New Roman"/>
          <w:vertAlign w:val="superscript"/>
        </w:rPr>
        <w:t>-1</w:t>
      </w:r>
      <w:r w:rsidRPr="001E2EBE">
        <w:rPr>
          <w:rFonts w:ascii="Times New Roman" w:hAnsi="Times New Roman" w:cs="Times New Roman"/>
        </w:rPr>
        <w:t>) over ~5 minutes</w:t>
      </w:r>
      <w:r>
        <w:rPr>
          <w:rFonts w:ascii="Times New Roman" w:hAnsi="Times New Roman" w:cs="Times New Roman"/>
        </w:rPr>
        <w:t>, immediately</w:t>
      </w:r>
      <w:r w:rsidRPr="001E2EBE">
        <w:rPr>
          <w:rFonts w:ascii="Times New Roman" w:hAnsi="Times New Roman" w:cs="Times New Roman"/>
        </w:rPr>
        <w:t xml:space="preserve"> followed by far red illumination for 30 </w:t>
      </w:r>
      <w:r w:rsidRPr="001E2EBE">
        <w:rPr>
          <w:rFonts w:ascii="Times New Roman" w:hAnsi="Times New Roman" w:cs="Times New Roman"/>
        </w:rPr>
        <w:lastRenderedPageBreak/>
        <w:t>sec (760 nm)</w:t>
      </w:r>
      <w:r w:rsidRPr="001E2EBE">
        <w:t xml:space="preserve">. </w:t>
      </w:r>
      <w:r>
        <w:t xml:space="preserve"> </w:t>
      </w:r>
      <w:r w:rsidRPr="001E2EBE">
        <w:rPr>
          <w:rFonts w:ascii="Times New Roman" w:hAnsi="Times New Roman" w:cs="Times New Roman"/>
        </w:rPr>
        <w:t>Measurement of NAD(P)H flux was performed using a similar routine, however, NAD(P)H fluorescence was excited at 365 nm and detected at 485±65 nm during the course of the RLS scan. Prior to all measurements, the algae suspensions were dark adapted for 15 min and briefly pipette stirred.</w:t>
      </w:r>
    </w:p>
    <w:p w:rsidR="00C72B9A" w:rsidRPr="0021386A" w:rsidRDefault="00C72B9A" w:rsidP="006D5B28">
      <w:pPr>
        <w:spacing w:line="480" w:lineRule="auto"/>
        <w:jc w:val="both"/>
        <w:rPr>
          <w:b/>
        </w:rPr>
      </w:pPr>
      <w:r w:rsidRPr="0021386A">
        <w:rPr>
          <w:b/>
        </w:rPr>
        <w:t>Results</w:t>
      </w:r>
    </w:p>
    <w:p w:rsidR="00C72B9A" w:rsidRDefault="00C72B9A" w:rsidP="00D45039">
      <w:pPr>
        <w:spacing w:line="480" w:lineRule="auto"/>
        <w:jc w:val="both"/>
      </w:pPr>
      <w:r w:rsidRPr="00FF7B1F">
        <w:rPr>
          <w:i/>
        </w:rPr>
        <w:t xml:space="preserve">Dunaliella </w:t>
      </w:r>
      <w:r>
        <w:rPr>
          <w:i/>
        </w:rPr>
        <w:t>viridis</w:t>
      </w:r>
      <w:r>
        <w:t xml:space="preserve"> cells cultured in the various photo-osmotic conditions were characterized using confocal fluorescence hyperspectral imaging to couple the compositional variation and photosynthetic and biochemical indicators with spectroscopic signatures and spatial data, including cell size and morphology.  Figure 1 provides representative images (A) and a corresponding set of spectrally unmixed fluorescence components (B) obtained from batch processing of the aggregated imaging data using MCR.    </w:t>
      </w:r>
    </w:p>
    <w:p w:rsidR="00E823E9" w:rsidRDefault="00E823E9" w:rsidP="00E823E9">
      <w:pPr>
        <w:spacing w:line="480" w:lineRule="auto"/>
        <w:jc w:val="both"/>
      </w:pPr>
      <w:r w:rsidRPr="002142E6">
        <w:rPr>
          <w:b/>
        </w:rPr>
        <w:t>Figure 1.</w:t>
      </w:r>
      <w:r>
        <w:t xml:space="preserve">  Hyperspectral confocal fluorescence images of </w:t>
      </w:r>
      <w:r w:rsidRPr="002142E6">
        <w:rPr>
          <w:i/>
        </w:rPr>
        <w:t xml:space="preserve">D. </w:t>
      </w:r>
      <w:r>
        <w:rPr>
          <w:i/>
        </w:rPr>
        <w:t>viridis</w:t>
      </w:r>
      <w:r>
        <w:t xml:space="preserve"> adapted to a variety of photo-osmotic conditions.  A.)  Representative hemispherical sections of individual </w:t>
      </w:r>
      <w:r w:rsidRPr="002142E6">
        <w:rPr>
          <w:i/>
        </w:rPr>
        <w:t xml:space="preserve">D. </w:t>
      </w:r>
      <w:r>
        <w:rPr>
          <w:i/>
        </w:rPr>
        <w:t>viridis</w:t>
      </w:r>
      <w:r>
        <w:t xml:space="preserve"> cells depicting phenotypic variations dictated by the various salinity and PAR illumination regimes. B.)  Fluorescence emission components obtained by MCR analysis and used for intensity mapping of the cells depicted in part A.     </w:t>
      </w:r>
    </w:p>
    <w:p w:rsidR="00E823E9" w:rsidRDefault="00E823E9" w:rsidP="00D45039">
      <w:pPr>
        <w:spacing w:line="480" w:lineRule="auto"/>
        <w:jc w:val="both"/>
      </w:pPr>
    </w:p>
    <w:p w:rsidR="00C72B9A" w:rsidRDefault="00C72B9A" w:rsidP="00D45039">
      <w:pPr>
        <w:spacing w:line="480" w:lineRule="auto"/>
        <w:jc w:val="both"/>
      </w:pPr>
      <w:r>
        <w:t xml:space="preserve">The intensity images in figure 1A were generated according to the relative abundance of the spectral components shown in figure 1B.  Two distinct spectral features dominate the emission spectrum for all of the </w:t>
      </w:r>
      <w:r w:rsidRPr="00191C69">
        <w:rPr>
          <w:i/>
        </w:rPr>
        <w:t xml:space="preserve">D. </w:t>
      </w:r>
      <w:r>
        <w:rPr>
          <w:i/>
        </w:rPr>
        <w:t>viridis</w:t>
      </w:r>
      <w:r>
        <w:t xml:space="preserve"> imaging data, denoted as ‘chloroplast’ and ‘carotenoid’ in figure 1B.  The chloroplast spectral component (green) is characterized by a high intensity Chl</w:t>
      </w:r>
      <w:r w:rsidRPr="00070C1F">
        <w:rPr>
          <w:i/>
        </w:rPr>
        <w:t>-a</w:t>
      </w:r>
      <w:r>
        <w:rPr>
          <w:i/>
        </w:rPr>
        <w:t xml:space="preserve"> </w:t>
      </w:r>
      <w:r>
        <w:t xml:space="preserve">photosystem emission (peak at ~680 nm) colocalized with low levels of carotenoid emission; the carotenoid spectral component (red) is characterized by a minor, but broad chlorophyll fluorescence (~660-680 nm) with high levels of carotenoid emission (~520-600 nm).   The sharp peaks within these spectra are not due to noise; instead they are a </w:t>
      </w:r>
      <w:r>
        <w:lastRenderedPageBreak/>
        <w:t xml:space="preserve">result of resonance enhanced Raman scattering.  Typically, Raman bands would not be observed in a fluorescence measurement; however, resonance enhancement arising from absorption of the excitation laser near the electronic transition of the carotenoids is sufficient to amplify a subset of Raman-active modes by several orders of magnitude </w:t>
      </w:r>
      <w:r>
        <w:rPr>
          <w:noProof/>
        </w:rPr>
        <w:t>(Robert 1999)</w:t>
      </w:r>
      <w:r>
        <w:t>.  Specifically, these bands were assigned to three major vibrational modes of carotenoids, the C=C stretch (1529±10 cm</w:t>
      </w:r>
      <w:r w:rsidRPr="004C52AA">
        <w:rPr>
          <w:vertAlign w:val="superscript"/>
        </w:rPr>
        <w:t>-1</w:t>
      </w:r>
      <w:r>
        <w:rPr>
          <w:vertAlign w:val="superscript"/>
        </w:rPr>
        <w:t xml:space="preserve"> </w:t>
      </w:r>
      <w:r w:rsidRPr="00B17F02">
        <w:t>or</w:t>
      </w:r>
      <w:r>
        <w:t xml:space="preserve"> 527 nm), the C-C stretch (1157±10 cm</w:t>
      </w:r>
      <w:r w:rsidRPr="004C52AA">
        <w:rPr>
          <w:vertAlign w:val="superscript"/>
        </w:rPr>
        <w:t>-1</w:t>
      </w:r>
      <w:r>
        <w:t xml:space="preserve"> or 519 nm), and a C-C bend (1004±10 cm</w:t>
      </w:r>
      <w:r w:rsidRPr="0012667F">
        <w:rPr>
          <w:vertAlign w:val="superscript"/>
        </w:rPr>
        <w:t>-1</w:t>
      </w:r>
      <w:r>
        <w:t xml:space="preserve"> or 514 nm).  Although progressive shifts in the wavenumber of the C=C stretching band are correlated to increased polyene chain length, deviations in the exact frequency shift should be expected by interactions with the host matrix </w:t>
      </w:r>
      <w:r>
        <w:rPr>
          <w:noProof/>
        </w:rPr>
        <w:t>(de Oliveira et al. 2010)</w:t>
      </w:r>
      <w:r>
        <w:t xml:space="preserve">.  In addition to providing indication of the relative abundance and cellular localization of these spectral components, the data also provide an estimate of cell size and granularity for subsequent data interpretation.  </w:t>
      </w:r>
    </w:p>
    <w:p w:rsidR="00C72B9A" w:rsidRDefault="00C72B9A" w:rsidP="00C53F54">
      <w:pPr>
        <w:spacing w:line="480" w:lineRule="auto"/>
        <w:jc w:val="both"/>
      </w:pPr>
      <w:r>
        <w:t xml:space="preserve">    </w:t>
      </w:r>
      <w:r>
        <w:tab/>
        <w:t xml:space="preserve">Semi-continuous harvesting of the </w:t>
      </w:r>
      <w:r w:rsidRPr="00F560F4">
        <w:rPr>
          <w:i/>
        </w:rPr>
        <w:t xml:space="preserve">D. </w:t>
      </w:r>
      <w:r>
        <w:rPr>
          <w:i/>
        </w:rPr>
        <w:t>viridis</w:t>
      </w:r>
      <w:r>
        <w:t xml:space="preserve"> biomass at log phase was achieved using a calibration data set collected from initial cultures representing each condition in the photo-osmotic adaptation matrix.  Combining cell counts with the effective cell diameters obtained from fluorescence imaging data allowed prediction of the total biomass from the bulk spectrophotometric data (see figure 2).   Correlation of the </w:t>
      </w:r>
      <w:r w:rsidR="00656692">
        <w:t xml:space="preserve">haemocytometry </w:t>
      </w:r>
      <w:r>
        <w:t xml:space="preserve">and flow cytometry data yielded nearly identical total cell counts (data not shown), however the standard deviation values of the </w:t>
      </w:r>
      <w:r w:rsidR="00656692">
        <w:t xml:space="preserve">haemocytometry </w:t>
      </w:r>
      <w:r>
        <w:t>data was significantly higher, therefore flow cytometry was chosen as the method of choice for linear regression analysis with VIS-NIR.  Figure 2A depicts the correlation between the near IR attenuation and cell counts obtained from flow cytometry for each of the serially diluted cultures.  For all conditions tested R</w:t>
      </w:r>
      <w:r w:rsidRPr="004F4292">
        <w:rPr>
          <w:vertAlign w:val="superscript"/>
        </w:rPr>
        <w:t>2</w:t>
      </w:r>
      <w:r>
        <w:t xml:space="preserve"> &gt; 0.99 were obtained, however, significant differences were observed in the slopes of the various culture conditions, indicating significant differences in the optical attenuation profile of the cells.  Examination of the extrema of the near IR attenuation per cell (viz. </w:t>
      </w:r>
      <w:r>
        <w:lastRenderedPageBreak/>
        <w:t>HLxMS and HLxLS) suggest that the cell count predicted by the 800 nm optical densities varies by up to ~300% based on physiological changes introduced by the combination of salinity and PAR intensity investigated here.  This deviation in the near IR attenuation per cell is nearly identical to the ratios of cell volumes observed from the confocal microscopy studies.  In figure 2B the volume of the native (hydrated) biomass was calculated by multiplying the cell counts with the average cell volumes and correlated to the near IR attenuation for the undiluted log-phase cultures.  In this case, regression analysis indicates a linear trend for an increasing volume fraction of the biomass with increasing 800 nm optical density (R</w:t>
      </w:r>
      <w:r w:rsidRPr="00FC6570">
        <w:rPr>
          <w:vertAlign w:val="superscript"/>
        </w:rPr>
        <w:t>2</w:t>
      </w:r>
      <w:r>
        <w:t xml:space="preserve">=0.946).  Together these data suggest that despite substantial differences in cell size and biochemical composition, near IR attenuation is nonetheless a consistent indicator for total biomass accumulation.  A primary implication of this finding is that water content in the cells is largely invariant despite the aforementioned biochemical and morphological differences.  This finding is corroborated by measurements of AFDW of the aggregated samples (see Table 2).  It is noteworthy, however, that the HLxHS culture deviates somewhat from the general trend observed in the other culture conditions.  Specifically, </w:t>
      </w:r>
      <w:r>
        <w:rPr>
          <w:i/>
        </w:rPr>
        <w:t>D. viridis</w:t>
      </w:r>
      <w:r>
        <w:t xml:space="preserve"> cultured under these conditions shows generally higher near IR attenuation per unit biomass, likely linked to increased pigment absorptions in this spectral region.  Comparison of these data to calculations of the Mie scattering profile of a simplified microalgae model </w:t>
      </w:r>
      <w:r>
        <w:rPr>
          <w:noProof/>
        </w:rPr>
        <w:t>(Quirantes and Bernard 2004)</w:t>
      </w:r>
      <w:r>
        <w:t xml:space="preserve"> based on the observed variations in the effective cell diameters predicts a 180 – 240% increase in the near IR scattering profile over a refractive index difference range of 0.06 – 0.26.   Comparison of these calculated changes with respect to the experimentally observed ~300% increase in near IR attenuation suggests that diffuse scatter is responsible for ~60 – 80% of the observed optical attenuation at 800 nm.  </w:t>
      </w:r>
    </w:p>
    <w:p w:rsidR="00E823E9" w:rsidRPr="00D54445" w:rsidRDefault="00E823E9" w:rsidP="00E823E9">
      <w:pPr>
        <w:spacing w:line="480" w:lineRule="auto"/>
        <w:jc w:val="both"/>
      </w:pPr>
      <w:r w:rsidRPr="00D54445">
        <w:rPr>
          <w:b/>
        </w:rPr>
        <w:t xml:space="preserve">Table </w:t>
      </w:r>
      <w:r>
        <w:rPr>
          <w:b/>
        </w:rPr>
        <w:t>2</w:t>
      </w:r>
      <w:r w:rsidRPr="00D54445">
        <w:rPr>
          <w:b/>
        </w:rPr>
        <w:t>.</w:t>
      </w:r>
      <w:r>
        <w:t xml:space="preserve">  Summary of the measured parameters obtained in assessment of the photo-osmotic adaptation matrix. Error values correspond to 1-</w:t>
      </w:r>
      <w:r>
        <w:rPr>
          <w:rFonts w:ascii="Calibri" w:hAnsi="Calibri"/>
        </w:rPr>
        <w:t>σ</w:t>
      </w:r>
      <w:r>
        <w:t xml:space="preserve"> standard deviations for each of the </w:t>
      </w:r>
      <w:r>
        <w:lastRenderedPageBreak/>
        <w:t xml:space="preserve">measurements.  For AFDW and the bioproduct yields, the errors originate from 3 replicate measurements from biomass that was pooled from the 20 semi-continuous harvesting intervals.  For the remaining parameters, n=20 per condition.  </w:t>
      </w:r>
      <w:r w:rsidRPr="002475B4">
        <w:t>Observables indicated by (†) are relative intensities obtained spectrophotometrically.</w:t>
      </w:r>
      <w:r>
        <w:rPr>
          <w:rFonts w:ascii="Calibri" w:hAnsi="Calibri"/>
        </w:rPr>
        <w:t xml:space="preserve">  </w:t>
      </w:r>
      <w:r>
        <w:t xml:space="preserve">   </w:t>
      </w:r>
    </w:p>
    <w:p w:rsidR="00E823E9" w:rsidRDefault="00E823E9" w:rsidP="00C53F54">
      <w:pPr>
        <w:spacing w:line="480" w:lineRule="auto"/>
        <w:jc w:val="both"/>
      </w:pPr>
    </w:p>
    <w:p w:rsidR="00E823E9" w:rsidRDefault="00E823E9" w:rsidP="00E823E9">
      <w:pPr>
        <w:spacing w:line="480" w:lineRule="auto"/>
      </w:pPr>
      <w:r w:rsidRPr="00863D20">
        <w:rPr>
          <w:b/>
        </w:rPr>
        <w:t>Figure 2.</w:t>
      </w:r>
      <w:r>
        <w:t xml:space="preserve">  Near IR estimation of </w:t>
      </w:r>
      <w:r w:rsidRPr="00863D20">
        <w:rPr>
          <w:i/>
        </w:rPr>
        <w:t xml:space="preserve">D. </w:t>
      </w:r>
      <w:r>
        <w:rPr>
          <w:i/>
        </w:rPr>
        <w:t>viridis</w:t>
      </w:r>
      <w:r>
        <w:t xml:space="preserve"> biomass of varying composition and morphology cultured in varying photo-osmotic conditions.  A.)  Near IR (800 nm) attenuation of serially diluted log-phase cultures as a function of cell counts measured by flow cytometry.  B.)  Hydrated biomass volume calculated by number of cells and the effective cell volume obtained from confocal fluorescence imaging.  </w:t>
      </w:r>
    </w:p>
    <w:p w:rsidR="00E823E9" w:rsidRDefault="00E823E9" w:rsidP="00C53F54">
      <w:pPr>
        <w:spacing w:line="480" w:lineRule="auto"/>
        <w:jc w:val="both"/>
      </w:pPr>
    </w:p>
    <w:p w:rsidR="00C72B9A" w:rsidRDefault="00C72B9A" w:rsidP="003943B2">
      <w:pPr>
        <w:spacing w:line="480" w:lineRule="auto"/>
        <w:ind w:firstLine="720"/>
        <w:jc w:val="both"/>
      </w:pPr>
      <w:r>
        <w:t xml:space="preserve">The compositional mass balance of the major biochemical pools of the biomass cultivated in the various photo-osmotic regimes are depicted in figure 3.  The most significant compositional variations were observed in the quantities of glycerol, followed by soluble carbohydrates and (non-pigment) lipids.  For each of the observed compositional shifts, the dominating environmental variable was change in salinity, with the largest effects predicated by shifts to or from low (marine) salinity levels.  The total glycerol corresponded to 53-47% for high salt (~2.36 M NaCl), 52-47% for medium salt (~1.36 M), and 4-6% for marine medium. The soluble carbohydrates corresponded to &lt;1% for high salt, 3-5% for medium salt, and 22-24% for marine medium. The non-pigment lipid fraction corresponded to 3-5% for high salt, 2-5% for medium salt, and 18-23% for marine medium.  The most dramatic shifts that were dominated by light intensity levels were insoluble protein and insoluble carbohydrate, although substantial changes were also observed for chlorophyll (a+b) and carotenoids, despite their low abundance relative to the other fractions.  The insoluble protein fraction corresponded to 8-15% for high PAR and 14-18% for low PAR. The insoluble </w:t>
      </w:r>
      <w:r>
        <w:lastRenderedPageBreak/>
        <w:t xml:space="preserve">carbohydrate fraction corresponded to 28-30% for high PAR and 11-21% for low PAR.  For each assessment of compositional mass balance, the summed mass fractions exceeded the mass of the biomass between 6 – 22%, indicative of some combination residual salts and cross-talk (additive noise) among the various measurements. Based on additive accumulation of error distributed among the various biochemical fractions, the approximate error for each fraction is &lt;3%.  For completeness, the overestimates relative to the measured dry weight of the biomass are stated in parenthesis above the data for each culture condition.     </w:t>
      </w:r>
    </w:p>
    <w:p w:rsidR="00E823E9" w:rsidRDefault="00E823E9" w:rsidP="00E823E9">
      <w:pPr>
        <w:spacing w:line="480" w:lineRule="auto"/>
        <w:jc w:val="both"/>
      </w:pPr>
      <w:r w:rsidRPr="009277A0">
        <w:rPr>
          <w:b/>
        </w:rPr>
        <w:t>Figure 3.</w:t>
      </w:r>
      <w:r>
        <w:t xml:space="preserve">  Mass balance of the dry weight of semi-continuous cultures of </w:t>
      </w:r>
      <w:r w:rsidRPr="00E44D3C">
        <w:rPr>
          <w:i/>
        </w:rPr>
        <w:t xml:space="preserve">D. </w:t>
      </w:r>
      <w:r>
        <w:rPr>
          <w:i/>
        </w:rPr>
        <w:t>viridis</w:t>
      </w:r>
      <w:r>
        <w:t xml:space="preserve"> in each of the photo-osmotic conditions.  Overestimation of the AFDW mass balance for the pooled biomass samples (n=20 per condition) are depicted in parenthesis above the results obtained for each culture condition.  </w:t>
      </w:r>
    </w:p>
    <w:p w:rsidR="00E823E9" w:rsidRDefault="00E823E9" w:rsidP="003943B2">
      <w:pPr>
        <w:spacing w:line="480" w:lineRule="auto"/>
        <w:ind w:firstLine="720"/>
        <w:jc w:val="both"/>
      </w:pPr>
    </w:p>
    <w:p w:rsidR="00C72B9A" w:rsidRDefault="00C72B9A" w:rsidP="000745DA">
      <w:pPr>
        <w:spacing w:line="480" w:lineRule="auto"/>
        <w:jc w:val="both"/>
      </w:pPr>
      <w:r>
        <w:tab/>
      </w:r>
      <w:r w:rsidRPr="006D5B28">
        <w:t>Photosynthesis para</w:t>
      </w:r>
      <w:r>
        <w:t>meters, including the maximum [Y</w:t>
      </w:r>
      <w:r w:rsidRPr="005B7EEF">
        <w:rPr>
          <w:vertAlign w:val="superscript"/>
        </w:rPr>
        <w:t>max</w:t>
      </w:r>
      <w:r>
        <w:t>(II)]</w:t>
      </w:r>
      <w:r w:rsidRPr="006D5B28">
        <w:t xml:space="preserve"> and effective </w:t>
      </w:r>
      <w:r>
        <w:t>[Y(II)] quantum yields of PSII</w:t>
      </w:r>
      <w:r w:rsidRPr="006D5B28">
        <w:t xml:space="preserve">,  </w:t>
      </w:r>
      <w:r>
        <w:t>and regulated (</w:t>
      </w:r>
      <w:r w:rsidRPr="006D5B28">
        <w:t>photo-protective</w:t>
      </w:r>
      <w:r>
        <w:t>)</w:t>
      </w:r>
      <w:r w:rsidRPr="006D5B28">
        <w:t xml:space="preserve"> non-photochemical [Y(NPQ)] and </w:t>
      </w:r>
      <w:r>
        <w:t>unregulated</w:t>
      </w:r>
      <w:r w:rsidRPr="006D5B28">
        <w:t xml:space="preserve"> non-photochemical quenching [Y(NO)] </w:t>
      </w:r>
      <w:r>
        <w:t xml:space="preserve">obtained from RLC excitation modulated fluorescence experiments are depicted in figure 4.   The results are summarized for dark adaptation, at the 50 </w:t>
      </w:r>
      <w:r>
        <w:rPr>
          <w:rFonts w:ascii="Calibri" w:hAnsi="Calibri"/>
        </w:rPr>
        <w:t>µ</w:t>
      </w:r>
      <w:r>
        <w:t>mol photons m</w:t>
      </w:r>
      <w:r w:rsidRPr="009A049E">
        <w:rPr>
          <w:vertAlign w:val="superscript"/>
        </w:rPr>
        <w:t>-2</w:t>
      </w:r>
      <w:r>
        <w:t xml:space="preserve"> sec</w:t>
      </w:r>
      <w:r w:rsidRPr="009A049E">
        <w:rPr>
          <w:vertAlign w:val="superscript"/>
        </w:rPr>
        <w:t>-1</w:t>
      </w:r>
      <w:r>
        <w:t xml:space="preserve"> exposure – corresponding to the low light growth regime, and at the 275 </w:t>
      </w:r>
      <w:r>
        <w:rPr>
          <w:rFonts w:ascii="Calibri" w:hAnsi="Calibri"/>
        </w:rPr>
        <w:t>µ</w:t>
      </w:r>
      <w:r>
        <w:t>mol photons m</w:t>
      </w:r>
      <w:r w:rsidRPr="009A049E">
        <w:rPr>
          <w:vertAlign w:val="superscript"/>
        </w:rPr>
        <w:t>-2</w:t>
      </w:r>
      <w:r>
        <w:t xml:space="preserve"> sec</w:t>
      </w:r>
      <w:r w:rsidRPr="009A049E">
        <w:rPr>
          <w:vertAlign w:val="superscript"/>
        </w:rPr>
        <w:t>-1</w:t>
      </w:r>
      <w:r>
        <w:t xml:space="preserve"> – corresponding to the high light growth regime, respectively.  For each data set, clear trends are evident and related to the specified growth condition, with the dominant effects dictated by changes in salinity.  For the dark adapted state, Y</w:t>
      </w:r>
      <w:r w:rsidRPr="005B7EEF">
        <w:rPr>
          <w:vertAlign w:val="superscript"/>
        </w:rPr>
        <w:t>max</w:t>
      </w:r>
      <w:r>
        <w:t xml:space="preserve">(II) increased with elevated salinity and reduced light exposure from 59% (HLxLS) to 73% (LLxHS).  Culturing at low light intensities consistently increased the maximum photosynthetic yield by ~5% compared to the corresponding high light cultures.  </w:t>
      </w:r>
      <w:r w:rsidRPr="00682899">
        <w:t>At the low light exposure during the RLC,</w:t>
      </w:r>
      <w:r>
        <w:t xml:space="preserve"> Y(NPQ) is significantly elevated relative to unregulated processes Y(NO) for cultures grown at reduced salinities and increased PAR</w:t>
      </w:r>
      <w:r w:rsidRPr="00682899">
        <w:t>.</w:t>
      </w:r>
      <w:r>
        <w:t xml:space="preserve">  At </w:t>
      </w:r>
      <w:r>
        <w:lastRenderedPageBreak/>
        <w:t>the high light exposure during the RLC, the salinity dependence of Y(NPQ) relative to Y(NO)  is dramatically reduced, although Y(NPQ) continues to be elevated by 1.2 – 2x for cultures grown at increased PAR.  The highest Y</w:t>
      </w:r>
      <w:r w:rsidRPr="00410A78">
        <w:rPr>
          <w:vertAlign w:val="superscript"/>
        </w:rPr>
        <w:t>max</w:t>
      </w:r>
      <w:r>
        <w:t xml:space="preserve">(II) and Y(II) values were consistently observed in the low light, high salinity cultures, indicating enhanced overall photosynthetic productivity under the elevated salinity regimes.   </w:t>
      </w:r>
    </w:p>
    <w:p w:rsidR="00E823E9" w:rsidRDefault="00E823E9" w:rsidP="00E823E9">
      <w:pPr>
        <w:spacing w:line="480" w:lineRule="auto"/>
        <w:jc w:val="both"/>
        <w:rPr>
          <w:b/>
        </w:rPr>
      </w:pPr>
      <w:r w:rsidRPr="009277A0">
        <w:rPr>
          <w:b/>
        </w:rPr>
        <w:t>Figure 4.</w:t>
      </w:r>
      <w:r>
        <w:t xml:space="preserve">  PSII parameters obtained for each of the culture conditions, including maximum PSII yield, Y</w:t>
      </w:r>
      <w:r w:rsidRPr="005B7EEF">
        <w:rPr>
          <w:vertAlign w:val="superscript"/>
        </w:rPr>
        <w:t>max</w:t>
      </w:r>
      <w:r>
        <w:t xml:space="preserve">(II); effective PSII yield, Y(II); regulated non-photochemical quenching, Y(NPQ); and background or unregulated non-photochemical quenching, Y(NO).  Data from dark adapted cultures are represented with black markers, low PAR (50 </w:t>
      </w:r>
      <w:r>
        <w:rPr>
          <w:rFonts w:ascii="Calibri" w:hAnsi="Calibri"/>
        </w:rPr>
        <w:t>µ</w:t>
      </w:r>
      <w:r>
        <w:t>mol photons m</w:t>
      </w:r>
      <w:r w:rsidRPr="00580036">
        <w:rPr>
          <w:vertAlign w:val="superscript"/>
        </w:rPr>
        <w:t>-2</w:t>
      </w:r>
      <w:r>
        <w:t xml:space="preserve"> sec</w:t>
      </w:r>
      <w:r w:rsidRPr="00580036">
        <w:rPr>
          <w:vertAlign w:val="superscript"/>
        </w:rPr>
        <w:t>-1</w:t>
      </w:r>
      <w:r>
        <w:t xml:space="preserve">) illuminated samples with green markers, and high PAR (275 </w:t>
      </w:r>
      <w:r w:rsidRPr="00580036">
        <w:t>µmol photons m</w:t>
      </w:r>
      <w:r w:rsidRPr="00580036">
        <w:rPr>
          <w:vertAlign w:val="superscript"/>
        </w:rPr>
        <w:t>-2</w:t>
      </w:r>
      <w:r w:rsidRPr="00580036">
        <w:t xml:space="preserve"> sec</w:t>
      </w:r>
      <w:r w:rsidRPr="00580036">
        <w:rPr>
          <w:vertAlign w:val="superscript"/>
        </w:rPr>
        <w:t>-1</w:t>
      </w:r>
      <w:r>
        <w:t>) illuminated samples with red markers.  The marker sizes correspond to the 1-</w:t>
      </w:r>
      <w:r>
        <w:rPr>
          <w:rFonts w:ascii="Calibri" w:hAnsi="Calibri"/>
        </w:rPr>
        <w:t>σ</w:t>
      </w:r>
      <w:r>
        <w:t xml:space="preserve"> standard deviation (n=20) obtained from the full data collection period.   </w:t>
      </w:r>
    </w:p>
    <w:p w:rsidR="00E823E9" w:rsidRDefault="00E823E9" w:rsidP="000745DA">
      <w:pPr>
        <w:spacing w:line="480" w:lineRule="auto"/>
        <w:jc w:val="both"/>
      </w:pPr>
    </w:p>
    <w:p w:rsidR="00C72B9A" w:rsidRDefault="00C72B9A" w:rsidP="00102CC2">
      <w:pPr>
        <w:spacing w:line="480" w:lineRule="auto"/>
        <w:jc w:val="both"/>
      </w:pPr>
      <w:r>
        <w:tab/>
        <w:t>In addition to the biomass yield, biochemical composition, and photosynthetic parameters, a number of physiological biomarkers were measured across the photo-osmotic adaptation matrix for correlation with the materials and productivity data.  These biomarkers included cellular granularity, content of cellular debris, cellular motility, intracellular and extracellular pH, nitrate consumption, intracellular calcium, and turnover of NAD(P)</w:t>
      </w:r>
      <w:r w:rsidRPr="00376555">
        <w:rPr>
          <w:vertAlign w:val="superscript"/>
        </w:rPr>
        <w:t>+</w:t>
      </w:r>
      <w:r>
        <w:t xml:space="preserve">/NAD(P)H.  With the exception of extracellular pH and nitrate consumption, rigorous quantitation of the biomarkers was not intended; instead the goal was to provide relative metrics for gaining a deeper understanding of intercellular signaling and energetics underlying the biochemical and morphological properties of the algae.  Among the conditions tested   cellular granularity exhibited the following trend:  HLxLS &gt; LLxLS &gt; HLxMS &gt; HLxHS &gt;  LLxMS &gt; LLxHS;  the relative abundance of cellular debris exhibited the following trend:  HLxMS &gt; LLxMS &gt; HLxLS &gt; LLxLS &gt; HLxHS &gt; LLxHS;  the relative </w:t>
      </w:r>
      <w:r>
        <w:lastRenderedPageBreak/>
        <w:t>cellular motility exhibited the following trend: HLxMS &gt; LLxMS &gt; LLxHS &gt; HLxHS &gt; LLxLS &gt; HLxLS; the intracellular pH exhibited the following trend: HLxHS &gt; LLxHS &gt; LLxLS &gt; LLxMS &gt; HLxLS &gt; HLxMS; the extracellular pH exhibited the following trend: HLxMS &gt; HLxHS &gt; LLxHS &gt; HLxLS &gt; LLxMS &gt; LLxLS;  the nitrate consumption exhibited the following trend: HLxHS &gt; HLxMS &gt; HLxLS &gt; LLxLS &gt; LLxMS &gt; LLxHS;  the intracellular calcium exhibited the following trend: LLxHS &gt; HLxHS &gt; LLxLS &gt; HLxLS &gt; LLxMS &gt; HLxMS; and the NAD(P)</w:t>
      </w:r>
      <w:r w:rsidRPr="00522045">
        <w:rPr>
          <w:vertAlign w:val="superscript"/>
        </w:rPr>
        <w:t>+</w:t>
      </w:r>
      <w:r>
        <w:t xml:space="preserve">/NAD(P)H turnover during saturation pulse illumination exhibited the following trend:  HLxMS &gt; LLxLS &gt; HLxHS &gt; HLxLS &gt; LLxMS &gt; LLxHS.  </w:t>
      </w:r>
    </w:p>
    <w:p w:rsidR="00C72B9A" w:rsidRDefault="00C72B9A" w:rsidP="004E1864">
      <w:pPr>
        <w:spacing w:line="480" w:lineRule="auto"/>
        <w:ind w:firstLine="720"/>
        <w:jc w:val="both"/>
      </w:pPr>
      <w:r>
        <w:t xml:space="preserve">In order to succinctly summarize the results, a correlation matrix of the various observables were constructed based on the photo-osmotic conditions, and is depicted in figure 5.  Although a wide variety of measurements were performed, normalization of the results by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i</m:t>
                </m:r>
              </m:sub>
            </m:sSub>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O</m:t>
                    </m:r>
                  </m:e>
                  <m:sub>
                    <m:r>
                      <w:rPr>
                        <w:rFonts w:ascii="Cambria Math" w:hAnsi="Cambria Math"/>
                      </w:rPr>
                      <m:t>i</m:t>
                    </m:r>
                  </m:sub>
                </m:sSub>
              </m:e>
            </m:nary>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i</m:t>
                    </m:r>
                  </m:sub>
                </m:sSub>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O</m:t>
                        </m:r>
                      </m:e>
                      <m:sub>
                        <m:r>
                          <w:rPr>
                            <w:rFonts w:ascii="Cambria Math" w:hAnsi="Cambria Math"/>
                          </w:rPr>
                          <m:t>i</m:t>
                        </m:r>
                      </m:sub>
                    </m:sSub>
                  </m:e>
                </m:nary>
              </m:den>
            </m:f>
          </m:e>
        </m:d>
      </m:oMath>
      <w:r>
        <w:t xml:space="preserve"> , where </w:t>
      </w:r>
      <w:r w:rsidRPr="00585BBE">
        <w:rPr>
          <w:i/>
        </w:rPr>
        <w:t>O</w:t>
      </w:r>
      <w:r w:rsidRPr="00585BBE">
        <w:rPr>
          <w:i/>
          <w:vertAlign w:val="subscript"/>
        </w:rPr>
        <w:t>i</w:t>
      </w:r>
      <w:r>
        <w:rPr>
          <w:vertAlign w:val="subscript"/>
        </w:rPr>
        <w:t xml:space="preserve"> </w:t>
      </w:r>
      <w:r>
        <w:t xml:space="preserve">is the parameter value for the </w:t>
      </w:r>
      <w:r w:rsidRPr="00585BBE">
        <w:rPr>
          <w:i/>
        </w:rPr>
        <w:t>i</w:t>
      </w:r>
      <w:r>
        <w:t xml:space="preserve">th environmental condition, </w:t>
      </w:r>
      <w:r w:rsidRPr="00585BBE">
        <w:t xml:space="preserve">can </w:t>
      </w:r>
      <w:r>
        <w:t xml:space="preserve">be shown to preserve the original variance of data and support analyses which are independent of sensitivity variations among the various assays, if the measurements can be shown to be within acceptable detection limits.  Once scaled to unit variance, the data were then constructed into a covariance matrix and subsequently into a correlation matrix using built-in functions in Matlab.  In the figure, the various parameters are grouped by category from left to right and bottom to top:  biomass quantity, biochemical composition, physiological biomarkers, and photosynthetic parameters, respectively.  Correlations among members of the same category are boxed along the diagonal of the matrix, and data points reflected across the diagonal are redundant.  Noteworthy among the positively correlated observables are increased concentrations of soluble carbohydrates and total lipids, increased low PAR photo-damage and cellular granularity, increased photochemical quenching and extracellular pH, and increased concentration of chlorophylls and structural proteins.  </w:t>
      </w:r>
      <w:r>
        <w:lastRenderedPageBreak/>
        <w:t xml:space="preserve">Noteworthy among the observables with highly negative correlation coefficients (&lt; -0.8) are the relative concentrations of soluble carbohydrates and glycerol, increased (maximum and low PAR) photosynthetic yield and high cellular granularity, cellular volume and the relative concentration of glycerol, and the relative concentrations of glycerol and total lipids.  Analysis of the principle components of the results matrix was also performed to identify and rank variations not predicated by the environmental conditions tested.   According to Hotelling’s </w:t>
      </w:r>
      <w:r w:rsidRPr="004E1864">
        <w:rPr>
          <w:i/>
        </w:rPr>
        <w:t>t</w:t>
      </w:r>
      <w:r w:rsidRPr="004E1864">
        <w:rPr>
          <w:i/>
          <w:vertAlign w:val="superscript"/>
        </w:rPr>
        <w:t>2</w:t>
      </w:r>
      <w:r>
        <w:t xml:space="preserve"> values generated by this principle components analysis, variations in the cellular motility and the concentration of cellular debris were least dependent on the photo-osmotic conditions investigated.  Variations in these parameters may instead have resulted from temporal effects over the course of the long term data collection not specifically treated in this analysis.    </w:t>
      </w:r>
    </w:p>
    <w:p w:rsidR="00E823E9" w:rsidRDefault="00E823E9" w:rsidP="00E823E9">
      <w:pPr>
        <w:spacing w:line="480" w:lineRule="auto"/>
        <w:jc w:val="both"/>
      </w:pPr>
      <w:r w:rsidRPr="00D54445">
        <w:rPr>
          <w:b/>
        </w:rPr>
        <w:t>Figure 5.</w:t>
      </w:r>
      <w:r>
        <w:t xml:space="preserve">  Correlation matrix for each of the measured observables for the photo-osmotically adapted </w:t>
      </w:r>
      <w:r>
        <w:rPr>
          <w:i/>
        </w:rPr>
        <w:t>D. viridis</w:t>
      </w:r>
      <w:r>
        <w:t xml:space="preserve"> cultures.   Black boxes indicate groupings of related parameters, i.e. along the diagonal from lower left to upper right: bioproduct yields, biomarker intensities, and PSII parameter yields.  Data points reflected across the lower left to upper right diagonal are redundant.  </w:t>
      </w:r>
    </w:p>
    <w:p w:rsidR="00E823E9" w:rsidRDefault="00E823E9" w:rsidP="004E1864">
      <w:pPr>
        <w:spacing w:line="480" w:lineRule="auto"/>
        <w:ind w:firstLine="720"/>
        <w:jc w:val="both"/>
      </w:pPr>
    </w:p>
    <w:p w:rsidR="00C72B9A" w:rsidRDefault="00C72B9A" w:rsidP="003943B2">
      <w:pPr>
        <w:spacing w:line="480" w:lineRule="auto"/>
        <w:ind w:firstLine="720"/>
        <w:jc w:val="both"/>
      </w:pPr>
      <w:r>
        <w:t xml:space="preserve">Following the six week semi-continuous culture and harvesting of </w:t>
      </w:r>
      <w:r w:rsidRPr="00291A46">
        <w:rPr>
          <w:i/>
        </w:rPr>
        <w:t xml:space="preserve">D. </w:t>
      </w:r>
      <w:r>
        <w:rPr>
          <w:i/>
        </w:rPr>
        <w:t>viridis</w:t>
      </w:r>
      <w:r>
        <w:t xml:space="preserve"> in the specified photo-osmotic culture conditions, each culture was subject to continued semi-continuous culture in either of the extreme of salinity (HS or LS) for additional harvesting cycles (8 days).  The most noteworthy observation was made by comparing flow cytomery data of Nile Red stained cells at day 0, corresponding to the initiation of the dynamic osmotic adaptation regimen, to replicate experiments performed at the second harvest interval of the osmotic shock treatment (4 days after initiation of the regimen).   Figure 6A and B depict scatter plots corresponding to effective particle diameter (FSC) and Nile Red intensity (FL2) </w:t>
      </w:r>
      <w:r>
        <w:lastRenderedPageBreak/>
        <w:t xml:space="preserve">for day 0 and day 4, respectively.  These data clearly reveal a band of highly lipophilic microparticles ranging in diameter from ~1 – 3 </w:t>
      </w:r>
      <w:r>
        <w:rPr>
          <w:rFonts w:ascii="Calibri" w:hAnsi="Calibri"/>
        </w:rPr>
        <w:t>µ</w:t>
      </w:r>
      <w:r>
        <w:t xml:space="preserve">m in addition to the expected grouping of intact </w:t>
      </w:r>
      <w:r>
        <w:rPr>
          <w:i/>
        </w:rPr>
        <w:t>D. viridis</w:t>
      </w:r>
      <w:r>
        <w:t xml:space="preserve"> cells.  Comparison of Nile Red intensities per unit volume from each population suggests that the lipid concentration in the microparticles is up to ~1275% that of the algal cells.  Figure 6C depicts the total lipid mass balance (as indicated by Nile Red intensity) of the lipophilic microparticles compared to the remaining intact cells.  In each case of cells semi-continuously cultured in decreasing salinity media, the total lipid was highly concentrated in the lipophilic microparticle phase, whereas in the cases of cells resuspended in increased salinity, the total lipid was primarily concentrated in the algae.  The highest overall lipid was observed in MS cultures diluted by marine (LS) medium, however it is noteworthy that the high PAR culture (HLxMS) exceeded the low PAR culture (LLxMS) for total lipid by a factor of ~200%.  Because other debris and instrumental background dominate the flow cytometric signal for particles less than ~1 </w:t>
      </w:r>
      <w:r>
        <w:rPr>
          <w:rFonts w:ascii="Calibri" w:hAnsi="Calibri"/>
        </w:rPr>
        <w:t>µ</w:t>
      </w:r>
      <w:r>
        <w:t xml:space="preserve">m in diameter, the contribution to the total lipid and the ratio of the lipid in the microparticles versus the intact cells should be treated as the lower bound of the estimates.  </w:t>
      </w:r>
    </w:p>
    <w:p w:rsidR="00E823E9" w:rsidRDefault="00E823E9" w:rsidP="00E823E9">
      <w:pPr>
        <w:spacing w:line="480" w:lineRule="auto"/>
        <w:jc w:val="both"/>
      </w:pPr>
      <w:r>
        <w:rPr>
          <w:b/>
        </w:rPr>
        <w:t xml:space="preserve">Figure 6.  </w:t>
      </w:r>
      <w:r>
        <w:t xml:space="preserve"> Lipid microparticle release under osmotic drift.  A.)  Flow cytometry scatter plot for total lipid (as indicated by Nile Red fluorescence intensity) versus particle diameter (as indicated by forward scatter) for the first day of osmotic shock in the HLxMS culture.  B.)  Repeat scatter plot for the fourth day of osmotic shock, corresponding to the second harvesting increment.  C.)  Summary of the total lipid content in the intact cell and lipid microparticles as indicated by Nile Red fluorescence, error bars indicate 1-</w:t>
      </w:r>
      <w:r>
        <w:rPr>
          <w:rFonts w:ascii="Calibri" w:hAnsi="Calibri"/>
        </w:rPr>
        <w:t>σ</w:t>
      </w:r>
      <w:r>
        <w:t xml:space="preserve"> standard deviations (n=3).</w:t>
      </w:r>
    </w:p>
    <w:p w:rsidR="00C72B9A" w:rsidRDefault="00C72B9A" w:rsidP="00102CC2">
      <w:pPr>
        <w:spacing w:line="480" w:lineRule="auto"/>
        <w:jc w:val="both"/>
        <w:rPr>
          <w:b/>
        </w:rPr>
      </w:pPr>
    </w:p>
    <w:p w:rsidR="00C72B9A" w:rsidRPr="00121B00" w:rsidRDefault="00C72B9A" w:rsidP="00102CC2">
      <w:pPr>
        <w:spacing w:line="480" w:lineRule="auto"/>
        <w:jc w:val="both"/>
        <w:rPr>
          <w:b/>
        </w:rPr>
      </w:pPr>
      <w:r w:rsidRPr="00121B00">
        <w:rPr>
          <w:b/>
        </w:rPr>
        <w:t>Discussion</w:t>
      </w:r>
    </w:p>
    <w:p w:rsidR="00C72B9A" w:rsidRDefault="00C72B9A" w:rsidP="00517623">
      <w:pPr>
        <w:spacing w:line="480" w:lineRule="auto"/>
        <w:jc w:val="both"/>
      </w:pPr>
      <w:r>
        <w:lastRenderedPageBreak/>
        <w:t xml:space="preserve">Continuous or semi-continuous culturing of algae biomass provides the opportunity to increase yield by eliminating lag and other effects that occur in conventional batch cultivation.  In this work we sought to identify environmental factors that would allow selective harvesting of lipids from an algal culture as well as high log-phase biomass growth yield at semi-continuous intervals.  Salinity and solar radiation are ubiquitous but highly variable factors that impact the yield and composition of algae biomass in outdoor cultivation.  Therefore, we investigated the potential for </w:t>
      </w:r>
      <w:r w:rsidRPr="00A609F1">
        <w:rPr>
          <w:i/>
        </w:rPr>
        <w:t xml:space="preserve">Dunaliella </w:t>
      </w:r>
      <w:r>
        <w:rPr>
          <w:i/>
        </w:rPr>
        <w:t xml:space="preserve">viridis </w:t>
      </w:r>
      <w:r w:rsidRPr="00A609F1">
        <w:t xml:space="preserve">– a species with high tolerance to a wide range of environmental </w:t>
      </w:r>
      <w:r>
        <w:t xml:space="preserve">conditions and a history of successful outdoor cultivation </w:t>
      </w:r>
      <w:r w:rsidRPr="00A609F1">
        <w:t>–</w:t>
      </w:r>
      <w:r>
        <w:t xml:space="preserve"> as a candidate for combining semi-continuous biomass production with selective release of bioproducts (milking), a process which has only been previously achieved by cell lysis with chemical solvents </w:t>
      </w:r>
      <w:r>
        <w:rPr>
          <w:noProof/>
        </w:rPr>
        <w:t>(Hejazi et al. 2004; Kleinegris et al. 2010a)</w:t>
      </w:r>
      <w:r>
        <w:t xml:space="preserve">.  A combination of single-cell imaging, bulk spectrophotometry, and cell counting were used to establish a simple near IR attenuation-based method for quantitative harvesting of the log phase growth across each of the photo-osmotic conditions. Despite substantial differences in morphology and composition (resulting in ~300% variance in the single-cell optical attenuation profiles across the various culture conditions), the 800 nm optical density was found to correlate linearly with biomass accumulation.  A similar approach was used previously for assessment of high density outdoor algal cultures </w:t>
      </w:r>
      <w:r>
        <w:rPr>
          <w:noProof/>
        </w:rPr>
        <w:t>(Gitelson et al. 1995)</w:t>
      </w:r>
      <w:r>
        <w:t xml:space="preserve">, however the authors of that study suggested that further investigation was necessary to determine if their approach could be generalized to algae biomass of varying composition.  The method described here provides accurate quantification of biomass in samples of highly variable biochemical composition, cell physiology, nutrient concentrations, salinity, and light intensity - parameters known to cause substantial errors in pigment-based spectrophotometric approaches such as chlorophyll-a absorbance </w:t>
      </w:r>
      <w:r>
        <w:rPr>
          <w:noProof/>
        </w:rPr>
        <w:t>(Meeks 1974; Riemann et al. 1989)</w:t>
      </w:r>
      <w:r>
        <w:t xml:space="preserve">.  Because of the unreliability of pigment-based spectroscopic indicators of biomass productivity, other </w:t>
      </w:r>
      <w:r>
        <w:lastRenderedPageBreak/>
        <w:t xml:space="preserve">investigators have employed NAD(P)H fluorescence as an indicator of photosynthetic productivity in marine microalga </w:t>
      </w:r>
      <w:r>
        <w:rPr>
          <w:noProof/>
        </w:rPr>
        <w:t>(Steigenberger et al. 2004)</w:t>
      </w:r>
      <w:r>
        <w:t xml:space="preserve">.  In this study, however, we found that the correlation between NAD(P)H and biomass productivity was ambiguous (&lt;0.5) when cell number and cell size parameters were considered simultaneously, likely related to metabolic responses involved in haloadaption that will be discussed in more detail in a subsequent paragraph.  We therefore propose that the spectroscopic method described here could provide improvements in on-line measurement of algae cultures for increasing overall yields by crop management, e.g. for determination of optimal cultivation parameters and harvesting intervals </w:t>
      </w:r>
      <w:r>
        <w:rPr>
          <w:noProof/>
        </w:rPr>
        <w:t>(Havlik et al. 2013)</w:t>
      </w:r>
      <w:r>
        <w:t xml:space="preserve">.  In the studies describe here, semi-continuous cultures that were established using the near IR attenuation-based harvesting scheme were found to be stable over the course of the six week study, however the biomass yields that were obtained varied substantially across the different culture conditions.  Specifically, the maximum yield was observed in the HLxMS culture, followed by the HLxHS, LLxMS, LLxHS, HLxLS, and LLxLS.  The resulting biomass yield parameters, biochemical mass balance, and morphological, photosynthetic, and biomarker parameters are summarized in Table 2.  It should also be noted that in addition to morphological details, hyperspectral confocal fluorescence imaging with multivariate analysis provided a set of spectral components composed of fluorescence and resonance Raman emission for unambiguous identification of intracellular carotenoid and chloroplast bodies in </w:t>
      </w:r>
      <w:r w:rsidRPr="009D7A07">
        <w:rPr>
          <w:i/>
        </w:rPr>
        <w:t>Duna</w:t>
      </w:r>
      <w:r>
        <w:rPr>
          <w:i/>
        </w:rPr>
        <w:t>l</w:t>
      </w:r>
      <w:r w:rsidRPr="009D7A07">
        <w:rPr>
          <w:i/>
        </w:rPr>
        <w:t>iella</w:t>
      </w:r>
      <w:r>
        <w:t xml:space="preserve">.  These findings supplement previously described fluorescence imaging and Raman spectroscopic methods </w:t>
      </w:r>
      <w:r>
        <w:rPr>
          <w:noProof/>
        </w:rPr>
        <w:t>(Collins et al. 2011; Kleinegris et al. 2010b; Vermaas et al. 2008)</w:t>
      </w:r>
      <w:r>
        <w:t xml:space="preserve"> for label-free quantitation of carotenoid production, a well-established high value product of </w:t>
      </w:r>
      <w:r w:rsidRPr="00D5042F">
        <w:rPr>
          <w:i/>
        </w:rPr>
        <w:t>Dunaliella</w:t>
      </w:r>
      <w:r>
        <w:t xml:space="preserve">.  </w:t>
      </w:r>
    </w:p>
    <w:p w:rsidR="00C72B9A" w:rsidRDefault="00C72B9A" w:rsidP="00A62B1F">
      <w:pPr>
        <w:spacing w:line="480" w:lineRule="auto"/>
        <w:jc w:val="both"/>
      </w:pPr>
      <w:r>
        <w:tab/>
        <w:t>Photosynthetic parameters and a number of biomarkers related to photo-osmotic adaption and carbon metabolism were measured for purposes of classification and relation of the bioproduct yields to fundamental cellular processes. Correlation and p</w:t>
      </w:r>
      <w:r w:rsidRPr="00276E3A">
        <w:t xml:space="preserve">rincipal component </w:t>
      </w:r>
      <w:r w:rsidRPr="00276E3A">
        <w:lastRenderedPageBreak/>
        <w:t xml:space="preserve">analyses revealed distinct patterns of interrelationship among the variables, providing a set of biological bounds for multi-objective and multi-modal biomaterials optimization for </w:t>
      </w:r>
      <w:r>
        <w:rPr>
          <w:i/>
        </w:rPr>
        <w:t>Dunaliella viridis</w:t>
      </w:r>
      <w:r w:rsidRPr="00276E3A">
        <w:t xml:space="preserve">. </w:t>
      </w:r>
      <w:r>
        <w:t xml:space="preserve"> Since the correlation matrix includes data from each harvest increment over the six week assay, the indicated correlation values should be statistically robust. F</w:t>
      </w:r>
      <w:r w:rsidRPr="00276E3A">
        <w:t xml:space="preserve">urthermore, this approach provided a subset of overlapping observations for </w:t>
      </w:r>
      <w:r>
        <w:t xml:space="preserve">registration of the </w:t>
      </w:r>
      <w:r w:rsidRPr="00276E3A">
        <w:t xml:space="preserve">bulk and imaging results, correction of osmotic perturbations to optical measurements of the culture, and identification of measured parameters that are most and least dependent on the PAR intensities and salinity levels explored in this study. </w:t>
      </w:r>
      <w:r>
        <w:t xml:space="preserve"> Together, the data presented here reinforce previous observations that the species under study is in fact </w:t>
      </w:r>
      <w:r>
        <w:rPr>
          <w:i/>
        </w:rPr>
        <w:t xml:space="preserve">D. viridis </w:t>
      </w:r>
      <w:r w:rsidRPr="006C3BAF">
        <w:rPr>
          <w:noProof/>
        </w:rPr>
        <w:t>(Borowitzka and Siva 2007)</w:t>
      </w:r>
      <w:r>
        <w:rPr>
          <w:i/>
        </w:rPr>
        <w:t xml:space="preserve"> </w:t>
      </w:r>
      <w:r>
        <w:t xml:space="preserve"> - as opposed to </w:t>
      </w:r>
      <w:r w:rsidRPr="00751504">
        <w:rPr>
          <w:i/>
        </w:rPr>
        <w:t>D. salina</w:t>
      </w:r>
      <w:r>
        <w:rPr>
          <w:i/>
        </w:rPr>
        <w:t xml:space="preserve">, </w:t>
      </w:r>
      <w:r>
        <w:t xml:space="preserve">as reported by the Culture Collection of Algae at University of Texas - based on the moderate halophilicity indicated by the phenotypic parameters.  Furthermore, recent taxonomic analysis of the genus </w:t>
      </w:r>
      <w:r w:rsidRPr="009466BF">
        <w:rPr>
          <w:i/>
        </w:rPr>
        <w:t>Dunaliella</w:t>
      </w:r>
      <w:r>
        <w:t xml:space="preserve"> indicates that such misidentification of strains among the culture repositories is likely wide-spread </w:t>
      </w:r>
      <w:r>
        <w:rPr>
          <w:noProof/>
        </w:rPr>
        <w:t>(Assunção et al. 2013)</w:t>
      </w:r>
      <w:r>
        <w:t xml:space="preserve">.  </w:t>
      </w:r>
    </w:p>
    <w:p w:rsidR="00C72B9A" w:rsidRDefault="00C72B9A" w:rsidP="00DD6183">
      <w:pPr>
        <w:spacing w:line="480" w:lineRule="auto"/>
        <w:ind w:firstLine="720"/>
        <w:jc w:val="both"/>
      </w:pPr>
      <w:r>
        <w:t xml:space="preserve">A previously well documented and dominant features of the global correlation analysis presented here is the dynamic interconversion (anti-correlation) between glycerol and soluble carbohydrates (starch) in response to varying salinity.  Previous research indicates a 4-step glycerol cycle in </w:t>
      </w:r>
      <w:r w:rsidRPr="002C3CFD">
        <w:rPr>
          <w:i/>
        </w:rPr>
        <w:t>Dunaliella</w:t>
      </w:r>
      <w:r>
        <w:t xml:space="preserve"> </w:t>
      </w:r>
      <w:r>
        <w:rPr>
          <w:noProof/>
        </w:rPr>
        <w:t>(Wegmann 1979)</w:t>
      </w:r>
      <w:r w:rsidRPr="002C3CFD">
        <w:t>.</w:t>
      </w:r>
      <w:r w:rsidRPr="00BC546A">
        <w:rPr>
          <w:b/>
        </w:rPr>
        <w:t xml:space="preserve"> </w:t>
      </w:r>
      <w:r>
        <w:rPr>
          <w:b/>
        </w:rPr>
        <w:t xml:space="preserve"> </w:t>
      </w:r>
      <w:r w:rsidRPr="002C3CFD">
        <w:t xml:space="preserve">According to enzymatic assays, glycerol synthesis is initiated by reversible conversion of dihydroxyacetone phosphate to glycerol-3-phosphate catalysed by glycerol-3-phosphate dehydrogenase </w:t>
      </w:r>
      <w:r>
        <w:rPr>
          <w:noProof/>
        </w:rPr>
        <w:t>(Haus and Wegmann 1984a; Haus and Wegmann 1984b)</w:t>
      </w:r>
      <w:r>
        <w:rPr>
          <w:b/>
        </w:rPr>
        <w:t xml:space="preserve">. </w:t>
      </w:r>
      <w:r w:rsidRPr="002C3CFD">
        <w:t xml:space="preserve">This is followed by an irreversible dephosphorylation by glycerol-3-phosphatase </w:t>
      </w:r>
      <w:r w:rsidRPr="002C3CFD">
        <w:rPr>
          <w:noProof/>
        </w:rPr>
        <w:t>(Sussman and Avron 1981)</w:t>
      </w:r>
      <w:r w:rsidRPr="002C3CFD">
        <w:t>.</w:t>
      </w:r>
      <w:r w:rsidRPr="00BC546A">
        <w:rPr>
          <w:b/>
        </w:rPr>
        <w:t xml:space="preserve"> </w:t>
      </w:r>
      <w:r w:rsidRPr="002C3CFD">
        <w:t>Conversion of glycerol back to dihydroxyacetone phosphate proceeds by reversible oxidation to dihydroxyacetone by the NADP</w:t>
      </w:r>
      <w:r w:rsidRPr="002C3CFD">
        <w:rPr>
          <w:vertAlign w:val="superscript"/>
        </w:rPr>
        <w:t>+</w:t>
      </w:r>
      <w:r w:rsidRPr="002C3CFD">
        <w:t xml:space="preserve">-dependent glycerol dehydrogenase </w:t>
      </w:r>
      <w:r w:rsidRPr="002C3CFD">
        <w:rPr>
          <w:noProof/>
        </w:rPr>
        <w:t>(Ben-Amotz and Avron 1974)</w:t>
      </w:r>
      <w:r w:rsidRPr="002C3CFD">
        <w:t xml:space="preserve"> and subsequent irreversible phosphorylation catalysed by dihydroxyacetone kinase </w:t>
      </w:r>
      <w:r w:rsidRPr="002C3CFD">
        <w:rPr>
          <w:noProof/>
        </w:rPr>
        <w:lastRenderedPageBreak/>
        <w:t>(Lerner et al. 1980)</w:t>
      </w:r>
      <w:r w:rsidRPr="002C3CFD">
        <w:t xml:space="preserve">. </w:t>
      </w:r>
      <w:r>
        <w:t>According to this cycle, d</w:t>
      </w:r>
      <w:r w:rsidRPr="002C3CFD">
        <w:t>ihydroxyacetone phosphate</w:t>
      </w:r>
      <w:r>
        <w:t xml:space="preserve"> is the key intermediate of cyclic glycerol metabolism in </w:t>
      </w:r>
      <w:r w:rsidRPr="002C3CFD">
        <w:rPr>
          <w:i/>
        </w:rPr>
        <w:t>Dunaliella</w:t>
      </w:r>
      <w:r w:rsidRPr="002C3CFD">
        <w:t>;</w:t>
      </w:r>
      <w:r>
        <w:t xml:space="preserve"> the data depicted here suggest that the dominant source of this intermediate</w:t>
      </w:r>
      <w:r w:rsidRPr="002C3CFD">
        <w:t xml:space="preserve"> originat</w:t>
      </w:r>
      <w:r>
        <w:t>es</w:t>
      </w:r>
      <w:r w:rsidRPr="002C3CFD">
        <w:t xml:space="preserve"> from starch breakdown</w:t>
      </w:r>
      <w:r>
        <w:t xml:space="preserve"> and is largely independent of variable photon flux density and PSII parameters</w:t>
      </w:r>
      <w:r w:rsidRPr="002C3CFD">
        <w:t>.</w:t>
      </w:r>
      <w:r w:rsidRPr="00BC546A">
        <w:rPr>
          <w:b/>
        </w:rPr>
        <w:t xml:space="preserve"> </w:t>
      </w:r>
      <w:r>
        <w:rPr>
          <w:b/>
        </w:rPr>
        <w:t xml:space="preserve"> </w:t>
      </w:r>
      <w:r w:rsidRPr="002C3CFD">
        <w:t>The intracellular concentration of multiple ions (</w:t>
      </w:r>
      <w:r>
        <w:t>e</w:t>
      </w:r>
      <w:r w:rsidRPr="002C3CFD">
        <w:t>.</w:t>
      </w:r>
      <w:r>
        <w:t>g.</w:t>
      </w:r>
      <w:r w:rsidRPr="002C3CFD">
        <w:t xml:space="preserve"> H</w:t>
      </w:r>
      <w:r w:rsidRPr="002C3CFD">
        <w:rPr>
          <w:vertAlign w:val="superscript"/>
        </w:rPr>
        <w:t>+</w:t>
      </w:r>
      <w:r w:rsidRPr="002C3CFD">
        <w:t xml:space="preserve">, </w:t>
      </w:r>
      <w:r>
        <w:t>Ca</w:t>
      </w:r>
      <w:r w:rsidRPr="002C3CFD">
        <w:rPr>
          <w:vertAlign w:val="superscript"/>
        </w:rPr>
        <w:t>2+</w:t>
      </w:r>
      <w:r>
        <w:t xml:space="preserve">, </w:t>
      </w:r>
      <w:r w:rsidRPr="002C3CFD">
        <w:t>Na</w:t>
      </w:r>
      <w:r w:rsidRPr="002C3CFD">
        <w:rPr>
          <w:vertAlign w:val="superscript"/>
        </w:rPr>
        <w:t>+</w:t>
      </w:r>
      <w:r w:rsidRPr="002C3CFD">
        <w:t>, K</w:t>
      </w:r>
      <w:r w:rsidRPr="002C3CFD">
        <w:rPr>
          <w:vertAlign w:val="superscript"/>
        </w:rPr>
        <w:t>+</w:t>
      </w:r>
      <w:r w:rsidRPr="002C3CFD">
        <w:t>) is likely involved in the regulation of glycerol metabolism.</w:t>
      </w:r>
      <w:r>
        <w:rPr>
          <w:b/>
        </w:rPr>
        <w:t xml:space="preserve">  </w:t>
      </w:r>
      <w:r w:rsidRPr="002C3CFD">
        <w:t>Data from the photo-osmotic conditions tested here suggest that constitutively elevated intracellular pH</w:t>
      </w:r>
      <w:r>
        <w:t>, but not intracellular Ca</w:t>
      </w:r>
      <w:r w:rsidRPr="002C3CFD">
        <w:rPr>
          <w:vertAlign w:val="superscript"/>
        </w:rPr>
        <w:t>2+</w:t>
      </w:r>
      <w:r>
        <w:t>,</w:t>
      </w:r>
      <w:r w:rsidRPr="002C3CFD">
        <w:t xml:space="preserve"> is </w:t>
      </w:r>
      <w:r>
        <w:t>tightly linked to glycerol concentration</w:t>
      </w:r>
      <w:r w:rsidRPr="002C3CFD">
        <w:t xml:space="preserve">, likely by modulating the function of the enzymes involved in the system </w:t>
      </w:r>
      <w:r w:rsidRPr="002C3CFD">
        <w:rPr>
          <w:noProof/>
        </w:rPr>
        <w:t>(Busa and Nuticelli 1984)</w:t>
      </w:r>
      <w:r w:rsidRPr="002C3CFD">
        <w:t>.</w:t>
      </w:r>
      <w:r>
        <w:t xml:space="preserve">  </w:t>
      </w:r>
      <w:r w:rsidRPr="002C3CFD">
        <w:t xml:space="preserve"> </w:t>
      </w:r>
      <w:r>
        <w:t>However, previous observations of transient ion fluxes (esp. Na</w:t>
      </w:r>
      <w:r w:rsidRPr="002C3CFD">
        <w:rPr>
          <w:vertAlign w:val="superscript"/>
        </w:rPr>
        <w:t>+</w:t>
      </w:r>
      <w:r>
        <w:t xml:space="preserve"> and K</w:t>
      </w:r>
      <w:r w:rsidRPr="002C3CFD">
        <w:rPr>
          <w:vertAlign w:val="superscript"/>
        </w:rPr>
        <w:t>+</w:t>
      </w:r>
      <w:r>
        <w:t xml:space="preserve">) implicated in hypertonic adaptation </w:t>
      </w:r>
      <w:r>
        <w:rPr>
          <w:noProof/>
        </w:rPr>
        <w:t>(Ehrenfeld and Cousin 1984; Ginzburg 1981)</w:t>
      </w:r>
      <w:r>
        <w:t xml:space="preserve"> suggest that constitutive elevation of such ions is likely not be required for long term elevation of intracellular glycerol. </w:t>
      </w:r>
      <w:r w:rsidRPr="002C3CFD">
        <w:t xml:space="preserve"> </w:t>
      </w:r>
      <w:r>
        <w:t xml:space="preserve">Interestingly, interconervsersions of similar magnitude of that between glycerol and starch are also evident for glycerol and soluble proteins and lipids in the photo-osmotic variants explored here.  Thus it is likely that multiple metabolic pathways are initiated to provide the dihydroxyacetone intermediate for glycerol production.  Furthermore, the high overall correlation between glycerol production and maximum and effective photosynthetic yield parameters suggests that the compound not only provides for regulated osmotic balancing, but is dominant factor for determining the total yield and biochemical composition of the biomass under variable environmental conditions. Although glycerol is typically viewed as a low value byproduct of biofuels production (e.g. from biodiesel transesterification), because of the high degree of carbon reduction in this compound there is potential to produce fuels and other reduced chemical intermediates using biochemical conversion approaches such as anaerobic fermentation </w:t>
      </w:r>
      <w:r>
        <w:rPr>
          <w:noProof/>
        </w:rPr>
        <w:t>(Clomburg and Gonzalez 2013)</w:t>
      </w:r>
      <w:r>
        <w:t xml:space="preserve">.  For conditions that proved most optimal for high growth rate, high correlation intensities were observed between the photosynthetic yield parameters and nitrogen consumption.  The fact </w:t>
      </w:r>
      <w:r>
        <w:lastRenderedPageBreak/>
        <w:t xml:space="preserve">that the correlation between these two parameters in the global analysis is ambiguous provides evidence for compensatory mechanisms for maintaining growth under suboptimal light/salinity regimes by a relative increase in nitrate uptake per unit biomass.  This result is consistent with a similar effect that was reported previously in </w:t>
      </w:r>
      <w:r w:rsidRPr="00AC4D18">
        <w:rPr>
          <w:i/>
        </w:rPr>
        <w:t>D. tertiolecta</w:t>
      </w:r>
      <w:r>
        <w:t xml:space="preserve"> in studies of simultaneous light and nitrate limitation </w:t>
      </w:r>
      <w:r>
        <w:rPr>
          <w:noProof/>
        </w:rPr>
        <w:t>(Sciandra et al. 1997)</w:t>
      </w:r>
      <w:r>
        <w:t xml:space="preserve">.  </w:t>
      </w:r>
    </w:p>
    <w:p w:rsidR="00C72B9A" w:rsidRDefault="00C72B9A" w:rsidP="00911976">
      <w:pPr>
        <w:spacing w:line="480" w:lineRule="auto"/>
        <w:jc w:val="both"/>
      </w:pPr>
      <w:r>
        <w:tab/>
        <w:t xml:space="preserve">Finally, release of lipid microparticles from the algae cells was observed during a variety of photo-osmotic drift conditions.  Assessment of the mass balance of the lipid fraction retained in the cells and released into the media (figure 6c) suggest that a process that combines a moderately high salinity cultivation medium (~1.36 M NaCl) and high light intensities with intermittent induction of hypotonic drift (or a biochemically simulated version thereof) would provide high overall lipid yield and result in release of ~62% of the accumulated lipids into the culture medium. Analysis of the cell counts from the initial and final days of this assay indicate that significant growth yield loss (~28%) is incurred as a result of the shifted salinity.   However, the fact that &gt;60% of the lipid is transferred to the bulk medium suggests that the mechanism for the observed lipid release is not entirely dominated by lethal or growth-arresting cell lysis, but that reversible permeation may also play a significant role. Although a precedent for osmotically-induced milking of bacteria has been demonstrated previously </w:t>
      </w:r>
      <w:r>
        <w:rPr>
          <w:noProof/>
        </w:rPr>
        <w:t>(Sauer and Galinski 1998)</w:t>
      </w:r>
      <w:r>
        <w:t xml:space="preserve">, to our knowledge this is the first report showing potential for similar techniques for isolation of microalgal bioproducts.  Combining this strategy with semi-continuous biomass harvest could likely be achieved using microparticle-selective filtration, lipid adsorbents, or other passive approaches and therefore prevent wholesale lysis of the biomass by acute osmotic changes </w:t>
      </w:r>
      <w:r>
        <w:rPr>
          <w:noProof/>
        </w:rPr>
        <w:t>(Ginzburg et al. 1990)</w:t>
      </w:r>
      <w:r>
        <w:t xml:space="preserve"> or direct and interfacial exposure to chemical solvents reported previously </w:t>
      </w:r>
      <w:r>
        <w:rPr>
          <w:noProof/>
        </w:rPr>
        <w:t>(Kleinegris et al. 2011)</w:t>
      </w:r>
      <w:r>
        <w:t xml:space="preserve">.  The energy savings potential provided by avoidance of dewatering the biomass using such a process could account for as much as a 30% reduction in the total cost of bioproducts </w:t>
      </w:r>
      <w:r>
        <w:lastRenderedPageBreak/>
        <w:t xml:space="preserve">and fuels from microalgae </w:t>
      </w:r>
      <w:r>
        <w:rPr>
          <w:noProof/>
        </w:rPr>
        <w:t>(Greenwell et al. 2010)</w:t>
      </w:r>
      <w:r>
        <w:t xml:space="preserve">.  Furthermore, the process should be amenable for isolation of lipophilic high value products (such as carotenoids) prior to hydrothermal upgrading of wet biomass slurries to fuels </w:t>
      </w:r>
      <w:r>
        <w:rPr>
          <w:noProof/>
        </w:rPr>
        <w:t>(Elliot et al. 2013)</w:t>
      </w:r>
      <w:r>
        <w:t xml:space="preserve">.   </w:t>
      </w:r>
    </w:p>
    <w:p w:rsidR="00C72B9A" w:rsidRDefault="00C72B9A" w:rsidP="00706B7F">
      <w:pPr>
        <w:spacing w:line="480" w:lineRule="auto"/>
        <w:jc w:val="both"/>
        <w:rPr>
          <w:b/>
        </w:rPr>
      </w:pPr>
    </w:p>
    <w:p w:rsidR="00C72B9A" w:rsidRPr="00706B7F" w:rsidRDefault="00C72B9A" w:rsidP="00706B7F">
      <w:pPr>
        <w:spacing w:line="480" w:lineRule="auto"/>
        <w:jc w:val="both"/>
        <w:rPr>
          <w:b/>
        </w:rPr>
      </w:pPr>
      <w:r w:rsidRPr="00706B7F">
        <w:rPr>
          <w:b/>
        </w:rPr>
        <w:t>Acknowledgements</w:t>
      </w:r>
    </w:p>
    <w:p w:rsidR="00C72B9A" w:rsidRDefault="00C72B9A" w:rsidP="00706B7F">
      <w:pPr>
        <w:pStyle w:val="BodyofPaper"/>
        <w:spacing w:line="480" w:lineRule="auto"/>
        <w:rPr>
          <w:sz w:val="24"/>
          <w:szCs w:val="24"/>
        </w:rPr>
      </w:pPr>
      <w:r w:rsidRPr="001905C6">
        <w:rPr>
          <w:sz w:val="24"/>
          <w:szCs w:val="24"/>
        </w:rPr>
        <w:t xml:space="preserve">Sandia is a multi-program laboratory operated by Sandia Corporation, a Lockheed Martin Company, for the United States Department of Energy under Contract DE-ACO4-94AL85000.  </w:t>
      </w:r>
      <w:r>
        <w:rPr>
          <w:sz w:val="24"/>
          <w:szCs w:val="24"/>
        </w:rPr>
        <w:t>S</w:t>
      </w:r>
      <w:r w:rsidRPr="001905C6">
        <w:rPr>
          <w:sz w:val="24"/>
          <w:szCs w:val="24"/>
        </w:rPr>
        <w:t>upport is acknowledged from Sandia National Laboratories’ Laboratory Directed Research and Development project</w:t>
      </w:r>
      <w:r>
        <w:rPr>
          <w:sz w:val="24"/>
          <w:szCs w:val="24"/>
        </w:rPr>
        <w:t>s</w:t>
      </w:r>
      <w:r w:rsidRPr="001905C6">
        <w:rPr>
          <w:sz w:val="24"/>
          <w:szCs w:val="24"/>
        </w:rPr>
        <w:t xml:space="preserve"> titled</w:t>
      </w:r>
      <w:r>
        <w:rPr>
          <w:sz w:val="24"/>
          <w:szCs w:val="24"/>
        </w:rPr>
        <w:t>, “</w:t>
      </w:r>
      <w:r w:rsidRPr="00DF0E97">
        <w:rPr>
          <w:sz w:val="24"/>
          <w:szCs w:val="24"/>
        </w:rPr>
        <w:t xml:space="preserve">From algae to oilgae: </w:t>
      </w:r>
      <w:r w:rsidRPr="00B07EFE">
        <w:rPr>
          <w:i/>
          <w:sz w:val="24"/>
          <w:szCs w:val="24"/>
        </w:rPr>
        <w:t>In-situ</w:t>
      </w:r>
      <w:r w:rsidRPr="00DF0E97">
        <w:rPr>
          <w:sz w:val="24"/>
          <w:szCs w:val="24"/>
        </w:rPr>
        <w:t xml:space="preserve"> studies of the factors controlling growth</w:t>
      </w:r>
      <w:r>
        <w:rPr>
          <w:sz w:val="24"/>
          <w:szCs w:val="24"/>
        </w:rPr>
        <w:t xml:space="preserve"> and</w:t>
      </w:r>
      <w:r w:rsidRPr="00DF0E97">
        <w:rPr>
          <w:sz w:val="24"/>
          <w:szCs w:val="24"/>
        </w:rPr>
        <w:t xml:space="preserve"> oil production in microalgae</w:t>
      </w:r>
      <w:r>
        <w:rPr>
          <w:sz w:val="24"/>
          <w:szCs w:val="24"/>
        </w:rPr>
        <w:t>,” Seema Singh (PI) and “Self-deconstructing algal biomass for transportation fuels,” Ryan W. Davis (PI)</w:t>
      </w:r>
      <w:r w:rsidRPr="001905C6">
        <w:rPr>
          <w:sz w:val="24"/>
          <w:szCs w:val="24"/>
        </w:rPr>
        <w:t>.</w:t>
      </w:r>
    </w:p>
    <w:p w:rsidR="00C72B9A" w:rsidRDefault="00C72B9A" w:rsidP="003943B2">
      <w:pPr>
        <w:spacing w:line="480" w:lineRule="auto"/>
        <w:jc w:val="both"/>
        <w:rPr>
          <w:b/>
        </w:rPr>
      </w:pPr>
    </w:p>
    <w:p w:rsidR="00C72B9A" w:rsidRDefault="00C72B9A" w:rsidP="00F250F4">
      <w:pPr>
        <w:spacing w:line="480" w:lineRule="auto"/>
        <w:jc w:val="both"/>
        <w:rPr>
          <w:b/>
        </w:rPr>
      </w:pPr>
    </w:p>
    <w:p w:rsidR="00C72B9A" w:rsidRPr="00890532" w:rsidRDefault="00C72B9A" w:rsidP="00F250F4">
      <w:pPr>
        <w:spacing w:line="480" w:lineRule="auto"/>
        <w:jc w:val="both"/>
        <w:rPr>
          <w:b/>
        </w:rPr>
      </w:pPr>
      <w:r w:rsidRPr="00890532">
        <w:rPr>
          <w:b/>
        </w:rPr>
        <w:t>References</w:t>
      </w:r>
    </w:p>
    <w:p w:rsidR="00C72B9A" w:rsidRDefault="00C72B9A" w:rsidP="00542471"/>
    <w:p w:rsidR="00C72B9A" w:rsidRDefault="00C72B9A" w:rsidP="00885309">
      <w:pPr>
        <w:pStyle w:val="ListParagraph"/>
        <w:ind w:hanging="720"/>
        <w:rPr>
          <w:noProof/>
        </w:rPr>
      </w:pPr>
      <w:bookmarkStart w:id="2" w:name="_ENREF_1"/>
      <w:r>
        <w:rPr>
          <w:noProof/>
        </w:rPr>
        <w:t>Assunção P</w:t>
      </w:r>
      <w:r w:rsidR="00512D9E">
        <w:rPr>
          <w:noProof/>
        </w:rPr>
        <w:t>,</w:t>
      </w:r>
      <w:r>
        <w:rPr>
          <w:noProof/>
        </w:rPr>
        <w:t xml:space="preserve"> </w:t>
      </w:r>
      <w:r w:rsidR="00512D9E" w:rsidRPr="00512D9E">
        <w:rPr>
          <w:noProof/>
        </w:rPr>
        <w:t xml:space="preserve">Jaén-Molina R, Caujapé-Castells J, Wolf M, Buchheim MA, de la Jara A, Freijanes K, Carmona L, Mendoza H </w:t>
      </w:r>
      <w:r>
        <w:rPr>
          <w:noProof/>
        </w:rPr>
        <w:t xml:space="preserve">(2013) Phylogenetic analysis of ITS2 sequences suggests the taxonomic re-structuring of </w:t>
      </w:r>
      <w:r w:rsidRPr="00885309">
        <w:rPr>
          <w:i/>
          <w:noProof/>
        </w:rPr>
        <w:t xml:space="preserve">Dunaliella viridis </w:t>
      </w:r>
      <w:r>
        <w:rPr>
          <w:noProof/>
        </w:rPr>
        <w:t>(Chlorophyceae, Dunaliellales). Phycol Res 61</w:t>
      </w:r>
      <w:bookmarkEnd w:id="2"/>
      <w:r w:rsidR="00512D9E">
        <w:rPr>
          <w:noProof/>
        </w:rPr>
        <w:t>: 81-88</w:t>
      </w:r>
    </w:p>
    <w:p w:rsidR="00C72B9A" w:rsidRDefault="00C72B9A" w:rsidP="00885309">
      <w:pPr>
        <w:pStyle w:val="ListParagraph"/>
        <w:ind w:hanging="720"/>
        <w:rPr>
          <w:noProof/>
        </w:rPr>
      </w:pPr>
      <w:bookmarkStart w:id="3" w:name="_ENREF_2"/>
      <w:r>
        <w:rPr>
          <w:noProof/>
        </w:rPr>
        <w:t xml:space="preserve">Azachi M, Sadka A, Fisher M, Goldshlag P, Gokhman I, Zamir A (2002) Salt induction of fatty acid elongase and membrane lipid modifications in the extreme halotolerant alga </w:t>
      </w:r>
      <w:r w:rsidRPr="00885309">
        <w:rPr>
          <w:i/>
          <w:noProof/>
        </w:rPr>
        <w:t>Dunaliella salina.</w:t>
      </w:r>
      <w:r>
        <w:rPr>
          <w:noProof/>
        </w:rPr>
        <w:t xml:space="preserve"> Plant Physiol 129:1320-1329 </w:t>
      </w:r>
      <w:bookmarkEnd w:id="3"/>
    </w:p>
    <w:p w:rsidR="00C72B9A" w:rsidRDefault="00C72B9A" w:rsidP="00885309">
      <w:pPr>
        <w:pStyle w:val="ListParagraph"/>
        <w:ind w:hanging="720"/>
        <w:rPr>
          <w:noProof/>
        </w:rPr>
      </w:pPr>
      <w:bookmarkStart w:id="4" w:name="_ENREF_3"/>
      <w:r>
        <w:rPr>
          <w:noProof/>
        </w:rPr>
        <w:t xml:space="preserve">Barzegari A, Hejazi MA, Hosseinzadeh N, Eslami S, Aghdam EM, Mehdizadeh EA, Hejazi MS (2010) </w:t>
      </w:r>
      <w:r w:rsidRPr="00885309">
        <w:rPr>
          <w:i/>
          <w:noProof/>
        </w:rPr>
        <w:t>Dunaliella</w:t>
      </w:r>
      <w:r>
        <w:rPr>
          <w:noProof/>
        </w:rPr>
        <w:t xml:space="preserve"> as an attractive candidate for molecular farming. Mol Biol Rep 37:3427-3430 </w:t>
      </w:r>
      <w:bookmarkEnd w:id="4"/>
    </w:p>
    <w:p w:rsidR="00C72B9A" w:rsidRDefault="00C72B9A" w:rsidP="00885309">
      <w:pPr>
        <w:pStyle w:val="ListParagraph"/>
        <w:ind w:hanging="720"/>
        <w:rPr>
          <w:noProof/>
        </w:rPr>
      </w:pPr>
      <w:bookmarkStart w:id="5" w:name="_ENREF_4"/>
      <w:r>
        <w:rPr>
          <w:noProof/>
        </w:rPr>
        <w:t xml:space="preserve">Ben-Amotz A, Avron M (1973) Role of glycerol in osmotic regulation of the halophilic alga </w:t>
      </w:r>
      <w:r w:rsidRPr="00885309">
        <w:rPr>
          <w:i/>
          <w:noProof/>
        </w:rPr>
        <w:t>Dunaliella parva.</w:t>
      </w:r>
      <w:r>
        <w:rPr>
          <w:noProof/>
        </w:rPr>
        <w:t xml:space="preserve"> Plant Physiol 51:875-878 </w:t>
      </w:r>
      <w:bookmarkEnd w:id="5"/>
    </w:p>
    <w:p w:rsidR="00C72B9A" w:rsidRDefault="00C72B9A" w:rsidP="00885309">
      <w:pPr>
        <w:pStyle w:val="ListParagraph"/>
        <w:ind w:hanging="720"/>
        <w:rPr>
          <w:noProof/>
        </w:rPr>
      </w:pPr>
      <w:bookmarkStart w:id="6" w:name="_ENREF_5"/>
      <w:r>
        <w:rPr>
          <w:noProof/>
        </w:rPr>
        <w:t xml:space="preserve">Ben-Amotz A, Avron M (1974) Isolation, characterization and partial purification of a reduced nicotinamide adenine dinucleotide phosphate-dependent dihydroxyacetone reductase from the halophilic alga </w:t>
      </w:r>
      <w:r w:rsidRPr="00885309">
        <w:rPr>
          <w:i/>
          <w:noProof/>
        </w:rPr>
        <w:t>Dunaliella parva.</w:t>
      </w:r>
      <w:r>
        <w:rPr>
          <w:noProof/>
        </w:rPr>
        <w:t xml:space="preserve"> Plant Physiol 53:628-631</w:t>
      </w:r>
      <w:bookmarkEnd w:id="6"/>
    </w:p>
    <w:p w:rsidR="00C72B9A" w:rsidRDefault="00C72B9A" w:rsidP="00885309">
      <w:pPr>
        <w:pStyle w:val="ListParagraph"/>
        <w:ind w:hanging="720"/>
        <w:rPr>
          <w:noProof/>
        </w:rPr>
      </w:pPr>
      <w:bookmarkStart w:id="7" w:name="_ENREF_6"/>
      <w:r>
        <w:rPr>
          <w:noProof/>
        </w:rPr>
        <w:t xml:space="preserve">Ben-Amotz A, Avron M (1982) The potential use of </w:t>
      </w:r>
      <w:r w:rsidRPr="00885309">
        <w:rPr>
          <w:i/>
          <w:noProof/>
        </w:rPr>
        <w:t>Dunaliella</w:t>
      </w:r>
      <w:r>
        <w:rPr>
          <w:noProof/>
        </w:rPr>
        <w:t xml:space="preserve"> for the production of glycerol, b-carotene, and high-protein feed. In: San Pieto A (ed) Biosaline research: A look to the future. Plenum, New York, pp 207-214</w:t>
      </w:r>
      <w:bookmarkEnd w:id="7"/>
    </w:p>
    <w:p w:rsidR="00C72B9A" w:rsidRDefault="00C72B9A" w:rsidP="00885309">
      <w:pPr>
        <w:pStyle w:val="ListParagraph"/>
        <w:ind w:hanging="720"/>
        <w:rPr>
          <w:noProof/>
        </w:rPr>
      </w:pPr>
      <w:bookmarkStart w:id="8" w:name="_ENREF_7"/>
      <w:r>
        <w:rPr>
          <w:noProof/>
        </w:rPr>
        <w:t xml:space="preserve">Berges JA, Franklin DJ, Harrison PJ (2001) Evolution of an artificial seawater medium: Improvements in enriched seawater, artificial water over the last two decades. J Phycol 37:1138-1145 </w:t>
      </w:r>
      <w:bookmarkEnd w:id="8"/>
    </w:p>
    <w:p w:rsidR="00C72B9A" w:rsidRDefault="00C72B9A" w:rsidP="00885309">
      <w:pPr>
        <w:pStyle w:val="ListParagraph"/>
        <w:ind w:hanging="720"/>
        <w:rPr>
          <w:noProof/>
        </w:rPr>
      </w:pPr>
      <w:bookmarkStart w:id="9" w:name="_ENREF_8"/>
      <w:r>
        <w:rPr>
          <w:noProof/>
        </w:rPr>
        <w:lastRenderedPageBreak/>
        <w:t xml:space="preserve">Bird KT (1982) Nitrogen allocation and storage patterns in </w:t>
      </w:r>
      <w:r w:rsidRPr="00885309">
        <w:rPr>
          <w:i/>
          <w:noProof/>
        </w:rPr>
        <w:t>Gracilaria tikvahiae</w:t>
      </w:r>
      <w:r>
        <w:rPr>
          <w:noProof/>
        </w:rPr>
        <w:t xml:space="preserve"> (Rhodophyta). J Phycol 18:344-348</w:t>
      </w:r>
      <w:bookmarkEnd w:id="9"/>
    </w:p>
    <w:p w:rsidR="00C72B9A" w:rsidRDefault="00C72B9A" w:rsidP="00885309">
      <w:pPr>
        <w:pStyle w:val="ListParagraph"/>
        <w:ind w:hanging="720"/>
        <w:rPr>
          <w:noProof/>
        </w:rPr>
      </w:pPr>
      <w:bookmarkStart w:id="10" w:name="_ENREF_9"/>
      <w:r>
        <w:rPr>
          <w:noProof/>
        </w:rPr>
        <w:t xml:space="preserve">Booth WA, Beardall J (1991) Effects of salinity on inorganic carbon utilization and carbonic anhydrase activity in the halotolerant alga </w:t>
      </w:r>
      <w:r w:rsidRPr="00885309">
        <w:rPr>
          <w:i/>
          <w:noProof/>
        </w:rPr>
        <w:t xml:space="preserve">Dunaliella salina </w:t>
      </w:r>
      <w:r>
        <w:rPr>
          <w:noProof/>
        </w:rPr>
        <w:t>(Chlorophyta). Phycologia 30:220-225</w:t>
      </w:r>
      <w:bookmarkEnd w:id="10"/>
    </w:p>
    <w:p w:rsidR="00C72B9A" w:rsidRDefault="00C72B9A" w:rsidP="00885309">
      <w:pPr>
        <w:pStyle w:val="ListParagraph"/>
        <w:ind w:hanging="720"/>
        <w:rPr>
          <w:noProof/>
        </w:rPr>
      </w:pPr>
      <w:bookmarkStart w:id="11" w:name="_ENREF_10"/>
      <w:r>
        <w:rPr>
          <w:noProof/>
        </w:rPr>
        <w:t xml:space="preserve">Borowitzka LJ, Brown AD (1974) The salt relations of marine and halophilic species of the uni cellular green alga </w:t>
      </w:r>
      <w:r w:rsidRPr="00885309">
        <w:rPr>
          <w:i/>
          <w:noProof/>
        </w:rPr>
        <w:t xml:space="preserve">Dunaliella </w:t>
      </w:r>
      <w:r>
        <w:rPr>
          <w:noProof/>
        </w:rPr>
        <w:t>the role of glycerol as a compatible solute. Arch Microbiol 96:37-52</w:t>
      </w:r>
      <w:bookmarkEnd w:id="11"/>
    </w:p>
    <w:p w:rsidR="00C72B9A" w:rsidRDefault="00C72B9A" w:rsidP="00885309">
      <w:pPr>
        <w:pStyle w:val="ListParagraph"/>
        <w:ind w:hanging="720"/>
        <w:rPr>
          <w:noProof/>
        </w:rPr>
      </w:pPr>
      <w:bookmarkStart w:id="12" w:name="_ENREF_11"/>
      <w:r>
        <w:rPr>
          <w:noProof/>
        </w:rPr>
        <w:t>Borowitzka MA (1986) Microalgae as sources of fine chemicals. Microbiol Sci 3:372-375</w:t>
      </w:r>
      <w:bookmarkEnd w:id="12"/>
    </w:p>
    <w:p w:rsidR="00C72B9A" w:rsidRDefault="00C72B9A" w:rsidP="00885309">
      <w:pPr>
        <w:pStyle w:val="ListParagraph"/>
        <w:ind w:hanging="720"/>
        <w:rPr>
          <w:noProof/>
        </w:rPr>
      </w:pPr>
      <w:bookmarkStart w:id="13" w:name="_ENREF_12"/>
      <w:r>
        <w:rPr>
          <w:noProof/>
        </w:rPr>
        <w:t>Borowitzka MA, Moheimani NR (2013) Sustainable biofuels from algae. Mitig Adapt Strateg Glob Change 18:13-25</w:t>
      </w:r>
      <w:bookmarkEnd w:id="13"/>
    </w:p>
    <w:p w:rsidR="00C72B9A" w:rsidRDefault="00C72B9A" w:rsidP="00885309">
      <w:pPr>
        <w:pStyle w:val="ListParagraph"/>
        <w:ind w:hanging="720"/>
        <w:rPr>
          <w:noProof/>
        </w:rPr>
      </w:pPr>
      <w:bookmarkStart w:id="14" w:name="_ENREF_13"/>
      <w:r>
        <w:rPr>
          <w:noProof/>
        </w:rPr>
        <w:t xml:space="preserve">Borowitzka MA, Siva CJ (2007) The taxonomy of the genus </w:t>
      </w:r>
      <w:r w:rsidRPr="00885309">
        <w:rPr>
          <w:i/>
          <w:noProof/>
        </w:rPr>
        <w:t>Dunaliella</w:t>
      </w:r>
      <w:r>
        <w:rPr>
          <w:noProof/>
        </w:rPr>
        <w:t xml:space="preserve"> (Chlorophyta, Duanliellales) with emphasis on the marine and halophile species. Appl Phycol 19:567-590</w:t>
      </w:r>
      <w:bookmarkEnd w:id="14"/>
    </w:p>
    <w:p w:rsidR="00C72B9A" w:rsidRDefault="00C72B9A" w:rsidP="00885309">
      <w:pPr>
        <w:pStyle w:val="ListParagraph"/>
        <w:ind w:hanging="720"/>
        <w:rPr>
          <w:noProof/>
        </w:rPr>
      </w:pPr>
      <w:bookmarkStart w:id="15" w:name="_ENREF_14"/>
      <w:r>
        <w:rPr>
          <w:noProof/>
        </w:rPr>
        <w:t>Busa WB, Nuticelli R (1984) Metabolic regulation via intracellular pH. Am J Physiol 246:R409-R438</w:t>
      </w:r>
      <w:bookmarkEnd w:id="15"/>
    </w:p>
    <w:p w:rsidR="00C72B9A" w:rsidRDefault="00C72B9A" w:rsidP="00885309">
      <w:pPr>
        <w:pStyle w:val="ListParagraph"/>
        <w:ind w:hanging="720"/>
        <w:rPr>
          <w:noProof/>
        </w:rPr>
      </w:pPr>
      <w:bookmarkStart w:id="16" w:name="_ENREF_15"/>
      <w:r>
        <w:rPr>
          <w:noProof/>
        </w:rPr>
        <w:t xml:space="preserve">Chitlaru E, Pick U (1989) Selection and characterization of </w:t>
      </w:r>
      <w:r w:rsidRPr="00885309">
        <w:rPr>
          <w:i/>
          <w:noProof/>
        </w:rPr>
        <w:t xml:space="preserve">Dunaliella salina </w:t>
      </w:r>
      <w:r>
        <w:rPr>
          <w:noProof/>
        </w:rPr>
        <w:t xml:space="preserve">mutants defective in haloadaptation. Plant Physiol 91:788-794 </w:t>
      </w:r>
      <w:bookmarkEnd w:id="16"/>
    </w:p>
    <w:p w:rsidR="00C72B9A" w:rsidRDefault="00C72B9A" w:rsidP="00885309">
      <w:pPr>
        <w:pStyle w:val="ListParagraph"/>
        <w:ind w:hanging="720"/>
        <w:rPr>
          <w:noProof/>
        </w:rPr>
      </w:pPr>
      <w:bookmarkStart w:id="17" w:name="_ENREF_16"/>
      <w:r>
        <w:rPr>
          <w:noProof/>
        </w:rPr>
        <w:t xml:space="preserve">Chitlaru E, Pick U (1991) Regulation of glycerol synthesis in response to osmotic changes in </w:t>
      </w:r>
      <w:r w:rsidRPr="00885309">
        <w:rPr>
          <w:i/>
          <w:noProof/>
        </w:rPr>
        <w:t>Dunaliella.</w:t>
      </w:r>
      <w:r>
        <w:rPr>
          <w:noProof/>
        </w:rPr>
        <w:t xml:space="preserve"> Plant Physiol 96:50-60 </w:t>
      </w:r>
      <w:bookmarkEnd w:id="17"/>
    </w:p>
    <w:p w:rsidR="00C72B9A" w:rsidRDefault="00C72B9A" w:rsidP="00885309">
      <w:pPr>
        <w:pStyle w:val="ListParagraph"/>
        <w:ind w:hanging="720"/>
        <w:rPr>
          <w:noProof/>
        </w:rPr>
      </w:pPr>
      <w:bookmarkStart w:id="18" w:name="_ENREF_17"/>
      <w:r>
        <w:rPr>
          <w:noProof/>
        </w:rPr>
        <w:t>Clayton JR, Dortch Q, Thoresen SS, Ahmed SI (1988) Evaluation of methods for the separations and analysis of proteins and free amino acids in phytoplankton samples. J Plankton Res 10:341-358</w:t>
      </w:r>
      <w:bookmarkEnd w:id="18"/>
    </w:p>
    <w:p w:rsidR="00C72B9A" w:rsidRDefault="00C72B9A" w:rsidP="00885309">
      <w:pPr>
        <w:pStyle w:val="ListParagraph"/>
        <w:ind w:hanging="720"/>
        <w:rPr>
          <w:noProof/>
        </w:rPr>
      </w:pPr>
      <w:bookmarkStart w:id="19" w:name="_ENREF_18"/>
      <w:r>
        <w:rPr>
          <w:noProof/>
        </w:rPr>
        <w:t>Clomburg JM, Gonzalez R (2013) Anaerobic fermentation of glycerol: a platform for renewable fuels and chemicals. Trends Biotechnol 31:20-28</w:t>
      </w:r>
      <w:bookmarkEnd w:id="19"/>
    </w:p>
    <w:p w:rsidR="00C72B9A" w:rsidRDefault="00C72B9A" w:rsidP="00885309">
      <w:pPr>
        <w:pStyle w:val="ListParagraph"/>
        <w:ind w:hanging="720"/>
        <w:rPr>
          <w:noProof/>
        </w:rPr>
      </w:pPr>
      <w:bookmarkStart w:id="20" w:name="_ENREF_19"/>
      <w:r>
        <w:rPr>
          <w:noProof/>
        </w:rPr>
        <w:t xml:space="preserve">Collins AM, Jones HDT, Han D, Hu Q, Beecham TE, Timlin JA (2011) Carotenoid distribution in living cells of </w:t>
      </w:r>
      <w:r w:rsidRPr="00885309">
        <w:rPr>
          <w:i/>
          <w:noProof/>
        </w:rPr>
        <w:t>Haematococcus pluvialis</w:t>
      </w:r>
      <w:r>
        <w:rPr>
          <w:noProof/>
        </w:rPr>
        <w:t xml:space="preserve"> (Chlorophyceae). Plos One 6:e24302 </w:t>
      </w:r>
      <w:bookmarkEnd w:id="20"/>
    </w:p>
    <w:p w:rsidR="00C72B9A" w:rsidRDefault="00C72B9A" w:rsidP="00885309">
      <w:pPr>
        <w:pStyle w:val="ListParagraph"/>
        <w:ind w:hanging="720"/>
        <w:rPr>
          <w:noProof/>
        </w:rPr>
      </w:pPr>
      <w:bookmarkStart w:id="21" w:name="_ENREF_20"/>
      <w:r>
        <w:rPr>
          <w:noProof/>
        </w:rPr>
        <w:t xml:space="preserve">Cooksey KE, Guckert JB, Williams SA, Callis PR (1987) Fluorometric determination of the neutral lipid-content of microalgal cells using Nile Red. J Microbiol Meth 6:333-345 </w:t>
      </w:r>
      <w:bookmarkEnd w:id="21"/>
    </w:p>
    <w:p w:rsidR="00C72B9A" w:rsidRDefault="00C72B9A" w:rsidP="00885309">
      <w:pPr>
        <w:pStyle w:val="ListParagraph"/>
        <w:ind w:hanging="720"/>
        <w:rPr>
          <w:noProof/>
        </w:rPr>
      </w:pPr>
      <w:bookmarkStart w:id="22" w:name="_ENREF_21"/>
      <w:r>
        <w:rPr>
          <w:noProof/>
        </w:rPr>
        <w:t xml:space="preserve">Davis RW, Volponi JV, Jones HD, Carvalho BJ, Wu H, Singh S (2012) Multiplex fluorometric assessment of nutrient limitation as a strategy for enhanced lipid enrichment and harvesting of </w:t>
      </w:r>
      <w:r w:rsidRPr="00885309">
        <w:rPr>
          <w:i/>
          <w:noProof/>
        </w:rPr>
        <w:t>Neochloris oleoabundans.</w:t>
      </w:r>
      <w:r>
        <w:rPr>
          <w:noProof/>
        </w:rPr>
        <w:t xml:space="preserve"> Biotechnol Bioeng 109:2503-2512 </w:t>
      </w:r>
      <w:bookmarkEnd w:id="22"/>
    </w:p>
    <w:p w:rsidR="00C72B9A" w:rsidRDefault="00C72B9A" w:rsidP="00885309">
      <w:pPr>
        <w:pStyle w:val="ListParagraph"/>
        <w:ind w:hanging="720"/>
        <w:rPr>
          <w:noProof/>
        </w:rPr>
      </w:pPr>
      <w:bookmarkStart w:id="23" w:name="_ENREF_22"/>
      <w:r>
        <w:rPr>
          <w:noProof/>
        </w:rPr>
        <w:t xml:space="preserve">de Oliveira VE, Castro HV, Edwards HGM, de Oliveira LFC (2010) Carotenes and carotenoids in natural biological samples: a Raman spectroscopic analysis. J Raman Spectrosc 41:642-650 </w:t>
      </w:r>
      <w:bookmarkEnd w:id="23"/>
    </w:p>
    <w:p w:rsidR="00C72B9A" w:rsidRDefault="00C72B9A" w:rsidP="00885309">
      <w:pPr>
        <w:pStyle w:val="ListParagraph"/>
        <w:ind w:hanging="720"/>
        <w:rPr>
          <w:noProof/>
        </w:rPr>
      </w:pPr>
      <w:bookmarkStart w:id="24" w:name="_ENREF_23"/>
      <w:r>
        <w:rPr>
          <w:noProof/>
        </w:rPr>
        <w:t xml:space="preserve">Ehrenfeld J, Cousin JL (1984) Ionic regulation of the unicellular green-alga </w:t>
      </w:r>
      <w:r w:rsidRPr="00885309">
        <w:rPr>
          <w:i/>
          <w:noProof/>
        </w:rPr>
        <w:t>Dunaliella tertiolecta</w:t>
      </w:r>
      <w:r>
        <w:rPr>
          <w:noProof/>
        </w:rPr>
        <w:t xml:space="preserve"> - Response to hypertonic shock. J Membrane Biol 77:45-55 </w:t>
      </w:r>
      <w:bookmarkEnd w:id="24"/>
    </w:p>
    <w:p w:rsidR="00C72B9A" w:rsidRDefault="00C72B9A" w:rsidP="00885309">
      <w:pPr>
        <w:pStyle w:val="ListParagraph"/>
        <w:ind w:hanging="720"/>
        <w:rPr>
          <w:noProof/>
        </w:rPr>
      </w:pPr>
      <w:bookmarkStart w:id="25" w:name="_ENREF_24"/>
      <w:r>
        <w:rPr>
          <w:noProof/>
        </w:rPr>
        <w:t>Elliot DC et al. (2013) Process development for hydrothermal liquefaction of algae feedstocks in a continuous flow reactor. Algal Res 2:445-454</w:t>
      </w:r>
      <w:bookmarkEnd w:id="25"/>
    </w:p>
    <w:p w:rsidR="00C72B9A" w:rsidRDefault="00C72B9A" w:rsidP="00885309">
      <w:pPr>
        <w:pStyle w:val="ListParagraph"/>
        <w:ind w:hanging="720"/>
        <w:rPr>
          <w:noProof/>
        </w:rPr>
      </w:pPr>
      <w:bookmarkStart w:id="26" w:name="_ENREF_25"/>
      <w:r>
        <w:rPr>
          <w:noProof/>
        </w:rPr>
        <w:t>Folch J, Lees M, Sloane-Stanley GH (1957) A simple method for the isolation and purification of total lipides from animal tissues. J Biol Chem 226:497-509</w:t>
      </w:r>
      <w:bookmarkEnd w:id="26"/>
    </w:p>
    <w:p w:rsidR="00C72B9A" w:rsidRDefault="00C72B9A" w:rsidP="00885309">
      <w:pPr>
        <w:pStyle w:val="ListParagraph"/>
        <w:ind w:hanging="720"/>
        <w:rPr>
          <w:noProof/>
        </w:rPr>
      </w:pPr>
      <w:bookmarkStart w:id="27" w:name="_ENREF_26"/>
      <w:r>
        <w:rPr>
          <w:noProof/>
        </w:rPr>
        <w:t xml:space="preserve">Ginzburg M (1981) Measurement of ion concentrations in </w:t>
      </w:r>
      <w:r w:rsidRPr="00885309">
        <w:rPr>
          <w:i/>
          <w:noProof/>
        </w:rPr>
        <w:t>Dunaliella parva</w:t>
      </w:r>
      <w:r>
        <w:rPr>
          <w:noProof/>
        </w:rPr>
        <w:t xml:space="preserve"> subjected to hypertonic shock. J Exp Bot 32:333-340</w:t>
      </w:r>
      <w:bookmarkEnd w:id="27"/>
    </w:p>
    <w:p w:rsidR="00C72B9A" w:rsidRDefault="00C72B9A" w:rsidP="00885309">
      <w:pPr>
        <w:pStyle w:val="ListParagraph"/>
        <w:ind w:hanging="720"/>
        <w:rPr>
          <w:noProof/>
        </w:rPr>
      </w:pPr>
      <w:bookmarkStart w:id="28" w:name="_ENREF_27"/>
      <w:r>
        <w:rPr>
          <w:noProof/>
        </w:rPr>
        <w:t xml:space="preserve">Ginzburg M, Weizinger G, Cohen M, Ginzburg BZ (1990) The adaptation of </w:t>
      </w:r>
      <w:r w:rsidRPr="00885309">
        <w:rPr>
          <w:i/>
          <w:noProof/>
        </w:rPr>
        <w:t>Dunaliella</w:t>
      </w:r>
      <w:r>
        <w:rPr>
          <w:noProof/>
        </w:rPr>
        <w:t xml:space="preserve"> to widely differing salt concentrations. J Exp Bot 41:685-692 </w:t>
      </w:r>
      <w:bookmarkEnd w:id="28"/>
    </w:p>
    <w:p w:rsidR="00C72B9A" w:rsidRDefault="00C72B9A" w:rsidP="00885309">
      <w:pPr>
        <w:pStyle w:val="ListParagraph"/>
        <w:ind w:hanging="720"/>
        <w:rPr>
          <w:noProof/>
        </w:rPr>
      </w:pPr>
      <w:bookmarkStart w:id="29" w:name="_ENREF_28"/>
      <w:r>
        <w:rPr>
          <w:noProof/>
        </w:rPr>
        <w:t xml:space="preserve">Gitelson AA, Laorawat S, Keydan GP, Vonshak A (1995) Optical properties of dense algal cultures outdoors and their application to remote estimation of biomass and pigment concentration in </w:t>
      </w:r>
      <w:r w:rsidRPr="00885309">
        <w:rPr>
          <w:i/>
          <w:noProof/>
        </w:rPr>
        <w:t>Spirulina platensis</w:t>
      </w:r>
      <w:r>
        <w:rPr>
          <w:noProof/>
        </w:rPr>
        <w:t xml:space="preserve"> (Cyanobacteria). J Phycol 31:828-834 </w:t>
      </w:r>
      <w:bookmarkEnd w:id="29"/>
    </w:p>
    <w:p w:rsidR="00C72B9A" w:rsidRDefault="00C72B9A" w:rsidP="00885309">
      <w:pPr>
        <w:pStyle w:val="ListParagraph"/>
        <w:ind w:hanging="720"/>
        <w:rPr>
          <w:noProof/>
        </w:rPr>
      </w:pPr>
      <w:bookmarkStart w:id="30" w:name="_ENREF_29"/>
      <w:r>
        <w:rPr>
          <w:noProof/>
        </w:rPr>
        <w:lastRenderedPageBreak/>
        <w:t xml:space="preserve">Greenwell HC, Laurens LM, Shields RJ, Lovitt RW, Flynn KJ (2010) Placing microalgae on the biofuels priority list: a review of the technological challenges. J Roy Soc Interf 7:703-726 </w:t>
      </w:r>
      <w:bookmarkEnd w:id="30"/>
    </w:p>
    <w:p w:rsidR="00C72B9A" w:rsidRDefault="00C72B9A" w:rsidP="00885309">
      <w:pPr>
        <w:pStyle w:val="ListParagraph"/>
        <w:ind w:hanging="720"/>
        <w:rPr>
          <w:noProof/>
        </w:rPr>
      </w:pPr>
      <w:bookmarkStart w:id="31" w:name="_ENREF_30"/>
      <w:r>
        <w:rPr>
          <w:noProof/>
        </w:rPr>
        <w:t>Haaland DM et al. (2009) Hyperspectral confocal fluorescence imaging: Exploring alternative multivariate curve resolution approaches. Appl Spectrosc 63:271-279</w:t>
      </w:r>
      <w:bookmarkEnd w:id="31"/>
    </w:p>
    <w:p w:rsidR="00C72B9A" w:rsidRDefault="00C72B9A" w:rsidP="00885309">
      <w:pPr>
        <w:pStyle w:val="ListParagraph"/>
        <w:ind w:hanging="720"/>
        <w:rPr>
          <w:noProof/>
        </w:rPr>
      </w:pPr>
      <w:bookmarkStart w:id="32" w:name="_ENREF_31"/>
      <w:r>
        <w:rPr>
          <w:noProof/>
        </w:rPr>
        <w:t xml:space="preserve">Haus M, Wegmann K (1984a) Glycerol-3-phosphate dehydrogenase (EC 1.1.1.8) from </w:t>
      </w:r>
      <w:r w:rsidRPr="00885309">
        <w:rPr>
          <w:i/>
          <w:noProof/>
        </w:rPr>
        <w:t>Dunaliella tertiolecta</w:t>
      </w:r>
      <w:r>
        <w:rPr>
          <w:noProof/>
        </w:rPr>
        <w:t>. I. Purification and kinetic properties. Physiol Plant 60:283-288</w:t>
      </w:r>
      <w:bookmarkEnd w:id="32"/>
    </w:p>
    <w:p w:rsidR="00C72B9A" w:rsidRDefault="00C72B9A" w:rsidP="00885309">
      <w:pPr>
        <w:pStyle w:val="ListParagraph"/>
        <w:ind w:hanging="720"/>
        <w:rPr>
          <w:noProof/>
        </w:rPr>
      </w:pPr>
      <w:bookmarkStart w:id="33" w:name="_ENREF_32"/>
      <w:r>
        <w:rPr>
          <w:noProof/>
        </w:rPr>
        <w:t xml:space="preserve">Haus M, Wegmann K (1984b) Glycerol-3-phosphate dehydrogenase (EC 1.1.1.8) from </w:t>
      </w:r>
      <w:r w:rsidRPr="00885309">
        <w:rPr>
          <w:i/>
          <w:noProof/>
        </w:rPr>
        <w:t>Dunaliella tertiolecta.</w:t>
      </w:r>
      <w:r>
        <w:rPr>
          <w:noProof/>
        </w:rPr>
        <w:t xml:space="preserve"> II. Influence of phosphate esters and different salts on the enzymatic activity with respect to osmoregulation. Physiol Plant 60:289-293</w:t>
      </w:r>
      <w:bookmarkEnd w:id="33"/>
    </w:p>
    <w:p w:rsidR="00C72B9A" w:rsidRDefault="00C72B9A" w:rsidP="00885309">
      <w:pPr>
        <w:pStyle w:val="ListParagraph"/>
        <w:ind w:hanging="720"/>
        <w:rPr>
          <w:noProof/>
        </w:rPr>
      </w:pPr>
      <w:bookmarkStart w:id="34" w:name="_ENREF_33"/>
      <w:r>
        <w:rPr>
          <w:noProof/>
        </w:rPr>
        <w:t>Havlik I, Lindner P, Scheper T, Reardon KF (2013) On-line monitoring of large cultivations of microalgae and cyanobacteria. Trends Biotechnol 31:406-414</w:t>
      </w:r>
      <w:bookmarkEnd w:id="34"/>
    </w:p>
    <w:p w:rsidR="00C72B9A" w:rsidRDefault="00C72B9A" w:rsidP="00885309">
      <w:pPr>
        <w:pStyle w:val="ListParagraph"/>
        <w:ind w:hanging="720"/>
        <w:rPr>
          <w:noProof/>
        </w:rPr>
      </w:pPr>
      <w:bookmarkStart w:id="35" w:name="_ENREF_34"/>
      <w:r>
        <w:rPr>
          <w:noProof/>
        </w:rPr>
        <w:t>Hejazi MA, Holwerda E, Wijffels RH (2004) Milking microalga</w:t>
      </w:r>
      <w:r w:rsidRPr="00885309">
        <w:rPr>
          <w:i/>
          <w:noProof/>
        </w:rPr>
        <w:t xml:space="preserve"> Dunaliella</w:t>
      </w:r>
      <w:r>
        <w:rPr>
          <w:noProof/>
        </w:rPr>
        <w:t xml:space="preserve"> salina for beta-carotene production in two-phase bioreactors. Biotechnol Bioeng 85:475-481</w:t>
      </w:r>
      <w:bookmarkEnd w:id="35"/>
    </w:p>
    <w:p w:rsidR="00C72B9A" w:rsidRDefault="00C72B9A" w:rsidP="00885309">
      <w:pPr>
        <w:pStyle w:val="ListParagraph"/>
        <w:ind w:hanging="720"/>
        <w:rPr>
          <w:noProof/>
        </w:rPr>
      </w:pPr>
      <w:bookmarkStart w:id="36" w:name="_ENREF_35"/>
      <w:r>
        <w:rPr>
          <w:noProof/>
        </w:rPr>
        <w:t xml:space="preserve">Jin ES, Melis A (2003) Microalgal biotechnology: Carotenoid production by the green algae </w:t>
      </w:r>
      <w:r w:rsidRPr="00885309">
        <w:rPr>
          <w:i/>
          <w:noProof/>
        </w:rPr>
        <w:t>Dunaliella salina.</w:t>
      </w:r>
      <w:r>
        <w:rPr>
          <w:noProof/>
        </w:rPr>
        <w:t xml:space="preserve"> Biotechnol Bioproc E 8:331-337 </w:t>
      </w:r>
      <w:bookmarkEnd w:id="36"/>
    </w:p>
    <w:p w:rsidR="00C72B9A" w:rsidRDefault="00C72B9A" w:rsidP="00885309">
      <w:pPr>
        <w:pStyle w:val="ListParagraph"/>
        <w:ind w:hanging="720"/>
        <w:rPr>
          <w:noProof/>
        </w:rPr>
      </w:pPr>
      <w:bookmarkStart w:id="37" w:name="_ENREF_36"/>
      <w:r>
        <w:rPr>
          <w:noProof/>
        </w:rPr>
        <w:t xml:space="preserve">Jones HDT, Haaland DM, Sinclair MB, Melgaard DK, Van Benthem MH, Pedroso MC (2008) Weighting hyperspectral image data for improved multivariate curve resolution results. J Chemom 22:482-490 </w:t>
      </w:r>
      <w:bookmarkEnd w:id="37"/>
    </w:p>
    <w:p w:rsidR="00C72B9A" w:rsidRDefault="00C72B9A" w:rsidP="00885309">
      <w:pPr>
        <w:pStyle w:val="ListParagraph"/>
        <w:ind w:hanging="720"/>
        <w:rPr>
          <w:noProof/>
        </w:rPr>
      </w:pPr>
      <w:bookmarkStart w:id="38" w:name="_ENREF_37"/>
      <w:r>
        <w:rPr>
          <w:noProof/>
        </w:rPr>
        <w:t>Kirst GO (1989) Salinity tolerance of eukaryotic marine algae. Annu Rev Plant Physiol 40:21-53</w:t>
      </w:r>
      <w:bookmarkEnd w:id="38"/>
    </w:p>
    <w:p w:rsidR="00C72B9A" w:rsidRDefault="00C72B9A" w:rsidP="00885309">
      <w:pPr>
        <w:pStyle w:val="ListParagraph"/>
        <w:ind w:hanging="720"/>
        <w:rPr>
          <w:noProof/>
        </w:rPr>
      </w:pPr>
      <w:bookmarkStart w:id="39" w:name="_ENREF_38"/>
      <w:r>
        <w:rPr>
          <w:noProof/>
        </w:rPr>
        <w:t xml:space="preserve">Kleinegris DMM, Janssen M, Brandenburg WA, Wijffels RH (2010a) The selectivity of milking of </w:t>
      </w:r>
      <w:r w:rsidRPr="00885309">
        <w:rPr>
          <w:i/>
          <w:noProof/>
        </w:rPr>
        <w:t>Dunaliella salina.</w:t>
      </w:r>
      <w:r>
        <w:rPr>
          <w:noProof/>
        </w:rPr>
        <w:t xml:space="preserve"> Mar Biotechnol 12:14-23 </w:t>
      </w:r>
      <w:bookmarkEnd w:id="39"/>
    </w:p>
    <w:p w:rsidR="00C72B9A" w:rsidRDefault="00C72B9A" w:rsidP="00885309">
      <w:pPr>
        <w:pStyle w:val="ListParagraph"/>
        <w:ind w:hanging="720"/>
        <w:rPr>
          <w:noProof/>
        </w:rPr>
      </w:pPr>
      <w:bookmarkStart w:id="40" w:name="_ENREF_39"/>
      <w:r>
        <w:rPr>
          <w:noProof/>
        </w:rPr>
        <w:t xml:space="preserve">Kleinegris DMM, van Es MA, Janssen M, Brandenburg WA, Wijffels RH (2010b) Carotenoid fluorescence in </w:t>
      </w:r>
      <w:r w:rsidRPr="00885309">
        <w:rPr>
          <w:i/>
          <w:noProof/>
        </w:rPr>
        <w:t>Dunaliella salina.</w:t>
      </w:r>
      <w:r>
        <w:rPr>
          <w:noProof/>
        </w:rPr>
        <w:t xml:space="preserve"> J Appl Phycol 22:645-649 </w:t>
      </w:r>
      <w:bookmarkEnd w:id="40"/>
    </w:p>
    <w:p w:rsidR="00C72B9A" w:rsidRDefault="00C72B9A" w:rsidP="00885309">
      <w:pPr>
        <w:pStyle w:val="ListParagraph"/>
        <w:ind w:hanging="720"/>
        <w:rPr>
          <w:noProof/>
        </w:rPr>
      </w:pPr>
      <w:bookmarkStart w:id="41" w:name="_ENREF_40"/>
      <w:r>
        <w:rPr>
          <w:noProof/>
        </w:rPr>
        <w:t xml:space="preserve">Kleinegris DMM, Van Es MA, Janssen M, Brandenburg WA, Wijffels RH (2011) Phase toxicity of dodecane on the microalga </w:t>
      </w:r>
      <w:r w:rsidRPr="00885309">
        <w:rPr>
          <w:i/>
          <w:noProof/>
        </w:rPr>
        <w:t>Dunaliella salina.</w:t>
      </w:r>
      <w:r>
        <w:rPr>
          <w:noProof/>
        </w:rPr>
        <w:t xml:space="preserve"> J Appl Phycol 23:949-958</w:t>
      </w:r>
      <w:bookmarkEnd w:id="41"/>
    </w:p>
    <w:p w:rsidR="00C72B9A" w:rsidRDefault="00C72B9A" w:rsidP="00885309">
      <w:pPr>
        <w:pStyle w:val="ListParagraph"/>
        <w:ind w:hanging="720"/>
        <w:rPr>
          <w:noProof/>
        </w:rPr>
      </w:pPr>
      <w:bookmarkStart w:id="42" w:name="_ENREF_41"/>
      <w:r>
        <w:rPr>
          <w:noProof/>
        </w:rPr>
        <w:t xml:space="preserve">Kochert G (1991) </w:t>
      </w:r>
      <w:r w:rsidR="00AC7914">
        <w:rPr>
          <w:noProof/>
        </w:rPr>
        <w:t xml:space="preserve">Carbohydrate </w:t>
      </w:r>
      <w:r>
        <w:rPr>
          <w:noProof/>
        </w:rPr>
        <w:t>determination by the phenol-sulfuric acid method. In: Hellebust JA, Craigie JS (eds) Handbook of Phycological Methods, Physiological and Biochemical Methods. Cambridge University Press, Cambridge,  p 95</w:t>
      </w:r>
      <w:bookmarkEnd w:id="42"/>
      <w:r w:rsidR="005C6446">
        <w:rPr>
          <w:noProof/>
        </w:rPr>
        <w:t>-97</w:t>
      </w:r>
    </w:p>
    <w:p w:rsidR="00C72B9A" w:rsidRDefault="00C72B9A" w:rsidP="00885309">
      <w:pPr>
        <w:pStyle w:val="ListParagraph"/>
        <w:ind w:hanging="720"/>
        <w:rPr>
          <w:noProof/>
        </w:rPr>
      </w:pPr>
      <w:bookmarkStart w:id="43" w:name="_ENREF_42"/>
      <w:r>
        <w:rPr>
          <w:noProof/>
        </w:rPr>
        <w:t xml:space="preserve">Kramer DM, Johnson G, Kiirats O, Edwards GE (2004) New ﬂuorescence parameters for the determination of </w:t>
      </w:r>
      <w:r w:rsidRPr="00885309">
        <w:rPr>
          <w:i/>
          <w:noProof/>
        </w:rPr>
        <w:t>Qa</w:t>
      </w:r>
      <w:r>
        <w:rPr>
          <w:noProof/>
        </w:rPr>
        <w:t xml:space="preserve"> redox state and excitation energy ﬂuxes. Photosynth Res 79:209-218</w:t>
      </w:r>
      <w:bookmarkEnd w:id="43"/>
    </w:p>
    <w:p w:rsidR="00C72B9A" w:rsidRDefault="00C72B9A" w:rsidP="00885309">
      <w:pPr>
        <w:pStyle w:val="ListParagraph"/>
        <w:ind w:hanging="720"/>
        <w:rPr>
          <w:noProof/>
        </w:rPr>
      </w:pPr>
      <w:bookmarkStart w:id="44" w:name="_ENREF_43"/>
      <w:r>
        <w:rPr>
          <w:noProof/>
        </w:rPr>
        <w:t xml:space="preserve">Lerner HR, Sussman I, Avron M (1980) Characterization and partial purification of dihydroxyacetone kinase in </w:t>
      </w:r>
      <w:r w:rsidRPr="00885309">
        <w:rPr>
          <w:i/>
          <w:noProof/>
        </w:rPr>
        <w:t>Dunaliella salina.</w:t>
      </w:r>
      <w:r>
        <w:rPr>
          <w:noProof/>
        </w:rPr>
        <w:t xml:space="preserve"> Biochim Biophys Acta 615:1-9</w:t>
      </w:r>
      <w:bookmarkEnd w:id="44"/>
    </w:p>
    <w:p w:rsidR="00C72B9A" w:rsidRDefault="00C72B9A" w:rsidP="00885309">
      <w:pPr>
        <w:pStyle w:val="ListParagraph"/>
        <w:ind w:hanging="720"/>
        <w:rPr>
          <w:noProof/>
        </w:rPr>
      </w:pPr>
      <w:bookmarkStart w:id="45" w:name="_ENREF_44"/>
      <w:r>
        <w:rPr>
          <w:noProof/>
        </w:rPr>
        <w:t xml:space="preserve">Lewin RA (1992) </w:t>
      </w:r>
      <w:r w:rsidRPr="00885309">
        <w:rPr>
          <w:i/>
          <w:noProof/>
        </w:rPr>
        <w:t xml:space="preserve">Dunaliella </w:t>
      </w:r>
      <w:r>
        <w:rPr>
          <w:noProof/>
        </w:rPr>
        <w:t>- Physiology, Biochemistry and Biotechnology - Avron, M, Ben</w:t>
      </w:r>
      <w:r w:rsidR="005C6446">
        <w:rPr>
          <w:noProof/>
        </w:rPr>
        <w:t xml:space="preserve"> A</w:t>
      </w:r>
      <w:r>
        <w:rPr>
          <w:noProof/>
        </w:rPr>
        <w:t xml:space="preserve">motz, A. Nature 360:119-120 </w:t>
      </w:r>
      <w:bookmarkEnd w:id="45"/>
    </w:p>
    <w:p w:rsidR="00C72B9A" w:rsidRDefault="00C72B9A" w:rsidP="00885309">
      <w:pPr>
        <w:pStyle w:val="ListParagraph"/>
        <w:ind w:hanging="720"/>
        <w:rPr>
          <w:noProof/>
        </w:rPr>
      </w:pPr>
      <w:bookmarkStart w:id="46" w:name="_ENREF_45"/>
      <w:r>
        <w:rPr>
          <w:noProof/>
        </w:rPr>
        <w:t>Lichtenthaler HK, Wellburn AR (1983) Determinations of total carotenoids and chlorophylls a and b of leaf extracts in different solvents. Biochem Soc T</w:t>
      </w:r>
      <w:r w:rsidR="00263F9D">
        <w:rPr>
          <w:noProof/>
        </w:rPr>
        <w:t>rans</w:t>
      </w:r>
      <w:r>
        <w:rPr>
          <w:noProof/>
        </w:rPr>
        <w:t xml:space="preserve"> </w:t>
      </w:r>
      <w:r w:rsidR="00263F9D" w:rsidRPr="00263F9D">
        <w:rPr>
          <w:noProof/>
        </w:rPr>
        <w:t>11: 591 - 592</w:t>
      </w:r>
      <w:bookmarkEnd w:id="46"/>
    </w:p>
    <w:p w:rsidR="00C72B9A" w:rsidRDefault="00C72B9A" w:rsidP="00885309">
      <w:pPr>
        <w:pStyle w:val="ListParagraph"/>
        <w:ind w:hanging="720"/>
        <w:rPr>
          <w:noProof/>
        </w:rPr>
      </w:pPr>
      <w:bookmarkStart w:id="47" w:name="_ENREF_46"/>
      <w:r>
        <w:rPr>
          <w:noProof/>
        </w:rPr>
        <w:t xml:space="preserve">Liska AJ, Shevchenko A, Pick U, Katz A (2004) Enhanced photosynthesis and redox energy production contribute to salinity tolerance in </w:t>
      </w:r>
      <w:r w:rsidRPr="00885309">
        <w:rPr>
          <w:i/>
          <w:noProof/>
        </w:rPr>
        <w:t>Dunaliella</w:t>
      </w:r>
      <w:r>
        <w:rPr>
          <w:noProof/>
        </w:rPr>
        <w:t xml:space="preserve"> as revealed by homology-based proteomics. Plant Physiol 136:2806-2817 </w:t>
      </w:r>
      <w:bookmarkEnd w:id="47"/>
    </w:p>
    <w:p w:rsidR="00C72B9A" w:rsidRDefault="00C72B9A" w:rsidP="00885309">
      <w:pPr>
        <w:pStyle w:val="ListParagraph"/>
        <w:ind w:hanging="720"/>
        <w:rPr>
          <w:noProof/>
        </w:rPr>
      </w:pPr>
      <w:bookmarkStart w:id="48" w:name="_ENREF_47"/>
      <w:r>
        <w:rPr>
          <w:noProof/>
        </w:rPr>
        <w:t>Martin M, Grossmann IE (2013) Optimal engineered algae composition for the integrated simultaneous production of bioethanol and biodiesel. AIChE J 59:2872-2883</w:t>
      </w:r>
      <w:bookmarkEnd w:id="48"/>
    </w:p>
    <w:p w:rsidR="00C72B9A" w:rsidRDefault="00C72B9A" w:rsidP="00885309">
      <w:pPr>
        <w:pStyle w:val="ListParagraph"/>
        <w:ind w:hanging="720"/>
        <w:rPr>
          <w:noProof/>
        </w:rPr>
      </w:pPr>
      <w:bookmarkStart w:id="49" w:name="_ENREF_48"/>
      <w:r>
        <w:rPr>
          <w:noProof/>
        </w:rPr>
        <w:t>McCormick R, Graboski M, Alleman T, Herring A, Shainetyson K (2006) Impact of biodiesel source material and chemical structure on emissions of criteria pollutants from a heavy-duty engine. Environ Sci Tech 35:1742-1747</w:t>
      </w:r>
      <w:bookmarkEnd w:id="49"/>
    </w:p>
    <w:p w:rsidR="00C72B9A" w:rsidRDefault="00C72B9A" w:rsidP="00885309">
      <w:pPr>
        <w:pStyle w:val="ListParagraph"/>
        <w:ind w:hanging="720"/>
        <w:rPr>
          <w:noProof/>
        </w:rPr>
      </w:pPr>
      <w:bookmarkStart w:id="50" w:name="_ENREF_49"/>
      <w:r>
        <w:rPr>
          <w:noProof/>
        </w:rPr>
        <w:t>Meeks JC (1974) Chlorophylls. In: Stewart WDP (ed) Algal Physiology and Biochemistry. Blackwell Scientific Publications, Oxford, pp 161-175</w:t>
      </w:r>
      <w:bookmarkEnd w:id="50"/>
    </w:p>
    <w:p w:rsidR="00C72B9A" w:rsidRDefault="00C72B9A" w:rsidP="00885309">
      <w:pPr>
        <w:pStyle w:val="ListParagraph"/>
        <w:ind w:hanging="720"/>
        <w:rPr>
          <w:noProof/>
        </w:rPr>
      </w:pPr>
      <w:bookmarkStart w:id="51" w:name="_ENREF_50"/>
      <w:r>
        <w:rPr>
          <w:noProof/>
        </w:rPr>
        <w:lastRenderedPageBreak/>
        <w:t xml:space="preserve">Moheimani NR, Matsuura H, Watanabe MM, Borowitzka MA (2013) Non-destructive hydrocarbon extraction from </w:t>
      </w:r>
      <w:r w:rsidRPr="00885309">
        <w:rPr>
          <w:i/>
          <w:noProof/>
        </w:rPr>
        <w:t xml:space="preserve">Botryococcus braunii </w:t>
      </w:r>
      <w:r>
        <w:rPr>
          <w:noProof/>
        </w:rPr>
        <w:t>BOT-22 (race B). J Appl Phycol 25:1653-1661</w:t>
      </w:r>
      <w:bookmarkEnd w:id="51"/>
    </w:p>
    <w:p w:rsidR="00C72B9A" w:rsidRDefault="00C72B9A" w:rsidP="00885309">
      <w:pPr>
        <w:pStyle w:val="ListParagraph"/>
        <w:ind w:hanging="720"/>
        <w:rPr>
          <w:noProof/>
        </w:rPr>
      </w:pPr>
      <w:bookmarkStart w:id="52" w:name="_ENREF_51"/>
      <w:r>
        <w:rPr>
          <w:noProof/>
        </w:rPr>
        <w:t>Novak EJ, Rabinovitch PS (1994) Improved sensitivity in flow cytometric intracellular ionized calcium measurement using fluo-3/Fura Red fluorescence ratios. Cytometry 17:135-141</w:t>
      </w:r>
      <w:bookmarkEnd w:id="52"/>
    </w:p>
    <w:p w:rsidR="00C72B9A" w:rsidRDefault="00C72B9A" w:rsidP="00885309">
      <w:pPr>
        <w:pStyle w:val="ListParagraph"/>
        <w:ind w:hanging="720"/>
        <w:rPr>
          <w:noProof/>
        </w:rPr>
      </w:pPr>
      <w:bookmarkStart w:id="53" w:name="_ENREF_52"/>
      <w:r>
        <w:rPr>
          <w:noProof/>
        </w:rPr>
        <w:t xml:space="preserve">Pate R, Klise G, Wu B (2011) Resource demand implications for US algae biofuels production scale-up. Appl Energ 88:3377-3388 </w:t>
      </w:r>
      <w:bookmarkEnd w:id="53"/>
    </w:p>
    <w:p w:rsidR="00C72B9A" w:rsidRDefault="00C72B9A" w:rsidP="00885309">
      <w:pPr>
        <w:pStyle w:val="ListParagraph"/>
        <w:ind w:hanging="720"/>
        <w:rPr>
          <w:noProof/>
        </w:rPr>
      </w:pPr>
      <w:bookmarkStart w:id="54" w:name="_ENREF_53"/>
      <w:r>
        <w:rPr>
          <w:noProof/>
        </w:rPr>
        <w:t xml:space="preserve">Peeler TC, Stephenson MB, Einspahr KJ, Thompson GA (1989) Lipid characterization of an enriched plasma-membrane fraction of </w:t>
      </w:r>
      <w:r w:rsidRPr="00885309">
        <w:rPr>
          <w:i/>
          <w:noProof/>
        </w:rPr>
        <w:t>Dunaliella salina</w:t>
      </w:r>
      <w:r>
        <w:rPr>
          <w:noProof/>
        </w:rPr>
        <w:t xml:space="preserve"> grown in media of varying salinity. Plant Physiol 89:970-976 </w:t>
      </w:r>
      <w:bookmarkEnd w:id="54"/>
    </w:p>
    <w:p w:rsidR="00C72B9A" w:rsidRDefault="00C72B9A" w:rsidP="00885309">
      <w:pPr>
        <w:pStyle w:val="ListParagraph"/>
        <w:ind w:hanging="720"/>
        <w:rPr>
          <w:noProof/>
        </w:rPr>
      </w:pPr>
      <w:bookmarkStart w:id="55" w:name="_ENREF_54"/>
      <w:r>
        <w:rPr>
          <w:noProof/>
        </w:rPr>
        <w:t xml:space="preserve">Polle JEW, Song Q (2009) Development of genetics and molecular tool kits for species of the unicellular green alga </w:t>
      </w:r>
      <w:r w:rsidRPr="00885309">
        <w:rPr>
          <w:i/>
          <w:noProof/>
        </w:rPr>
        <w:t>Dunaliella</w:t>
      </w:r>
      <w:r>
        <w:rPr>
          <w:noProof/>
        </w:rPr>
        <w:t xml:space="preserve"> (Chlorophyta). In: Ben-Amotz A, Polle JEW, Subba Rao DV (eds) The Alga </w:t>
      </w:r>
      <w:r w:rsidR="003C1AB1" w:rsidRPr="003C1AB1">
        <w:rPr>
          <w:i/>
          <w:noProof/>
        </w:rPr>
        <w:t>Dunaliella</w:t>
      </w:r>
      <w:r>
        <w:rPr>
          <w:noProof/>
        </w:rPr>
        <w:t xml:space="preserve">: Bio-diversity, </w:t>
      </w:r>
      <w:r w:rsidR="003B11B4">
        <w:rPr>
          <w:noProof/>
        </w:rPr>
        <w:t>physiology, genomics and biotechnology</w:t>
      </w:r>
      <w:r>
        <w:rPr>
          <w:noProof/>
        </w:rPr>
        <w:t>. Science Publishers, Einfeld pp 403-422</w:t>
      </w:r>
      <w:bookmarkEnd w:id="55"/>
    </w:p>
    <w:p w:rsidR="00C72B9A" w:rsidRDefault="00C72B9A" w:rsidP="00885309">
      <w:pPr>
        <w:pStyle w:val="ListParagraph"/>
        <w:ind w:hanging="720"/>
        <w:rPr>
          <w:noProof/>
        </w:rPr>
      </w:pPr>
      <w:bookmarkStart w:id="56" w:name="_ENREF_55"/>
      <w:r>
        <w:rPr>
          <w:noProof/>
        </w:rPr>
        <w:t>Premkumar L, Greenblatt HM, Bageshwar UK, Savchenko T, Gokhman I, Sussman JL, Zamir A (2005) Three-dimensional structure of a halotolerant algal carbonic anhydrase predicts halotolerance of a mammalian homolog. P</w:t>
      </w:r>
      <w:r w:rsidR="00F90623">
        <w:rPr>
          <w:noProof/>
        </w:rPr>
        <w:t>roc</w:t>
      </w:r>
      <w:r>
        <w:rPr>
          <w:noProof/>
        </w:rPr>
        <w:t xml:space="preserve"> Natl Acad Sci USA 102:7493-7498</w:t>
      </w:r>
      <w:bookmarkEnd w:id="56"/>
    </w:p>
    <w:p w:rsidR="00C72B9A" w:rsidRDefault="00C72B9A" w:rsidP="00885309">
      <w:pPr>
        <w:pStyle w:val="ListParagraph"/>
        <w:ind w:hanging="720"/>
        <w:rPr>
          <w:noProof/>
        </w:rPr>
      </w:pPr>
      <w:bookmarkStart w:id="57" w:name="_ENREF_56"/>
      <w:r>
        <w:rPr>
          <w:noProof/>
        </w:rPr>
        <w:t xml:space="preserve">Quirantes A, Bernard S (2004) Light scattering by marine algae: two-layer spherical and nonspherical models. J Quant Spectrosc Ra 89:311-321 </w:t>
      </w:r>
      <w:bookmarkEnd w:id="57"/>
    </w:p>
    <w:p w:rsidR="00C72B9A" w:rsidRDefault="00C72B9A" w:rsidP="00885309">
      <w:pPr>
        <w:pStyle w:val="ListParagraph"/>
        <w:ind w:hanging="720"/>
        <w:rPr>
          <w:noProof/>
        </w:rPr>
      </w:pPr>
      <w:bookmarkStart w:id="58" w:name="_ENREF_57"/>
      <w:r>
        <w:rPr>
          <w:noProof/>
        </w:rPr>
        <w:t>Riemann B, Simonsen P, Stensgaard L (1989) The carbon and chloropyll content of phytoplankton from various nutrient regimes. J Plankton Res 11:1037-1045</w:t>
      </w:r>
      <w:bookmarkEnd w:id="58"/>
    </w:p>
    <w:p w:rsidR="00C72B9A" w:rsidRDefault="00C72B9A" w:rsidP="00885309">
      <w:pPr>
        <w:pStyle w:val="ListParagraph"/>
        <w:ind w:hanging="720"/>
        <w:rPr>
          <w:noProof/>
        </w:rPr>
      </w:pPr>
      <w:bookmarkStart w:id="59" w:name="_ENREF_58"/>
      <w:r>
        <w:rPr>
          <w:noProof/>
        </w:rPr>
        <w:t>Ritchie RJ (2006) Consistent sets of spectrophotometric chlorophyll equations for acetone, methanol and ethanol solvents. Photosynth Res 89:27-41</w:t>
      </w:r>
      <w:bookmarkEnd w:id="59"/>
    </w:p>
    <w:p w:rsidR="00C72B9A" w:rsidRDefault="00C72B9A" w:rsidP="00885309">
      <w:pPr>
        <w:pStyle w:val="ListParagraph"/>
        <w:ind w:hanging="720"/>
        <w:rPr>
          <w:noProof/>
        </w:rPr>
      </w:pPr>
      <w:bookmarkStart w:id="60" w:name="_ENREF_59"/>
      <w:r>
        <w:rPr>
          <w:noProof/>
        </w:rPr>
        <w:t>Ritchie RJ (2008) Universal chlorophyll equations for estimating chlorophylls a, b, c, and d and total chlorophylls in natural assemblages of photosynthetic organisms using acetone, methanol, or ethanol solvents. Photosynthetica 46:115-126</w:t>
      </w:r>
      <w:bookmarkEnd w:id="60"/>
    </w:p>
    <w:p w:rsidR="00C72B9A" w:rsidRDefault="00C72B9A" w:rsidP="00885309">
      <w:pPr>
        <w:pStyle w:val="ListParagraph"/>
        <w:ind w:hanging="720"/>
        <w:rPr>
          <w:noProof/>
        </w:rPr>
      </w:pPr>
      <w:bookmarkStart w:id="61" w:name="_ENREF_60"/>
      <w:r>
        <w:rPr>
          <w:noProof/>
        </w:rPr>
        <w:t xml:space="preserve">Robert B (1999) The electronic structure, stereochemistry and resonance Raman spectroscopy of carotenoids. </w:t>
      </w:r>
      <w:bookmarkEnd w:id="61"/>
      <w:r w:rsidR="00DA29F3">
        <w:rPr>
          <w:noProof/>
        </w:rPr>
        <w:t>In: Frank HA, Young J, Codgell RJ (eds) The photochemistry of carotenoids. Kluwer, Dordrecht pp 189-201</w:t>
      </w:r>
    </w:p>
    <w:p w:rsidR="00C72B9A" w:rsidRDefault="00C72B9A" w:rsidP="00885309">
      <w:pPr>
        <w:pStyle w:val="ListParagraph"/>
        <w:ind w:hanging="720"/>
        <w:rPr>
          <w:noProof/>
        </w:rPr>
      </w:pPr>
      <w:bookmarkStart w:id="62" w:name="_ENREF_61"/>
      <w:r>
        <w:rPr>
          <w:noProof/>
        </w:rPr>
        <w:t>Sauer T, Galinski EA (1998) Bacterial milking: A novel bioprocess for production of compatible solutes. Biotechnol Bioeng 57:306-313</w:t>
      </w:r>
      <w:bookmarkEnd w:id="62"/>
    </w:p>
    <w:p w:rsidR="00C72B9A" w:rsidRDefault="004C4A50" w:rsidP="00885309">
      <w:pPr>
        <w:pStyle w:val="ListParagraph"/>
        <w:ind w:hanging="720"/>
        <w:rPr>
          <w:noProof/>
        </w:rPr>
      </w:pPr>
      <w:bookmarkStart w:id="63" w:name="_ENREF_62"/>
      <w:r w:rsidRPr="004C4A50">
        <w:rPr>
          <w:noProof/>
        </w:rPr>
        <w:t>Schreiber U (2004) Pulse-Amplitude-Modulation (PAM) fluorometry and saturation pulse method: an overview. In: Papageorgiou G, Govindjee (eds) Chorophyll a Fluorescence: A Signature of Photosynthesis. Springer, Dordrecht, pp 279-319.</w:t>
      </w:r>
      <w:r w:rsidRPr="004C4A50" w:rsidDel="004C4A50">
        <w:rPr>
          <w:noProof/>
        </w:rPr>
        <w:t xml:space="preserve"> </w:t>
      </w:r>
      <w:bookmarkStart w:id="64" w:name="_ENREF_63"/>
      <w:bookmarkEnd w:id="63"/>
      <w:r w:rsidR="00C72B9A">
        <w:rPr>
          <w:noProof/>
        </w:rPr>
        <w:t xml:space="preserve">Sciandra A et al. (1997) Growth-compensating phenomena in continuous cultures of </w:t>
      </w:r>
      <w:r w:rsidR="00C72B9A" w:rsidRPr="00885309">
        <w:rPr>
          <w:i/>
          <w:noProof/>
        </w:rPr>
        <w:t>Dunaliella tertiolecta</w:t>
      </w:r>
      <w:r w:rsidR="00C72B9A">
        <w:rPr>
          <w:noProof/>
        </w:rPr>
        <w:t xml:space="preserve"> limited simultaneously by light and nitrate. Limnol Oceanogr 42:1325-1339</w:t>
      </w:r>
      <w:bookmarkEnd w:id="64"/>
    </w:p>
    <w:p w:rsidR="00C72B9A" w:rsidRDefault="00C72B9A" w:rsidP="00885309">
      <w:pPr>
        <w:pStyle w:val="ListParagraph"/>
        <w:ind w:hanging="720"/>
        <w:rPr>
          <w:noProof/>
        </w:rPr>
      </w:pPr>
      <w:bookmarkStart w:id="65" w:name="_ENREF_64"/>
      <w:r>
        <w:rPr>
          <w:noProof/>
        </w:rPr>
        <w:t>Sinclair MB, Haaland DM, Timlin JA, Jones HDT (2006) Hyperspectral confocal microscope. Appl Optics 45:6283-6291</w:t>
      </w:r>
      <w:bookmarkEnd w:id="65"/>
    </w:p>
    <w:p w:rsidR="00C72B9A" w:rsidRDefault="00C72B9A" w:rsidP="00885309">
      <w:pPr>
        <w:pStyle w:val="ListParagraph"/>
        <w:ind w:hanging="720"/>
        <w:rPr>
          <w:noProof/>
        </w:rPr>
      </w:pPr>
      <w:bookmarkStart w:id="66" w:name="_ENREF_65"/>
      <w:r>
        <w:rPr>
          <w:noProof/>
        </w:rPr>
        <w:t>Steigenberger S, Terjung F, Grossart H-P, Reuter R (2004) Blue-fluorescence of NADPH as an indicator of marine primary production. EARSeL eProceedings 3:18-25</w:t>
      </w:r>
      <w:bookmarkEnd w:id="66"/>
    </w:p>
    <w:p w:rsidR="00C72B9A" w:rsidRDefault="00C72B9A" w:rsidP="00885309">
      <w:pPr>
        <w:pStyle w:val="ListParagraph"/>
        <w:ind w:hanging="720"/>
        <w:rPr>
          <w:noProof/>
        </w:rPr>
      </w:pPr>
      <w:bookmarkStart w:id="67" w:name="_ENREF_66"/>
      <w:r>
        <w:rPr>
          <w:noProof/>
        </w:rPr>
        <w:t xml:space="preserve">Sussman I, Avron M (1981) Characterization and partial purification of DL-glycerol-1-phosphatase from </w:t>
      </w:r>
      <w:r w:rsidRPr="00885309">
        <w:rPr>
          <w:i/>
          <w:noProof/>
        </w:rPr>
        <w:t>Dunaliella salina</w:t>
      </w:r>
      <w:r>
        <w:rPr>
          <w:noProof/>
        </w:rPr>
        <w:t>. Biochim Biophys Acta 661:199-204</w:t>
      </w:r>
      <w:bookmarkEnd w:id="67"/>
    </w:p>
    <w:p w:rsidR="00C72B9A" w:rsidRDefault="00C72B9A" w:rsidP="00885309">
      <w:pPr>
        <w:pStyle w:val="ListParagraph"/>
        <w:ind w:hanging="720"/>
        <w:rPr>
          <w:noProof/>
        </w:rPr>
      </w:pPr>
      <w:bookmarkStart w:id="68" w:name="_ENREF_67"/>
      <w:r>
        <w:rPr>
          <w:noProof/>
        </w:rPr>
        <w:t xml:space="preserve">Tornabene TG, Holzer G, Peterson SL (1980) Lipid profile of the halophilic alga, </w:t>
      </w:r>
      <w:r w:rsidRPr="00885309">
        <w:rPr>
          <w:i/>
          <w:noProof/>
        </w:rPr>
        <w:t>Dunaliella salina.</w:t>
      </w:r>
      <w:r>
        <w:rPr>
          <w:noProof/>
        </w:rPr>
        <w:t xml:space="preserve"> Biochem Bioph Res Co 96:1349-1356 </w:t>
      </w:r>
      <w:bookmarkEnd w:id="68"/>
    </w:p>
    <w:p w:rsidR="00C72B9A" w:rsidRDefault="00C72B9A" w:rsidP="00885309">
      <w:pPr>
        <w:pStyle w:val="ListParagraph"/>
        <w:ind w:hanging="720"/>
        <w:rPr>
          <w:noProof/>
        </w:rPr>
      </w:pPr>
      <w:bookmarkStart w:id="69" w:name="_ENREF_68"/>
      <w:r>
        <w:rPr>
          <w:noProof/>
        </w:rPr>
        <w:t xml:space="preserve">Vermaas WFJ et al. (2008) </w:t>
      </w:r>
      <w:r w:rsidRPr="00885309">
        <w:rPr>
          <w:i/>
          <w:noProof/>
        </w:rPr>
        <w:t>In vivo</w:t>
      </w:r>
      <w:r>
        <w:rPr>
          <w:noProof/>
        </w:rPr>
        <w:t xml:space="preserve"> hyperspectral confocal fluorescence imaging to determine pigment localization and distribution in cyanobacterial cells. P</w:t>
      </w:r>
      <w:r w:rsidR="004C4A50">
        <w:rPr>
          <w:noProof/>
        </w:rPr>
        <w:t>roc</w:t>
      </w:r>
      <w:r>
        <w:rPr>
          <w:noProof/>
        </w:rPr>
        <w:t xml:space="preserve"> Natl Acad Sci USA 105:4050-4055 </w:t>
      </w:r>
      <w:bookmarkEnd w:id="69"/>
    </w:p>
    <w:p w:rsidR="00C72B9A" w:rsidRDefault="00C72B9A" w:rsidP="00885309">
      <w:pPr>
        <w:pStyle w:val="ListParagraph"/>
        <w:ind w:hanging="720"/>
        <w:rPr>
          <w:noProof/>
        </w:rPr>
      </w:pPr>
      <w:bookmarkStart w:id="70" w:name="_ENREF_69"/>
      <w:r>
        <w:rPr>
          <w:noProof/>
        </w:rPr>
        <w:lastRenderedPageBreak/>
        <w:t xml:space="preserve">Wegmann K (1979) Biochemical adaptation of </w:t>
      </w:r>
      <w:r w:rsidRPr="00885309">
        <w:rPr>
          <w:i/>
          <w:noProof/>
        </w:rPr>
        <w:t>Dunaliella tertiolecta</w:t>
      </w:r>
      <w:r>
        <w:rPr>
          <w:noProof/>
        </w:rPr>
        <w:t xml:space="preserve"> to salinity and temperature changes. Ber Deut Bot Ges 92:43-54</w:t>
      </w:r>
      <w:bookmarkEnd w:id="70"/>
    </w:p>
    <w:p w:rsidR="00C72B9A" w:rsidRDefault="00C72B9A" w:rsidP="00885309">
      <w:pPr>
        <w:pStyle w:val="ListParagraph"/>
        <w:ind w:hanging="720"/>
        <w:rPr>
          <w:noProof/>
        </w:rPr>
      </w:pPr>
      <w:bookmarkStart w:id="71" w:name="_ENREF_70"/>
      <w:r>
        <w:rPr>
          <w:noProof/>
        </w:rPr>
        <w:t>White AJ, Critchley C (1999) Rapid light curves: A new fluorescence method to assess the state of the photosynthetic apparatus. Photosynth Res 59:63-72</w:t>
      </w:r>
      <w:bookmarkEnd w:id="71"/>
    </w:p>
    <w:p w:rsidR="00C72B9A" w:rsidRDefault="00C72B9A" w:rsidP="00885309">
      <w:pPr>
        <w:pStyle w:val="ListParagraph"/>
        <w:ind w:hanging="720"/>
        <w:rPr>
          <w:noProof/>
        </w:rPr>
      </w:pPr>
      <w:bookmarkStart w:id="72" w:name="_ENREF_71"/>
      <w:r>
        <w:rPr>
          <w:noProof/>
        </w:rPr>
        <w:t>Wieder ED, Hang H, Fox MH (1993) Measurement of intracellular pH using flow cytometry with carboxy-SNARF-1. Cytometry 14:916-921</w:t>
      </w:r>
      <w:bookmarkEnd w:id="72"/>
    </w:p>
    <w:p w:rsidR="00C72B9A" w:rsidRDefault="00C72B9A" w:rsidP="00885309">
      <w:pPr>
        <w:pStyle w:val="ListParagraph"/>
        <w:ind w:hanging="720"/>
        <w:rPr>
          <w:noProof/>
        </w:rPr>
      </w:pPr>
      <w:bookmarkStart w:id="73" w:name="_ENREF_72"/>
      <w:r>
        <w:rPr>
          <w:noProof/>
        </w:rPr>
        <w:t>Wijffels RH, Barbosa MJ, Eppink MHK (2010) Microalgae for the production of bulk chemicals and biofuels. Biofuels Bioprod Biorefin 4:287-295</w:t>
      </w:r>
      <w:bookmarkEnd w:id="73"/>
    </w:p>
    <w:p w:rsidR="00C72B9A" w:rsidRDefault="00C72B9A" w:rsidP="00885309">
      <w:pPr>
        <w:pStyle w:val="ListParagraph"/>
        <w:ind w:hanging="720"/>
        <w:rPr>
          <w:noProof/>
        </w:rPr>
      </w:pPr>
      <w:bookmarkStart w:id="74" w:name="_ENREF_73"/>
      <w:r>
        <w:rPr>
          <w:noProof/>
        </w:rPr>
        <w:t xml:space="preserve">Wu H, Volponi JV, Oliver AE, Parikh AN, Simmons BA, Singh S (2011) </w:t>
      </w:r>
      <w:r w:rsidRPr="00885309">
        <w:rPr>
          <w:i/>
          <w:noProof/>
        </w:rPr>
        <w:t>In vivo</w:t>
      </w:r>
      <w:r>
        <w:rPr>
          <w:noProof/>
        </w:rPr>
        <w:t xml:space="preserve"> lipidomics using single-cell Raman spectroscopy. P</w:t>
      </w:r>
      <w:r w:rsidR="004C4A50">
        <w:rPr>
          <w:noProof/>
        </w:rPr>
        <w:t>roc</w:t>
      </w:r>
      <w:r>
        <w:rPr>
          <w:noProof/>
        </w:rPr>
        <w:t xml:space="preserve"> Natl Acad Sci USA 108:3809-3814 </w:t>
      </w:r>
      <w:bookmarkEnd w:id="74"/>
    </w:p>
    <w:p w:rsidR="00C72B9A" w:rsidRDefault="00C72B9A" w:rsidP="00885309">
      <w:pPr>
        <w:pStyle w:val="ListParagraph"/>
        <w:ind w:hanging="720"/>
        <w:rPr>
          <w:noProof/>
        </w:rPr>
      </w:pPr>
      <w:bookmarkStart w:id="75" w:name="_ENREF_74"/>
      <w:r>
        <w:rPr>
          <w:noProof/>
        </w:rPr>
        <w:t xml:space="preserve">Zamir A et al. (2004) Molecular and functional adaptations underlying the exceptional salt tolerance of the alga </w:t>
      </w:r>
      <w:r w:rsidRPr="00885309">
        <w:rPr>
          <w:i/>
          <w:noProof/>
        </w:rPr>
        <w:t>Dunaliella salina</w:t>
      </w:r>
      <w:r>
        <w:rPr>
          <w:noProof/>
        </w:rPr>
        <w:t>. In: Ventosa A (ed) Halophilic microorganisms. Springer, Berlin, pp 165-176</w:t>
      </w:r>
      <w:bookmarkEnd w:id="75"/>
    </w:p>
    <w:p w:rsidR="00C72B9A" w:rsidRDefault="00C72B9A" w:rsidP="00885309">
      <w:pPr>
        <w:pStyle w:val="ListParagraph"/>
        <w:ind w:hanging="720"/>
        <w:rPr>
          <w:noProof/>
        </w:rPr>
      </w:pPr>
      <w:bookmarkStart w:id="76" w:name="_ENREF_75"/>
      <w:r>
        <w:rPr>
          <w:noProof/>
        </w:rPr>
        <w:t>Zhu CJ, Lee YK (1997) Determination of biomass dry weight of marine microalgae. J Appl Phycol 9:189-194</w:t>
      </w:r>
      <w:bookmarkEnd w:id="76"/>
    </w:p>
    <w:p w:rsidR="00C72B9A" w:rsidRDefault="00C72B9A" w:rsidP="00885309">
      <w:pPr>
        <w:pStyle w:val="ListParagraph"/>
        <w:rPr>
          <w:noProof/>
        </w:rPr>
      </w:pPr>
    </w:p>
    <w:p w:rsidR="00C72B9A" w:rsidRPr="00E30816" w:rsidRDefault="00C72B9A" w:rsidP="00B162B1">
      <w:pPr>
        <w:pStyle w:val="ListParagraph"/>
      </w:pPr>
      <w:r w:rsidRPr="00E30816">
        <w:t xml:space="preserve"> </w:t>
      </w:r>
    </w:p>
    <w:p w:rsidR="00C72B9A" w:rsidRPr="00542471" w:rsidRDefault="00C72B9A" w:rsidP="00E629B4"/>
    <w:p w:rsidR="00F62FDB" w:rsidRDefault="000B70D5"/>
    <w:sectPr w:rsidR="00F62FDB" w:rsidSect="00C72B9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0D5" w:rsidRDefault="000B70D5" w:rsidP="003C1AB1">
      <w:r>
        <w:separator/>
      </w:r>
    </w:p>
  </w:endnote>
  <w:endnote w:type="continuationSeparator" w:id="0">
    <w:p w:rsidR="000B70D5" w:rsidRDefault="000B70D5" w:rsidP="003C1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4867611"/>
      <w:docPartObj>
        <w:docPartGallery w:val="Page Numbers (Bottom of Page)"/>
        <w:docPartUnique/>
      </w:docPartObj>
    </w:sdtPr>
    <w:sdtEndPr>
      <w:rPr>
        <w:noProof/>
      </w:rPr>
    </w:sdtEndPr>
    <w:sdtContent>
      <w:p w:rsidR="004F1E3F" w:rsidRDefault="003C1AB1">
        <w:pPr>
          <w:pStyle w:val="Footer"/>
          <w:jc w:val="center"/>
        </w:pPr>
        <w:r>
          <w:fldChar w:fldCharType="begin"/>
        </w:r>
        <w:r w:rsidR="003B11B4">
          <w:instrText xml:space="preserve"> PAGE   \* MERGEFORMAT </w:instrText>
        </w:r>
        <w:r>
          <w:fldChar w:fldCharType="separate"/>
        </w:r>
        <w:r w:rsidR="00AE665C">
          <w:rPr>
            <w:noProof/>
          </w:rPr>
          <w:t>1</w:t>
        </w:r>
        <w:r>
          <w:rPr>
            <w:noProof/>
          </w:rPr>
          <w:fldChar w:fldCharType="end"/>
        </w:r>
      </w:p>
    </w:sdtContent>
  </w:sdt>
  <w:p w:rsidR="004F1E3F" w:rsidRDefault="000B70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0D5" w:rsidRDefault="000B70D5" w:rsidP="003C1AB1">
      <w:r>
        <w:separator/>
      </w:r>
    </w:p>
  </w:footnote>
  <w:footnote w:type="continuationSeparator" w:id="0">
    <w:p w:rsidR="000B70D5" w:rsidRDefault="000B70D5" w:rsidP="003C1A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71C3D"/>
    <w:multiLevelType w:val="multilevel"/>
    <w:tmpl w:val="F4E6E09A"/>
    <w:lvl w:ilvl="0">
      <w:start w:val="2"/>
      <w:numFmt w:val="decimal"/>
      <w:lvlText w:val="%1"/>
      <w:lvlJc w:val="left"/>
      <w:pPr>
        <w:ind w:left="360" w:hanging="360"/>
      </w:pPr>
      <w:rPr>
        <w:rFonts w:hint="default"/>
      </w:rPr>
    </w:lvl>
    <w:lvl w:ilvl="1">
      <w:start w:val="5"/>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nsid w:val="207150E4"/>
    <w:multiLevelType w:val="multilevel"/>
    <w:tmpl w:val="AD5638A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35582E87"/>
    <w:multiLevelType w:val="multilevel"/>
    <w:tmpl w:val="670818CA"/>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526773B8"/>
    <w:multiLevelType w:val="hybridMultilevel"/>
    <w:tmpl w:val="60FC418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s>
  <w:rsids>
    <w:rsidRoot w:val="00C72B9A"/>
    <w:rsid w:val="000B70D5"/>
    <w:rsid w:val="00263F9D"/>
    <w:rsid w:val="002F7177"/>
    <w:rsid w:val="00313DB5"/>
    <w:rsid w:val="003B11B4"/>
    <w:rsid w:val="003C1AB1"/>
    <w:rsid w:val="004C4A50"/>
    <w:rsid w:val="00512D9E"/>
    <w:rsid w:val="005C6446"/>
    <w:rsid w:val="00625FC0"/>
    <w:rsid w:val="00656692"/>
    <w:rsid w:val="0099193D"/>
    <w:rsid w:val="00AC7914"/>
    <w:rsid w:val="00AE665C"/>
    <w:rsid w:val="00C5272A"/>
    <w:rsid w:val="00C72B9A"/>
    <w:rsid w:val="00CF4618"/>
    <w:rsid w:val="00CF499B"/>
    <w:rsid w:val="00DA29F3"/>
    <w:rsid w:val="00DA6AA1"/>
    <w:rsid w:val="00E823E9"/>
    <w:rsid w:val="00F906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B9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2B9A"/>
    <w:rPr>
      <w:color w:val="0000FF" w:themeColor="hyperlink"/>
      <w:u w:val="single"/>
    </w:rPr>
  </w:style>
  <w:style w:type="paragraph" w:styleId="ListParagraph">
    <w:name w:val="List Paragraph"/>
    <w:basedOn w:val="Normal"/>
    <w:uiPriority w:val="34"/>
    <w:qFormat/>
    <w:rsid w:val="00C72B9A"/>
    <w:pPr>
      <w:ind w:left="720"/>
      <w:contextualSpacing/>
    </w:pPr>
  </w:style>
  <w:style w:type="character" w:customStyle="1" w:styleId="apple-converted-space">
    <w:name w:val="apple-converted-space"/>
    <w:basedOn w:val="DefaultParagraphFont"/>
    <w:rsid w:val="00C72B9A"/>
  </w:style>
  <w:style w:type="character" w:styleId="PlaceholderText">
    <w:name w:val="Placeholder Text"/>
    <w:basedOn w:val="DefaultParagraphFont"/>
    <w:uiPriority w:val="99"/>
    <w:semiHidden/>
    <w:rsid w:val="00C72B9A"/>
    <w:rPr>
      <w:color w:val="808080"/>
    </w:rPr>
  </w:style>
  <w:style w:type="paragraph" w:styleId="BalloonText">
    <w:name w:val="Balloon Text"/>
    <w:basedOn w:val="Normal"/>
    <w:link w:val="BalloonTextChar"/>
    <w:uiPriority w:val="99"/>
    <w:semiHidden/>
    <w:unhideWhenUsed/>
    <w:rsid w:val="00C72B9A"/>
    <w:rPr>
      <w:rFonts w:ascii="Tahoma" w:hAnsi="Tahoma" w:cs="Tahoma"/>
      <w:sz w:val="16"/>
      <w:szCs w:val="16"/>
    </w:rPr>
  </w:style>
  <w:style w:type="character" w:customStyle="1" w:styleId="BalloonTextChar">
    <w:name w:val="Balloon Text Char"/>
    <w:basedOn w:val="DefaultParagraphFont"/>
    <w:link w:val="BalloonText"/>
    <w:uiPriority w:val="99"/>
    <w:semiHidden/>
    <w:rsid w:val="00C72B9A"/>
    <w:rPr>
      <w:rFonts w:ascii="Tahoma" w:eastAsia="Times New Roman" w:hAnsi="Tahoma" w:cs="Tahoma"/>
      <w:sz w:val="16"/>
      <w:szCs w:val="16"/>
      <w:lang w:val="en-US"/>
    </w:rPr>
  </w:style>
  <w:style w:type="paragraph" w:styleId="NormalWeb">
    <w:name w:val="Normal (Web)"/>
    <w:basedOn w:val="Normal"/>
    <w:uiPriority w:val="99"/>
    <w:semiHidden/>
    <w:unhideWhenUsed/>
    <w:rsid w:val="00C72B9A"/>
    <w:pPr>
      <w:spacing w:before="100" w:beforeAutospacing="1" w:after="100" w:afterAutospacing="1"/>
    </w:pPr>
    <w:rPr>
      <w:rFonts w:eastAsiaTheme="minorHAnsi"/>
    </w:rPr>
  </w:style>
  <w:style w:type="character" w:styleId="LineNumber">
    <w:name w:val="line number"/>
    <w:basedOn w:val="DefaultParagraphFont"/>
    <w:uiPriority w:val="99"/>
    <w:semiHidden/>
    <w:unhideWhenUsed/>
    <w:rsid w:val="00C72B9A"/>
  </w:style>
  <w:style w:type="paragraph" w:styleId="Header">
    <w:name w:val="header"/>
    <w:basedOn w:val="Normal"/>
    <w:link w:val="HeaderChar"/>
    <w:uiPriority w:val="99"/>
    <w:unhideWhenUsed/>
    <w:rsid w:val="00C72B9A"/>
    <w:pPr>
      <w:tabs>
        <w:tab w:val="center" w:pos="4680"/>
        <w:tab w:val="right" w:pos="9360"/>
      </w:tabs>
    </w:pPr>
  </w:style>
  <w:style w:type="character" w:customStyle="1" w:styleId="HeaderChar">
    <w:name w:val="Header Char"/>
    <w:basedOn w:val="DefaultParagraphFont"/>
    <w:link w:val="Header"/>
    <w:uiPriority w:val="99"/>
    <w:rsid w:val="00C72B9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72B9A"/>
    <w:pPr>
      <w:tabs>
        <w:tab w:val="center" w:pos="4680"/>
        <w:tab w:val="right" w:pos="9360"/>
      </w:tabs>
    </w:pPr>
  </w:style>
  <w:style w:type="character" w:customStyle="1" w:styleId="FooterChar">
    <w:name w:val="Footer Char"/>
    <w:basedOn w:val="DefaultParagraphFont"/>
    <w:link w:val="Footer"/>
    <w:uiPriority w:val="99"/>
    <w:rsid w:val="00C72B9A"/>
    <w:rPr>
      <w:rFonts w:ascii="Times New Roman" w:eastAsia="Times New Roman" w:hAnsi="Times New Roman" w:cs="Times New Roman"/>
      <w:sz w:val="24"/>
      <w:szCs w:val="24"/>
      <w:lang w:val="en-US"/>
    </w:rPr>
  </w:style>
  <w:style w:type="paragraph" w:customStyle="1" w:styleId="BodyofPaper">
    <w:name w:val="*Body of Paper*"/>
    <w:basedOn w:val="Normal"/>
    <w:link w:val="BodyofPaperChar"/>
    <w:rsid w:val="00C72B9A"/>
    <w:pPr>
      <w:jc w:val="both"/>
    </w:pPr>
    <w:rPr>
      <w:sz w:val="20"/>
      <w:szCs w:val="20"/>
    </w:rPr>
  </w:style>
  <w:style w:type="character" w:customStyle="1" w:styleId="BodyofPaperChar">
    <w:name w:val="*Body of Paper* Char"/>
    <w:basedOn w:val="DefaultParagraphFont"/>
    <w:link w:val="BodyofPaper"/>
    <w:rsid w:val="00C72B9A"/>
    <w:rPr>
      <w:rFonts w:ascii="Times New Roman" w:eastAsia="Times New Roman" w:hAnsi="Times New Roman" w:cs="Times New Roman"/>
      <w:sz w:val="20"/>
      <w:szCs w:val="20"/>
      <w:lang w:val="en-US"/>
    </w:rPr>
  </w:style>
  <w:style w:type="paragraph" w:styleId="CommentText">
    <w:name w:val="annotation text"/>
    <w:basedOn w:val="Normal"/>
    <w:link w:val="CommentTextChar"/>
    <w:uiPriority w:val="99"/>
    <w:semiHidden/>
    <w:unhideWhenUsed/>
    <w:rsid w:val="00C72B9A"/>
    <w:rPr>
      <w:sz w:val="20"/>
      <w:szCs w:val="20"/>
    </w:rPr>
  </w:style>
  <w:style w:type="character" w:customStyle="1" w:styleId="CommentTextChar">
    <w:name w:val="Comment Text Char"/>
    <w:basedOn w:val="DefaultParagraphFont"/>
    <w:link w:val="CommentText"/>
    <w:uiPriority w:val="99"/>
    <w:semiHidden/>
    <w:rsid w:val="00C72B9A"/>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unhideWhenUsed/>
    <w:rsid w:val="00C72B9A"/>
    <w:rPr>
      <w:sz w:val="18"/>
      <w:szCs w:val="18"/>
    </w:rPr>
  </w:style>
  <w:style w:type="paragraph" w:customStyle="1" w:styleId="Default">
    <w:name w:val="Default"/>
    <w:rsid w:val="00C72B9A"/>
    <w:pPr>
      <w:autoSpaceDE w:val="0"/>
      <w:autoSpaceDN w:val="0"/>
      <w:adjustRightInd w:val="0"/>
      <w:spacing w:after="0" w:line="240" w:lineRule="auto"/>
    </w:pPr>
    <w:rPr>
      <w:rFonts w:ascii="Calibri" w:hAnsi="Calibri" w:cs="Calibri"/>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B9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2B9A"/>
    <w:rPr>
      <w:color w:val="0000FF" w:themeColor="hyperlink"/>
      <w:u w:val="single"/>
    </w:rPr>
  </w:style>
  <w:style w:type="paragraph" w:styleId="ListParagraph">
    <w:name w:val="List Paragraph"/>
    <w:basedOn w:val="Normal"/>
    <w:uiPriority w:val="34"/>
    <w:qFormat/>
    <w:rsid w:val="00C72B9A"/>
    <w:pPr>
      <w:ind w:left="720"/>
      <w:contextualSpacing/>
    </w:pPr>
  </w:style>
  <w:style w:type="character" w:customStyle="1" w:styleId="apple-converted-space">
    <w:name w:val="apple-converted-space"/>
    <w:basedOn w:val="DefaultParagraphFont"/>
    <w:rsid w:val="00C72B9A"/>
  </w:style>
  <w:style w:type="character" w:styleId="PlaceholderText">
    <w:name w:val="Placeholder Text"/>
    <w:basedOn w:val="DefaultParagraphFont"/>
    <w:uiPriority w:val="99"/>
    <w:semiHidden/>
    <w:rsid w:val="00C72B9A"/>
    <w:rPr>
      <w:color w:val="808080"/>
    </w:rPr>
  </w:style>
  <w:style w:type="paragraph" w:styleId="BalloonText">
    <w:name w:val="Balloon Text"/>
    <w:basedOn w:val="Normal"/>
    <w:link w:val="BalloonTextChar"/>
    <w:uiPriority w:val="99"/>
    <w:semiHidden/>
    <w:unhideWhenUsed/>
    <w:rsid w:val="00C72B9A"/>
    <w:rPr>
      <w:rFonts w:ascii="Tahoma" w:hAnsi="Tahoma" w:cs="Tahoma"/>
      <w:sz w:val="16"/>
      <w:szCs w:val="16"/>
    </w:rPr>
  </w:style>
  <w:style w:type="character" w:customStyle="1" w:styleId="BalloonTextChar">
    <w:name w:val="Balloon Text Char"/>
    <w:basedOn w:val="DefaultParagraphFont"/>
    <w:link w:val="BalloonText"/>
    <w:uiPriority w:val="99"/>
    <w:semiHidden/>
    <w:rsid w:val="00C72B9A"/>
    <w:rPr>
      <w:rFonts w:ascii="Tahoma" w:eastAsia="Times New Roman" w:hAnsi="Tahoma" w:cs="Tahoma"/>
      <w:sz w:val="16"/>
      <w:szCs w:val="16"/>
      <w:lang w:val="en-US"/>
    </w:rPr>
  </w:style>
  <w:style w:type="paragraph" w:styleId="NormalWeb">
    <w:name w:val="Normal (Web)"/>
    <w:basedOn w:val="Normal"/>
    <w:uiPriority w:val="99"/>
    <w:semiHidden/>
    <w:unhideWhenUsed/>
    <w:rsid w:val="00C72B9A"/>
    <w:pPr>
      <w:spacing w:before="100" w:beforeAutospacing="1" w:after="100" w:afterAutospacing="1"/>
    </w:pPr>
    <w:rPr>
      <w:rFonts w:eastAsiaTheme="minorHAnsi"/>
    </w:rPr>
  </w:style>
  <w:style w:type="character" w:styleId="LineNumber">
    <w:name w:val="line number"/>
    <w:basedOn w:val="DefaultParagraphFont"/>
    <w:uiPriority w:val="99"/>
    <w:semiHidden/>
    <w:unhideWhenUsed/>
    <w:rsid w:val="00C72B9A"/>
  </w:style>
  <w:style w:type="paragraph" w:styleId="Header">
    <w:name w:val="header"/>
    <w:basedOn w:val="Normal"/>
    <w:link w:val="HeaderChar"/>
    <w:uiPriority w:val="99"/>
    <w:unhideWhenUsed/>
    <w:rsid w:val="00C72B9A"/>
    <w:pPr>
      <w:tabs>
        <w:tab w:val="center" w:pos="4680"/>
        <w:tab w:val="right" w:pos="9360"/>
      </w:tabs>
    </w:pPr>
  </w:style>
  <w:style w:type="character" w:customStyle="1" w:styleId="HeaderChar">
    <w:name w:val="Header Char"/>
    <w:basedOn w:val="DefaultParagraphFont"/>
    <w:link w:val="Header"/>
    <w:uiPriority w:val="99"/>
    <w:rsid w:val="00C72B9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72B9A"/>
    <w:pPr>
      <w:tabs>
        <w:tab w:val="center" w:pos="4680"/>
        <w:tab w:val="right" w:pos="9360"/>
      </w:tabs>
    </w:pPr>
  </w:style>
  <w:style w:type="character" w:customStyle="1" w:styleId="FooterChar">
    <w:name w:val="Footer Char"/>
    <w:basedOn w:val="DefaultParagraphFont"/>
    <w:link w:val="Footer"/>
    <w:uiPriority w:val="99"/>
    <w:rsid w:val="00C72B9A"/>
    <w:rPr>
      <w:rFonts w:ascii="Times New Roman" w:eastAsia="Times New Roman" w:hAnsi="Times New Roman" w:cs="Times New Roman"/>
      <w:sz w:val="24"/>
      <w:szCs w:val="24"/>
      <w:lang w:val="en-US"/>
    </w:rPr>
  </w:style>
  <w:style w:type="paragraph" w:customStyle="1" w:styleId="BodyofPaper">
    <w:name w:val="*Body of Paper*"/>
    <w:basedOn w:val="Normal"/>
    <w:link w:val="BodyofPaperChar"/>
    <w:rsid w:val="00C72B9A"/>
    <w:pPr>
      <w:jc w:val="both"/>
    </w:pPr>
    <w:rPr>
      <w:sz w:val="20"/>
      <w:szCs w:val="20"/>
    </w:rPr>
  </w:style>
  <w:style w:type="character" w:customStyle="1" w:styleId="BodyofPaperChar">
    <w:name w:val="*Body of Paper* Char"/>
    <w:basedOn w:val="DefaultParagraphFont"/>
    <w:link w:val="BodyofPaper"/>
    <w:rsid w:val="00C72B9A"/>
    <w:rPr>
      <w:rFonts w:ascii="Times New Roman" w:eastAsia="Times New Roman" w:hAnsi="Times New Roman" w:cs="Times New Roman"/>
      <w:sz w:val="20"/>
      <w:szCs w:val="20"/>
      <w:lang w:val="en-US"/>
    </w:rPr>
  </w:style>
  <w:style w:type="paragraph" w:styleId="CommentText">
    <w:name w:val="annotation text"/>
    <w:basedOn w:val="Normal"/>
    <w:link w:val="CommentTextChar"/>
    <w:uiPriority w:val="99"/>
    <w:semiHidden/>
    <w:unhideWhenUsed/>
    <w:rsid w:val="00C72B9A"/>
    <w:rPr>
      <w:sz w:val="20"/>
      <w:szCs w:val="20"/>
    </w:rPr>
  </w:style>
  <w:style w:type="character" w:customStyle="1" w:styleId="CommentTextChar">
    <w:name w:val="Comment Text Char"/>
    <w:basedOn w:val="DefaultParagraphFont"/>
    <w:link w:val="CommentText"/>
    <w:uiPriority w:val="99"/>
    <w:semiHidden/>
    <w:rsid w:val="00C72B9A"/>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unhideWhenUsed/>
    <w:rsid w:val="00C72B9A"/>
    <w:rPr>
      <w:sz w:val="18"/>
      <w:szCs w:val="18"/>
    </w:rPr>
  </w:style>
  <w:style w:type="paragraph" w:customStyle="1" w:styleId="Default">
    <w:name w:val="Default"/>
    <w:rsid w:val="00C72B9A"/>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32</Pages>
  <Words>10562</Words>
  <Characters>60207</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70628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Borowitzka</dc:creator>
  <cp:lastModifiedBy>Amble, Avinash, Crest</cp:lastModifiedBy>
  <cp:revision>5</cp:revision>
  <dcterms:created xsi:type="dcterms:W3CDTF">2014-04-25T03:02:00Z</dcterms:created>
  <dcterms:modified xsi:type="dcterms:W3CDTF">2017-01-19T08:58:00Z</dcterms:modified>
</cp:coreProperties>
</file>