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83D" w:rsidRPr="007D4733" w:rsidRDefault="00867955">
      <w:pPr>
        <w:spacing w:line="480" w:lineRule="auto"/>
        <w:jc w:val="center"/>
        <w:rPr>
          <w:rFonts w:ascii="Arial" w:hAnsi="Arial" w:cs="Arial"/>
          <w:b/>
          <w:lang w:val="en-US"/>
        </w:rPr>
      </w:pPr>
      <w:r w:rsidRPr="007D4733">
        <w:rPr>
          <w:rFonts w:ascii="Arial" w:hAnsi="Arial" w:cs="Arial"/>
          <w:b/>
          <w:lang w:val="en-US"/>
        </w:rPr>
        <w:t xml:space="preserve">Consume of high fat diet inhibited the </w:t>
      </w:r>
      <w:proofErr w:type="spellStart"/>
      <w:r w:rsidRPr="007D4733">
        <w:rPr>
          <w:rFonts w:ascii="Arial" w:hAnsi="Arial" w:cs="Arial"/>
          <w:b/>
          <w:lang w:val="en-US"/>
        </w:rPr>
        <w:t>NTPDase</w:t>
      </w:r>
      <w:proofErr w:type="spellEnd"/>
      <w:r w:rsidRPr="007D4733">
        <w:rPr>
          <w:rFonts w:ascii="Arial" w:hAnsi="Arial" w:cs="Arial"/>
          <w:b/>
          <w:lang w:val="en-US"/>
        </w:rPr>
        <w:t xml:space="preserve">, 5’-nucleotidase and </w:t>
      </w:r>
      <w:proofErr w:type="spellStart"/>
      <w:r w:rsidRPr="007D4733">
        <w:rPr>
          <w:rFonts w:ascii="Arial" w:hAnsi="Arial" w:cs="Arial"/>
          <w:b/>
          <w:lang w:val="en-US"/>
        </w:rPr>
        <w:t>acetylcholinesterase</w:t>
      </w:r>
      <w:proofErr w:type="spellEnd"/>
      <w:r w:rsidRPr="007D4733">
        <w:rPr>
          <w:rFonts w:ascii="Arial" w:hAnsi="Arial" w:cs="Arial"/>
          <w:b/>
          <w:lang w:val="en-US"/>
        </w:rPr>
        <w:t xml:space="preserve"> activities in the peripheral tissues</w:t>
      </w:r>
      <w:r w:rsidR="00545976" w:rsidRPr="007D4733">
        <w:rPr>
          <w:rFonts w:ascii="Arial" w:hAnsi="Arial" w:cs="Arial"/>
          <w:b/>
          <w:lang w:val="en-US"/>
        </w:rPr>
        <w:t xml:space="preserve"> testing</w:t>
      </w:r>
    </w:p>
    <w:p w:rsidR="00BD583D" w:rsidRPr="007D4733" w:rsidRDefault="00867955">
      <w:pPr>
        <w:spacing w:line="480" w:lineRule="auto"/>
        <w:jc w:val="center"/>
        <w:rPr>
          <w:rFonts w:ascii="Arial" w:hAnsi="Arial" w:cs="Arial"/>
        </w:rPr>
      </w:pPr>
      <w:r w:rsidRPr="007D4733">
        <w:rPr>
          <w:rFonts w:ascii="Arial" w:hAnsi="Arial" w:cs="Arial"/>
        </w:rPr>
        <w:t>Rosilene Rodrigues Kaizer</w:t>
      </w:r>
      <w:r w:rsidRPr="007D4733">
        <w:rPr>
          <w:rFonts w:ascii="Arial" w:hAnsi="Arial" w:cs="Arial"/>
          <w:vertAlign w:val="superscript"/>
        </w:rPr>
        <w:t>a</w:t>
      </w:r>
    </w:p>
    <w:p w:rsidR="00BD583D" w:rsidRPr="007D4733" w:rsidRDefault="00BD583D">
      <w:pPr>
        <w:spacing w:line="480" w:lineRule="auto"/>
        <w:jc w:val="center"/>
        <w:rPr>
          <w:rFonts w:ascii="Arial" w:hAnsi="Arial" w:cs="Arial"/>
        </w:rPr>
      </w:pPr>
    </w:p>
    <w:p w:rsidR="00BD583D" w:rsidRPr="007D4733" w:rsidRDefault="00867955">
      <w:pPr>
        <w:spacing w:line="480" w:lineRule="auto"/>
        <w:jc w:val="center"/>
        <w:rPr>
          <w:rFonts w:ascii="Arial" w:hAnsi="Arial" w:cs="Arial"/>
        </w:rPr>
      </w:pPr>
      <w:r w:rsidRPr="007D4733">
        <w:rPr>
          <w:rFonts w:ascii="Arial" w:hAnsi="Arial" w:cs="Arial"/>
          <w:vertAlign w:val="superscript"/>
        </w:rPr>
        <w:t>a</w:t>
      </w:r>
      <w:r w:rsidRPr="007D4733">
        <w:rPr>
          <w:rFonts w:ascii="Arial" w:hAnsi="Arial" w:cs="Arial"/>
        </w:rPr>
        <w:t>Instituto Federal de Educação, Ciência e Tecnologia do Rio Grande do Sul, Campus Sertão, Rodovia RS 135, Km 25, Distrito Engenheiro Luiz Englert, 99170-000, Sertão, RS, Brazil.</w:t>
      </w:r>
    </w:p>
    <w:p w:rsidR="00BD583D" w:rsidRPr="007D4733" w:rsidRDefault="00BD583D">
      <w:pPr>
        <w:spacing w:line="480" w:lineRule="auto"/>
        <w:jc w:val="center"/>
        <w:rPr>
          <w:rFonts w:ascii="Arial" w:hAnsi="Arial" w:cs="Arial"/>
        </w:rPr>
      </w:pPr>
    </w:p>
    <w:p w:rsidR="00BD583D" w:rsidRPr="007D4733" w:rsidRDefault="00BD583D">
      <w:pPr>
        <w:spacing w:line="480" w:lineRule="auto"/>
        <w:jc w:val="both"/>
        <w:rPr>
          <w:rFonts w:ascii="Arial" w:hAnsi="Arial" w:cs="Arial"/>
        </w:rPr>
      </w:pPr>
    </w:p>
    <w:p w:rsidR="00BD583D" w:rsidRPr="007D4733" w:rsidRDefault="00867955">
      <w:pPr>
        <w:spacing w:line="480" w:lineRule="auto"/>
        <w:jc w:val="both"/>
        <w:rPr>
          <w:rFonts w:ascii="Arial" w:hAnsi="Arial" w:cs="Arial"/>
          <w:lang w:val="it-IT"/>
        </w:rPr>
      </w:pPr>
      <w:r w:rsidRPr="007D4733">
        <w:rPr>
          <w:rFonts w:ascii="Arial" w:hAnsi="Arial" w:cs="Arial"/>
          <w:lang w:val="it-IT"/>
        </w:rPr>
        <w:t xml:space="preserve">Corresponding author: </w:t>
      </w:r>
    </w:p>
    <w:p w:rsidR="00BD583D" w:rsidRPr="007D4733" w:rsidRDefault="009F3528">
      <w:pPr>
        <w:spacing w:line="480" w:lineRule="auto"/>
        <w:jc w:val="both"/>
        <w:rPr>
          <w:rFonts w:ascii="Arial" w:hAnsi="Arial" w:cs="Arial"/>
          <w:lang w:val="it-IT"/>
        </w:rPr>
      </w:pPr>
      <w:r w:rsidRPr="007D4733">
        <w:rPr>
          <w:rFonts w:ascii="Arial" w:hAnsi="Arial" w:cs="Arial"/>
        </w:rPr>
        <w:t>Rosilene Rodrigues Kaizer</w:t>
      </w:r>
      <w:r w:rsidR="00867955" w:rsidRPr="007D4733">
        <w:rPr>
          <w:rFonts w:ascii="Arial" w:hAnsi="Arial" w:cs="Arial"/>
          <w:lang w:val="it-IT"/>
        </w:rPr>
        <w:t xml:space="preserve"> </w:t>
      </w:r>
    </w:p>
    <w:p w:rsidR="00BD583D" w:rsidRPr="007D4733" w:rsidRDefault="00867955">
      <w:pPr>
        <w:spacing w:line="480" w:lineRule="auto"/>
        <w:jc w:val="both"/>
        <w:rPr>
          <w:rFonts w:ascii="Arial" w:hAnsi="Arial" w:cs="Arial"/>
          <w:lang w:val="en-US"/>
        </w:rPr>
      </w:pPr>
      <w:r w:rsidRPr="007D4733">
        <w:rPr>
          <w:rFonts w:ascii="Arial" w:hAnsi="Arial" w:cs="Arial"/>
        </w:rPr>
        <w:t>Instituto Federal de Educação, Ciência e Tecnologia do Rio Grande do Sul, Campus Sertão, Distrito Engenheiro Luiz Englert, 99170-000 – Sertão, RS, Brasil.</w:t>
      </w:r>
      <w:r w:rsidR="002B71D2" w:rsidRPr="007D4733">
        <w:rPr>
          <w:rFonts w:ascii="Arial" w:hAnsi="Arial" w:cs="Arial"/>
        </w:rPr>
        <w:t xml:space="preserve"> </w:t>
      </w:r>
      <w:r w:rsidR="002B71D2" w:rsidRPr="007D4733">
        <w:rPr>
          <w:rFonts w:ascii="Arial" w:hAnsi="Arial" w:cs="Arial"/>
          <w:lang w:val="en-US"/>
        </w:rPr>
        <w:t>E</w:t>
      </w:r>
      <w:r w:rsidRPr="007D4733">
        <w:rPr>
          <w:rFonts w:ascii="Arial" w:hAnsi="Arial" w:cs="Arial"/>
          <w:lang w:val="en-US"/>
        </w:rPr>
        <w:t xml:space="preserve">mail: </w:t>
      </w:r>
      <w:hyperlink r:id="rId7">
        <w:r w:rsidRPr="007D4733">
          <w:rPr>
            <w:rStyle w:val="LinkdaInternet"/>
            <w:rFonts w:ascii="Arial" w:hAnsi="Arial" w:cs="Arial"/>
            <w:lang w:val="en-US"/>
          </w:rPr>
          <w:t>rosikaizer@gmail.com</w:t>
        </w:r>
      </w:hyperlink>
      <w:r w:rsidRPr="007D4733">
        <w:rPr>
          <w:rFonts w:ascii="Arial" w:hAnsi="Arial" w:cs="Arial"/>
          <w:lang w:val="en-US"/>
        </w:rPr>
        <w:t xml:space="preserve"> Fax: +55-54-3345-8086</w:t>
      </w:r>
    </w:p>
    <w:p w:rsidR="00BD583D" w:rsidRPr="007D4733" w:rsidRDefault="00867955">
      <w:pPr>
        <w:spacing w:line="480" w:lineRule="auto"/>
        <w:rPr>
          <w:rFonts w:ascii="Arial" w:hAnsi="Arial" w:cs="Arial"/>
          <w:b/>
          <w:lang w:val="en-US"/>
        </w:rPr>
      </w:pPr>
      <w:r w:rsidRPr="007D4733">
        <w:rPr>
          <w:rFonts w:ascii="Arial" w:hAnsi="Arial" w:cs="Arial"/>
          <w:b/>
          <w:lang w:val="en-US"/>
        </w:rPr>
        <w:t>Abstract</w:t>
      </w:r>
    </w:p>
    <w:p w:rsidR="00BD583D" w:rsidRPr="007D4733" w:rsidRDefault="00867955">
      <w:pPr>
        <w:spacing w:line="480" w:lineRule="auto"/>
        <w:jc w:val="both"/>
        <w:rPr>
          <w:rFonts w:ascii="Arial" w:hAnsi="Arial" w:cs="Arial"/>
          <w:lang w:val="en-US"/>
        </w:rPr>
      </w:pPr>
      <w:r w:rsidRPr="007D4733">
        <w:rPr>
          <w:rFonts w:ascii="Arial" w:hAnsi="Arial" w:cs="Arial"/>
          <w:lang w:val="en-US"/>
        </w:rPr>
        <w:t xml:space="preserve">High fat consumption is a significant risk factor to development metabolic diseases, leading to establishment of chronic inflammatory responses.  </w:t>
      </w:r>
      <w:proofErr w:type="gramStart"/>
      <w:r w:rsidRPr="007D4733">
        <w:rPr>
          <w:rFonts w:ascii="Arial" w:hAnsi="Arial" w:cs="Arial"/>
          <w:lang w:val="en-US"/>
        </w:rPr>
        <w:t>Atherosclerosis,</w:t>
      </w:r>
      <w:proofErr w:type="gramEnd"/>
      <w:r w:rsidRPr="007D4733">
        <w:rPr>
          <w:rFonts w:ascii="Arial" w:hAnsi="Arial" w:cs="Arial"/>
          <w:lang w:val="en-US"/>
        </w:rPr>
        <w:t xml:space="preserve"> is characterized for the formation of </w:t>
      </w:r>
      <w:proofErr w:type="spellStart"/>
      <w:r w:rsidRPr="007D4733">
        <w:rPr>
          <w:rFonts w:ascii="Arial" w:hAnsi="Arial" w:cs="Arial"/>
          <w:lang w:val="en-US"/>
        </w:rPr>
        <w:t>atheromatous</w:t>
      </w:r>
      <w:proofErr w:type="spellEnd"/>
      <w:r w:rsidRPr="007D4733">
        <w:rPr>
          <w:rFonts w:ascii="Arial" w:hAnsi="Arial" w:cs="Arial"/>
          <w:lang w:val="en-US"/>
        </w:rPr>
        <w:t xml:space="preserve"> plaque, where the platelets accumulation can promoting interruption on blood flow. This study aim was evaluate the effect of intake of high fat diets on the </w:t>
      </w:r>
      <w:proofErr w:type="spellStart"/>
      <w:r w:rsidRPr="007D4733">
        <w:rPr>
          <w:rFonts w:ascii="Arial" w:hAnsi="Arial" w:cs="Arial"/>
          <w:lang w:val="en-US"/>
        </w:rPr>
        <w:t>purinergic</w:t>
      </w:r>
      <w:proofErr w:type="spellEnd"/>
      <w:r w:rsidRPr="007D4733">
        <w:rPr>
          <w:rFonts w:ascii="Arial" w:hAnsi="Arial" w:cs="Arial"/>
          <w:lang w:val="en-US"/>
        </w:rPr>
        <w:t xml:space="preserve"> and cholinergic markers in peripheral tissues of rats. The rats were loaded into 4 groups and during three months received diets, as: control, saturated, saturated/unsaturated and unsaturated diets. The results show a significant inhibition of overall enzymes activities, mainly in after the long-term exposure to saturate and the saturated/unsaturated diets. The cholesterol, </w:t>
      </w:r>
      <w:r w:rsidRPr="007D4733">
        <w:rPr>
          <w:rFonts w:ascii="Arial" w:hAnsi="Arial" w:cs="Arial"/>
          <w:lang w:val="en-US"/>
        </w:rPr>
        <w:lastRenderedPageBreak/>
        <w:t xml:space="preserve">LDL and glucose levels were enhanced in saturated group. Moreover, the HDL level was significantly less in rats that intake saturated/unsaturated diet. The inhibition of </w:t>
      </w:r>
      <w:proofErr w:type="spellStart"/>
      <w:r w:rsidRPr="007D4733">
        <w:rPr>
          <w:rFonts w:ascii="Arial" w:hAnsi="Arial" w:cs="Arial"/>
          <w:lang w:val="en-US"/>
        </w:rPr>
        <w:t>NTPDase</w:t>
      </w:r>
      <w:proofErr w:type="spellEnd"/>
      <w:r w:rsidRPr="007D4733">
        <w:rPr>
          <w:rFonts w:ascii="Arial" w:hAnsi="Arial" w:cs="Arial"/>
          <w:lang w:val="en-US"/>
        </w:rPr>
        <w:t xml:space="preserve">, increase the ATP and ADP levels that elicit the inflammatory response and the promotion of atherosclerosis. The inhibition of 5’-nucleotidase and </w:t>
      </w:r>
      <w:proofErr w:type="spellStart"/>
      <w:r w:rsidRPr="007D4733">
        <w:rPr>
          <w:rFonts w:ascii="Arial" w:hAnsi="Arial" w:cs="Arial"/>
          <w:lang w:val="en-US"/>
        </w:rPr>
        <w:t>AChE</w:t>
      </w:r>
      <w:proofErr w:type="spellEnd"/>
      <w:r w:rsidRPr="007D4733">
        <w:rPr>
          <w:rFonts w:ascii="Arial" w:hAnsi="Arial" w:cs="Arial"/>
          <w:lang w:val="en-US"/>
        </w:rPr>
        <w:t xml:space="preserve"> leads to an increase of the Adenosine and </w:t>
      </w:r>
      <w:proofErr w:type="spellStart"/>
      <w:r w:rsidRPr="007D4733">
        <w:rPr>
          <w:rFonts w:ascii="Arial" w:hAnsi="Arial" w:cs="Arial"/>
          <w:lang w:val="en-US"/>
        </w:rPr>
        <w:t>Acetylcoline</w:t>
      </w:r>
      <w:proofErr w:type="spellEnd"/>
      <w:r w:rsidRPr="007D4733">
        <w:rPr>
          <w:rFonts w:ascii="Arial" w:hAnsi="Arial" w:cs="Arial"/>
          <w:lang w:val="en-US"/>
        </w:rPr>
        <w:t xml:space="preserve"> (</w:t>
      </w:r>
      <w:proofErr w:type="spellStart"/>
      <w:r w:rsidRPr="007D4733">
        <w:rPr>
          <w:rFonts w:ascii="Arial" w:hAnsi="Arial" w:cs="Arial"/>
          <w:lang w:val="en-US"/>
        </w:rPr>
        <w:t>ACh</w:t>
      </w:r>
      <w:proofErr w:type="spellEnd"/>
      <w:r w:rsidRPr="007D4733">
        <w:rPr>
          <w:rFonts w:ascii="Arial" w:hAnsi="Arial" w:cs="Arial"/>
          <w:lang w:val="en-US"/>
        </w:rPr>
        <w:t xml:space="preserve">) levels, which would be interpreted as a defense mechanism of the organism against the chronic inflammation of arteries. Thus, we can suggest that the </w:t>
      </w:r>
      <w:proofErr w:type="spellStart"/>
      <w:r w:rsidRPr="007D4733">
        <w:rPr>
          <w:rFonts w:ascii="Arial" w:hAnsi="Arial" w:cs="Arial"/>
          <w:lang w:val="en-US"/>
        </w:rPr>
        <w:t>NTPDase</w:t>
      </w:r>
      <w:proofErr w:type="spellEnd"/>
      <w:r w:rsidRPr="007D4733">
        <w:rPr>
          <w:rFonts w:ascii="Arial" w:hAnsi="Arial" w:cs="Arial"/>
          <w:lang w:val="en-US"/>
        </w:rPr>
        <w:t xml:space="preserve">, 5’-nucleotidase and </w:t>
      </w:r>
      <w:proofErr w:type="spellStart"/>
      <w:r w:rsidRPr="007D4733">
        <w:rPr>
          <w:rFonts w:ascii="Arial" w:hAnsi="Arial" w:cs="Arial"/>
          <w:lang w:val="en-US"/>
        </w:rPr>
        <w:t>AChE</w:t>
      </w:r>
      <w:proofErr w:type="spellEnd"/>
      <w:r w:rsidRPr="007D4733">
        <w:rPr>
          <w:rFonts w:ascii="Arial" w:hAnsi="Arial" w:cs="Arial"/>
          <w:lang w:val="en-US"/>
        </w:rPr>
        <w:t xml:space="preserve"> acts as intrinsic control of atherosclerotic lesion</w:t>
      </w:r>
      <w:r w:rsidR="004A616F" w:rsidRPr="007D4733">
        <w:rPr>
          <w:rFonts w:ascii="Arial" w:hAnsi="Arial" w:cs="Arial"/>
          <w:lang w:val="en-US"/>
        </w:rPr>
        <w:t xml:space="preserve"> and </w:t>
      </w:r>
      <w:proofErr w:type="spellStart"/>
      <w:r w:rsidR="004A616F" w:rsidRPr="007D4733">
        <w:rPr>
          <w:rFonts w:ascii="Arial" w:hAnsi="Arial" w:cs="Arial"/>
          <w:lang w:val="en-US"/>
        </w:rPr>
        <w:t>neuroinflammation</w:t>
      </w:r>
      <w:proofErr w:type="spellEnd"/>
      <w:r w:rsidRPr="007D4733">
        <w:rPr>
          <w:rFonts w:ascii="Arial" w:hAnsi="Arial" w:cs="Arial"/>
          <w:lang w:val="en-US"/>
        </w:rPr>
        <w:t>.</w:t>
      </w:r>
    </w:p>
    <w:p w:rsidR="00BD583D" w:rsidRPr="007D4733" w:rsidRDefault="00867955">
      <w:pPr>
        <w:spacing w:line="480" w:lineRule="auto"/>
        <w:jc w:val="both"/>
        <w:rPr>
          <w:rFonts w:ascii="Arial" w:hAnsi="Arial" w:cs="Arial"/>
          <w:lang w:val="en-US"/>
        </w:rPr>
      </w:pPr>
      <w:r w:rsidRPr="007D4733">
        <w:rPr>
          <w:rFonts w:ascii="Arial" w:hAnsi="Arial" w:cs="Arial"/>
          <w:b/>
          <w:lang w:val="en-US"/>
        </w:rPr>
        <w:t>Key-words:</w:t>
      </w:r>
      <w:r w:rsidRPr="007D4733">
        <w:rPr>
          <w:rFonts w:ascii="Arial" w:hAnsi="Arial" w:cs="Arial"/>
          <w:lang w:val="en-US"/>
        </w:rPr>
        <w:t xml:space="preserve"> atherosclerosis, inflammatory response, cholesterol, </w:t>
      </w:r>
      <w:proofErr w:type="spellStart"/>
      <w:r w:rsidRPr="007D4733">
        <w:rPr>
          <w:rFonts w:ascii="Arial" w:hAnsi="Arial" w:cs="Arial"/>
          <w:lang w:val="en-US"/>
        </w:rPr>
        <w:t>purinergic</w:t>
      </w:r>
      <w:proofErr w:type="spellEnd"/>
      <w:r w:rsidRPr="007D4733">
        <w:rPr>
          <w:rFonts w:ascii="Arial" w:hAnsi="Arial" w:cs="Arial"/>
          <w:lang w:val="en-US"/>
        </w:rPr>
        <w:t>, cholinergic.</w:t>
      </w:r>
    </w:p>
    <w:p w:rsidR="001560CE" w:rsidRPr="007D4733" w:rsidRDefault="001560CE" w:rsidP="001560CE">
      <w:pPr>
        <w:spacing w:line="480" w:lineRule="auto"/>
        <w:jc w:val="both"/>
        <w:rPr>
          <w:rFonts w:ascii="Arial" w:hAnsi="Arial" w:cs="Arial"/>
          <w:b/>
          <w:lang w:val="en-US"/>
        </w:rPr>
      </w:pPr>
      <w:r w:rsidRPr="007D4733">
        <w:rPr>
          <w:rFonts w:ascii="Arial" w:hAnsi="Arial" w:cs="Arial"/>
          <w:b/>
          <w:lang w:val="en-US"/>
        </w:rPr>
        <w:t xml:space="preserve">Acknowledgments </w:t>
      </w:r>
    </w:p>
    <w:p w:rsidR="001560CE" w:rsidRPr="007D4733" w:rsidRDefault="001560CE" w:rsidP="001560CE">
      <w:pPr>
        <w:spacing w:line="480" w:lineRule="auto"/>
        <w:jc w:val="both"/>
        <w:rPr>
          <w:rFonts w:ascii="Arial" w:hAnsi="Arial" w:cs="Arial"/>
          <w:lang w:val="en-US"/>
        </w:rPr>
      </w:pPr>
      <w:r w:rsidRPr="007D4733">
        <w:rPr>
          <w:rFonts w:ascii="Arial" w:hAnsi="Arial" w:cs="Arial"/>
          <w:lang w:val="en-US"/>
        </w:rPr>
        <w:t xml:space="preserve">This study was supported by </w:t>
      </w:r>
      <w:proofErr w:type="spellStart"/>
      <w:r w:rsidRPr="007D4733">
        <w:rPr>
          <w:rFonts w:ascii="Arial" w:hAnsi="Arial" w:cs="Arial"/>
          <w:lang w:val="en-US"/>
        </w:rPr>
        <w:t>CNPq</w:t>
      </w:r>
      <w:proofErr w:type="spellEnd"/>
      <w:r w:rsidRPr="007D4733">
        <w:rPr>
          <w:rFonts w:ascii="Arial" w:hAnsi="Arial" w:cs="Arial"/>
          <w:lang w:val="en-US"/>
        </w:rPr>
        <w:t xml:space="preserve">, FAPERGS, CAPES, Federal University of Santa </w:t>
      </w:r>
      <w:proofErr w:type="gramStart"/>
      <w:r w:rsidRPr="007D4733">
        <w:rPr>
          <w:rFonts w:ascii="Arial" w:hAnsi="Arial" w:cs="Arial"/>
          <w:lang w:val="en-US"/>
        </w:rPr>
        <w:t>Maria,</w:t>
      </w:r>
      <w:proofErr w:type="gramEnd"/>
      <w:r w:rsidRPr="007D4733">
        <w:rPr>
          <w:rFonts w:ascii="Arial" w:hAnsi="Arial" w:cs="Arial"/>
          <w:lang w:val="en-US"/>
        </w:rPr>
        <w:t xml:space="preserve"> and FINEP research grant “</w:t>
      </w:r>
      <w:proofErr w:type="spellStart"/>
      <w:r w:rsidRPr="007D4733">
        <w:rPr>
          <w:rFonts w:ascii="Arial" w:hAnsi="Arial" w:cs="Arial"/>
          <w:lang w:val="en-US"/>
        </w:rPr>
        <w:t>Rede</w:t>
      </w:r>
      <w:proofErr w:type="spellEnd"/>
      <w:r w:rsidRPr="007D4733">
        <w:rPr>
          <w:rFonts w:ascii="Arial" w:hAnsi="Arial" w:cs="Arial"/>
          <w:lang w:val="en-US"/>
        </w:rPr>
        <w:t xml:space="preserve"> </w:t>
      </w:r>
      <w:proofErr w:type="spellStart"/>
      <w:r w:rsidRPr="007D4733">
        <w:rPr>
          <w:rFonts w:ascii="Arial" w:hAnsi="Arial" w:cs="Arial"/>
          <w:lang w:val="en-US"/>
        </w:rPr>
        <w:t>Instituto</w:t>
      </w:r>
      <w:proofErr w:type="spellEnd"/>
      <w:r w:rsidRPr="007D4733">
        <w:rPr>
          <w:rFonts w:ascii="Arial" w:hAnsi="Arial" w:cs="Arial"/>
          <w:lang w:val="en-US"/>
        </w:rPr>
        <w:t xml:space="preserve"> </w:t>
      </w:r>
      <w:proofErr w:type="spellStart"/>
      <w:r w:rsidRPr="007D4733">
        <w:rPr>
          <w:rFonts w:ascii="Arial" w:hAnsi="Arial" w:cs="Arial"/>
          <w:lang w:val="en-US"/>
        </w:rPr>
        <w:t>Brasileiro</w:t>
      </w:r>
      <w:proofErr w:type="spellEnd"/>
      <w:r w:rsidRPr="007D4733">
        <w:rPr>
          <w:rFonts w:ascii="Arial" w:hAnsi="Arial" w:cs="Arial"/>
          <w:lang w:val="en-US"/>
        </w:rPr>
        <w:t xml:space="preserve"> de </w:t>
      </w:r>
      <w:proofErr w:type="spellStart"/>
      <w:r w:rsidRPr="007D4733">
        <w:rPr>
          <w:rFonts w:ascii="Arial" w:hAnsi="Arial" w:cs="Arial"/>
          <w:lang w:val="en-US"/>
        </w:rPr>
        <w:t>Neurociência</w:t>
      </w:r>
      <w:proofErr w:type="spellEnd"/>
      <w:r w:rsidRPr="007D4733">
        <w:rPr>
          <w:rFonts w:ascii="Arial" w:hAnsi="Arial" w:cs="Arial"/>
          <w:lang w:val="en-US"/>
        </w:rPr>
        <w:t xml:space="preserve"> (IBN-Net)”.</w:t>
      </w:r>
    </w:p>
    <w:p w:rsidR="001560CE" w:rsidRPr="007D4733" w:rsidRDefault="001560CE">
      <w:pPr>
        <w:spacing w:line="480" w:lineRule="auto"/>
        <w:jc w:val="both"/>
        <w:rPr>
          <w:rFonts w:ascii="Arial" w:hAnsi="Arial" w:cs="Arial"/>
          <w:lang w:val="en-US"/>
        </w:rPr>
      </w:pPr>
    </w:p>
    <w:p w:rsidR="00BD583D" w:rsidRPr="007D4733" w:rsidRDefault="00867955">
      <w:pPr>
        <w:rPr>
          <w:rFonts w:ascii="Arial" w:hAnsi="Arial" w:cs="Arial"/>
          <w:lang w:val="en-US"/>
        </w:rPr>
      </w:pPr>
      <w:r w:rsidRPr="007D4733">
        <w:rPr>
          <w:rFonts w:ascii="Arial" w:hAnsi="Arial" w:cs="Arial"/>
          <w:lang w:val="en-US"/>
        </w:rPr>
        <w:br w:type="page"/>
      </w:r>
    </w:p>
    <w:p w:rsidR="00BD583D" w:rsidRPr="007D4733" w:rsidRDefault="00867955">
      <w:pPr>
        <w:spacing w:line="480" w:lineRule="auto"/>
        <w:rPr>
          <w:rFonts w:ascii="Arial" w:hAnsi="Arial" w:cs="Arial"/>
          <w:b/>
          <w:lang w:val="en-US"/>
        </w:rPr>
      </w:pPr>
      <w:r w:rsidRPr="007D4733">
        <w:rPr>
          <w:rFonts w:ascii="Arial" w:hAnsi="Arial" w:cs="Arial"/>
          <w:b/>
          <w:lang w:val="en-US"/>
        </w:rPr>
        <w:lastRenderedPageBreak/>
        <w:t>1.0 Introduction</w:t>
      </w:r>
    </w:p>
    <w:p w:rsidR="00BD583D" w:rsidRPr="007D4733" w:rsidRDefault="00867955">
      <w:pPr>
        <w:spacing w:after="0" w:line="480" w:lineRule="auto"/>
        <w:jc w:val="both"/>
        <w:rPr>
          <w:rFonts w:ascii="Arial" w:hAnsi="Arial" w:cs="Arial"/>
          <w:lang w:val="en-US"/>
        </w:rPr>
      </w:pPr>
      <w:r w:rsidRPr="007D4733">
        <w:rPr>
          <w:rFonts w:ascii="Arial" w:hAnsi="Arial" w:cs="Arial"/>
          <w:lang w:val="en-US"/>
        </w:rPr>
        <w:t xml:space="preserve">In nowadays, the intake of high fat diets is predominant factor to development the metabolic syndrome. The metabolic syndrome is related to several diseases, such as type 2 diabetes and cardiovascular </w:t>
      </w:r>
      <w:proofErr w:type="gramStart"/>
      <w:r w:rsidRPr="007D4733">
        <w:rPr>
          <w:rFonts w:ascii="Arial" w:hAnsi="Arial" w:cs="Arial"/>
          <w:lang w:val="en-US"/>
        </w:rPr>
        <w:t>diseases[</w:t>
      </w:r>
      <w:proofErr w:type="gramEnd"/>
      <w:r w:rsidRPr="007D4733">
        <w:rPr>
          <w:rFonts w:ascii="Arial" w:hAnsi="Arial" w:cs="Arial"/>
          <w:lang w:val="en-US"/>
        </w:rPr>
        <w:t xml:space="preserve">1]. It’s known that the hypercholesterolemia is responsible for the development of ischemic heart disease, angina and myocardial </w:t>
      </w:r>
      <w:proofErr w:type="gramStart"/>
      <w:r w:rsidRPr="007D4733">
        <w:rPr>
          <w:rFonts w:ascii="Arial" w:hAnsi="Arial" w:cs="Arial"/>
          <w:lang w:val="en-US"/>
        </w:rPr>
        <w:t>infarction[</w:t>
      </w:r>
      <w:proofErr w:type="gramEnd"/>
      <w:r w:rsidRPr="007D4733">
        <w:rPr>
          <w:rFonts w:ascii="Arial" w:hAnsi="Arial" w:cs="Arial"/>
          <w:lang w:val="en-US"/>
        </w:rPr>
        <w:t>2].</w:t>
      </w:r>
      <w:r w:rsidRPr="007D4733">
        <w:rPr>
          <w:rFonts w:ascii="Arial" w:hAnsi="Arial" w:cs="Arial"/>
          <w:vertAlign w:val="superscript"/>
          <w:lang w:val="en-US"/>
        </w:rPr>
        <w:t xml:space="preserve"> </w:t>
      </w:r>
      <w:r w:rsidRPr="007D4733">
        <w:rPr>
          <w:rFonts w:ascii="Arial" w:hAnsi="Arial" w:cs="Arial"/>
          <w:lang w:val="en-US"/>
        </w:rPr>
        <w:t xml:space="preserve">In fact, the low-density lipoprotein is a carrier of cholesterol in the bloodstream and is associated with the promotion of </w:t>
      </w:r>
      <w:proofErr w:type="gramStart"/>
      <w:r w:rsidRPr="007D4733">
        <w:rPr>
          <w:rFonts w:ascii="Arial" w:hAnsi="Arial" w:cs="Arial"/>
          <w:lang w:val="en-US"/>
        </w:rPr>
        <w:t>atherosclerosis[</w:t>
      </w:r>
      <w:proofErr w:type="gramEnd"/>
      <w:r w:rsidRPr="007D4733">
        <w:rPr>
          <w:rFonts w:ascii="Arial" w:hAnsi="Arial" w:cs="Arial"/>
          <w:lang w:val="en-US"/>
        </w:rPr>
        <w:t xml:space="preserve">3]. Atherosclerosis is a chronic inflammatory disease of arteries, related to endothelial cell activation, promoting the plaque progression and formation of atheroma, a characteristic lesion of artery </w:t>
      </w:r>
      <w:proofErr w:type="gramStart"/>
      <w:r w:rsidRPr="007D4733">
        <w:rPr>
          <w:rFonts w:ascii="Arial" w:hAnsi="Arial" w:cs="Arial"/>
          <w:lang w:val="en-US"/>
        </w:rPr>
        <w:t>endothelium[</w:t>
      </w:r>
      <w:proofErr w:type="gramEnd"/>
      <w:r w:rsidRPr="007D4733">
        <w:rPr>
          <w:rFonts w:ascii="Arial" w:hAnsi="Arial" w:cs="Arial"/>
          <w:lang w:val="en-US"/>
        </w:rPr>
        <w:t xml:space="preserve">4,5]. </w:t>
      </w: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Platelets activation has key roles in thrombus formation and hemostasis, however also demonstrated the importance in the formation of atherosclerotic </w:t>
      </w:r>
      <w:proofErr w:type="gramStart"/>
      <w:r w:rsidRPr="007D4733">
        <w:rPr>
          <w:rFonts w:ascii="Arial" w:hAnsi="Arial" w:cs="Arial"/>
          <w:lang w:val="en-US"/>
        </w:rPr>
        <w:t>lesions[</w:t>
      </w:r>
      <w:proofErr w:type="gramEnd"/>
      <w:r w:rsidRPr="007D4733">
        <w:rPr>
          <w:rFonts w:ascii="Arial" w:hAnsi="Arial" w:cs="Arial"/>
          <w:lang w:val="en-US"/>
        </w:rPr>
        <w:t xml:space="preserve">6]. Models of atherosclerosis present a characteristic relation between activated platelets and leukocytes in the promotion of the atherosclerotic </w:t>
      </w:r>
      <w:proofErr w:type="gramStart"/>
      <w:r w:rsidRPr="007D4733">
        <w:rPr>
          <w:rFonts w:ascii="Arial" w:hAnsi="Arial" w:cs="Arial"/>
          <w:lang w:val="en-US"/>
        </w:rPr>
        <w:t>lesions[</w:t>
      </w:r>
      <w:proofErr w:type="gramEnd"/>
      <w:r w:rsidRPr="007D4733">
        <w:rPr>
          <w:rFonts w:ascii="Arial" w:hAnsi="Arial" w:cs="Arial"/>
          <w:lang w:val="en-US"/>
        </w:rPr>
        <w:t xml:space="preserve">7]. In fact, platelets activation elicits the inflammatory response, through of the released of inflammatory and </w:t>
      </w:r>
      <w:proofErr w:type="spellStart"/>
      <w:r w:rsidRPr="007D4733">
        <w:rPr>
          <w:rFonts w:ascii="Arial" w:hAnsi="Arial" w:cs="Arial"/>
          <w:lang w:val="en-US"/>
        </w:rPr>
        <w:t>immunemodulating</w:t>
      </w:r>
      <w:proofErr w:type="spellEnd"/>
      <w:r w:rsidRPr="007D4733">
        <w:rPr>
          <w:rFonts w:ascii="Arial" w:hAnsi="Arial" w:cs="Arial"/>
          <w:lang w:val="en-US"/>
        </w:rPr>
        <w:t xml:space="preserve"> factors, and can be related with the promotion of several </w:t>
      </w:r>
      <w:proofErr w:type="gramStart"/>
      <w:r w:rsidRPr="007D4733">
        <w:rPr>
          <w:rFonts w:ascii="Arial" w:hAnsi="Arial" w:cs="Arial"/>
          <w:lang w:val="en-US"/>
        </w:rPr>
        <w:t>diseases[</w:t>
      </w:r>
      <w:proofErr w:type="gramEnd"/>
      <w:r w:rsidRPr="007D4733">
        <w:rPr>
          <w:rFonts w:ascii="Arial" w:hAnsi="Arial" w:cs="Arial"/>
          <w:lang w:val="en-US"/>
        </w:rPr>
        <w:t xml:space="preserve">8,9]. Thus, the development of formation of the </w:t>
      </w:r>
      <w:proofErr w:type="spellStart"/>
      <w:r w:rsidRPr="007D4733">
        <w:rPr>
          <w:rFonts w:ascii="Arial" w:hAnsi="Arial" w:cs="Arial"/>
          <w:lang w:val="en-US"/>
        </w:rPr>
        <w:t>atheromatous</w:t>
      </w:r>
      <w:proofErr w:type="spellEnd"/>
      <w:r w:rsidRPr="007D4733">
        <w:rPr>
          <w:rFonts w:ascii="Arial" w:hAnsi="Arial" w:cs="Arial"/>
          <w:lang w:val="en-US"/>
        </w:rPr>
        <w:t xml:space="preserve"> plaque and potential rupture or the interruption of blood flow is considered crucial for the development of acute coronary syndromes and ischemic </w:t>
      </w:r>
      <w:proofErr w:type="gramStart"/>
      <w:r w:rsidRPr="007D4733">
        <w:rPr>
          <w:rFonts w:ascii="Arial" w:hAnsi="Arial" w:cs="Arial"/>
          <w:lang w:val="en-US"/>
        </w:rPr>
        <w:t>stroke[</w:t>
      </w:r>
      <w:proofErr w:type="gramEnd"/>
      <w:r w:rsidRPr="007D4733">
        <w:rPr>
          <w:rFonts w:ascii="Arial" w:hAnsi="Arial" w:cs="Arial"/>
          <w:lang w:val="en-US"/>
        </w:rPr>
        <w:t>5,10].</w:t>
      </w: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Actually, extracellular adenine nucleotides as ATP, ADP and adenosine regulate the vascular</w:t>
      </w:r>
      <w:r w:rsidR="00441B69" w:rsidRPr="007D4733">
        <w:rPr>
          <w:rFonts w:ascii="Arial" w:hAnsi="Arial" w:cs="Arial"/>
          <w:lang w:val="en-US"/>
        </w:rPr>
        <w:t xml:space="preserve"> </w:t>
      </w:r>
      <w:r w:rsidR="00EB176B" w:rsidRPr="007D4733">
        <w:rPr>
          <w:rFonts w:ascii="Arial" w:hAnsi="Arial" w:cs="Arial"/>
        </w:rPr>
        <w:t>STRUCT</w:t>
      </w:r>
      <w:r w:rsidR="00441B69" w:rsidRPr="007D4733">
        <w:rPr>
          <w:rFonts w:ascii="Arial" w:hAnsi="Arial" w:cs="Arial"/>
          <w:lang w:val="en-US"/>
        </w:rPr>
        <w:t>-250</w:t>
      </w:r>
      <w:r w:rsidRPr="007D4733">
        <w:rPr>
          <w:rFonts w:ascii="Arial" w:hAnsi="Arial" w:cs="Arial"/>
          <w:lang w:val="en-US"/>
        </w:rPr>
        <w:t xml:space="preserve"> response to endothelial injury. ADP induces the platelets aggregation and promotes the coagulation cascade</w:t>
      </w:r>
      <w:r w:rsidR="006574AC" w:rsidRPr="007D4733">
        <w:rPr>
          <w:rFonts w:ascii="Arial" w:hAnsi="Arial" w:cs="Arial"/>
          <w:lang w:val="en-US"/>
        </w:rPr>
        <w:t xml:space="preserve"> (Table 1)</w:t>
      </w:r>
      <w:r w:rsidRPr="007D4733">
        <w:rPr>
          <w:rFonts w:ascii="Arial" w:hAnsi="Arial" w:cs="Arial"/>
          <w:lang w:val="en-US"/>
        </w:rPr>
        <w:t xml:space="preserve">. At same time, the adenosine, product of AMP hydrolysis, is potent inhibitor acting in the regulation of platelet </w:t>
      </w:r>
      <w:proofErr w:type="gramStart"/>
      <w:r w:rsidRPr="007D4733">
        <w:rPr>
          <w:rFonts w:ascii="Arial" w:hAnsi="Arial" w:cs="Arial"/>
          <w:lang w:val="en-US"/>
        </w:rPr>
        <w:t>aggregation[</w:t>
      </w:r>
      <w:proofErr w:type="gramEnd"/>
      <w:r w:rsidRPr="007D4733">
        <w:rPr>
          <w:rFonts w:ascii="Arial" w:hAnsi="Arial" w:cs="Arial"/>
          <w:lang w:val="en-US"/>
        </w:rPr>
        <w:t xml:space="preserve">11]. After regulates the platelet activation through </w:t>
      </w:r>
      <w:proofErr w:type="spellStart"/>
      <w:r w:rsidRPr="007D4733">
        <w:rPr>
          <w:rFonts w:ascii="Arial" w:hAnsi="Arial" w:cs="Arial"/>
          <w:lang w:val="en-US"/>
        </w:rPr>
        <w:t>purinergic</w:t>
      </w:r>
      <w:proofErr w:type="spellEnd"/>
      <w:r w:rsidRPr="007D4733">
        <w:rPr>
          <w:rFonts w:ascii="Arial" w:hAnsi="Arial" w:cs="Arial"/>
          <w:lang w:val="en-US"/>
        </w:rPr>
        <w:t xml:space="preserve"> receptors the receptor-mediated </w:t>
      </w:r>
      <w:proofErr w:type="spellStart"/>
      <w:r w:rsidRPr="007D4733">
        <w:rPr>
          <w:rFonts w:ascii="Arial" w:hAnsi="Arial" w:cs="Arial"/>
          <w:lang w:val="en-US"/>
        </w:rPr>
        <w:t>signalling</w:t>
      </w:r>
      <w:proofErr w:type="spellEnd"/>
      <w:r w:rsidRPr="007D4733">
        <w:rPr>
          <w:rFonts w:ascii="Arial" w:hAnsi="Arial" w:cs="Arial"/>
          <w:lang w:val="en-US"/>
        </w:rPr>
        <w:t xml:space="preserve"> is terminated</w:t>
      </w:r>
      <w:r w:rsidR="00441B69" w:rsidRPr="007D4733">
        <w:rPr>
          <w:rFonts w:ascii="Arial" w:hAnsi="Arial" w:cs="Arial"/>
          <w:lang w:val="en-US"/>
        </w:rPr>
        <w:t xml:space="preserve"> (</w:t>
      </w:r>
      <w:r w:rsidR="006574AC" w:rsidRPr="007D4733">
        <w:rPr>
          <w:rFonts w:ascii="Arial" w:hAnsi="Arial" w:cs="Arial"/>
          <w:lang w:val="en-US"/>
        </w:rPr>
        <w:t>Figures 1 and 2</w:t>
      </w:r>
      <w:r w:rsidR="00441B69" w:rsidRPr="007D4733">
        <w:rPr>
          <w:rFonts w:ascii="Arial" w:hAnsi="Arial" w:cs="Arial"/>
          <w:lang w:val="en-US"/>
        </w:rPr>
        <w:t>)</w:t>
      </w:r>
      <w:r w:rsidRPr="007D4733">
        <w:rPr>
          <w:rFonts w:ascii="Arial" w:hAnsi="Arial" w:cs="Arial"/>
          <w:lang w:val="en-US"/>
        </w:rPr>
        <w:t xml:space="preserve"> by the coordinated action in cascade of </w:t>
      </w:r>
      <w:proofErr w:type="spellStart"/>
      <w:r w:rsidRPr="007D4733">
        <w:rPr>
          <w:rFonts w:ascii="Arial" w:hAnsi="Arial" w:cs="Arial"/>
          <w:lang w:val="en-US"/>
        </w:rPr>
        <w:t>ecto-nucleotidases</w:t>
      </w:r>
      <w:proofErr w:type="spellEnd"/>
      <w:r w:rsidRPr="007D4733">
        <w:rPr>
          <w:rFonts w:ascii="Arial" w:hAnsi="Arial" w:cs="Arial"/>
          <w:lang w:val="en-US"/>
        </w:rPr>
        <w:t xml:space="preserve">, including </w:t>
      </w:r>
      <w:proofErr w:type="spellStart"/>
      <w:r w:rsidRPr="007D4733">
        <w:rPr>
          <w:rFonts w:ascii="Arial" w:hAnsi="Arial" w:cs="Arial"/>
          <w:lang w:val="en-US"/>
        </w:rPr>
        <w:t>NTPDase</w:t>
      </w:r>
      <w:proofErr w:type="spellEnd"/>
      <w:r w:rsidRPr="007D4733">
        <w:rPr>
          <w:rFonts w:ascii="Arial" w:hAnsi="Arial" w:cs="Arial"/>
          <w:lang w:val="en-US"/>
        </w:rPr>
        <w:t xml:space="preserve"> (E.C. 3.6.1.5) (CD39, </w:t>
      </w:r>
      <w:proofErr w:type="spellStart"/>
      <w:r w:rsidRPr="007D4733">
        <w:rPr>
          <w:rFonts w:ascii="Arial" w:hAnsi="Arial" w:cs="Arial"/>
          <w:lang w:val="en-US"/>
        </w:rPr>
        <w:t>ecto-apyrase</w:t>
      </w:r>
      <w:proofErr w:type="spellEnd"/>
      <w:r w:rsidRPr="007D4733">
        <w:rPr>
          <w:rFonts w:ascii="Arial" w:hAnsi="Arial" w:cs="Arial"/>
          <w:lang w:val="en-US"/>
        </w:rPr>
        <w:t xml:space="preserve">, ATP </w:t>
      </w:r>
      <w:proofErr w:type="spellStart"/>
      <w:r w:rsidRPr="007D4733">
        <w:rPr>
          <w:rFonts w:ascii="Arial" w:hAnsi="Arial" w:cs="Arial"/>
          <w:lang w:val="en-US"/>
        </w:rPr>
        <w:t>diphosphohydrolase</w:t>
      </w:r>
      <w:proofErr w:type="spellEnd"/>
      <w:r w:rsidRPr="007D4733">
        <w:rPr>
          <w:rFonts w:ascii="Arial" w:hAnsi="Arial" w:cs="Arial"/>
          <w:lang w:val="en-US"/>
        </w:rPr>
        <w:t xml:space="preserve">) that hydrolyses ATP and ADP to AMP, </w:t>
      </w:r>
      <w:r w:rsidRPr="007D4733">
        <w:rPr>
          <w:rFonts w:ascii="Arial" w:hAnsi="Arial" w:cs="Arial"/>
          <w:lang w:val="en-US"/>
        </w:rPr>
        <w:lastRenderedPageBreak/>
        <w:t>which is subsequently hydrolyzed by the ecto-5’-nucleotidase</w:t>
      </w:r>
      <w:r w:rsidR="00441B69" w:rsidRPr="007D4733">
        <w:rPr>
          <w:rFonts w:ascii="Arial" w:hAnsi="Arial" w:cs="Arial"/>
          <w:lang w:val="en-US"/>
        </w:rPr>
        <w:t xml:space="preserve"> </w:t>
      </w:r>
      <w:r w:rsidR="006574AC" w:rsidRPr="007D4733">
        <w:rPr>
          <w:rFonts w:ascii="Arial" w:hAnsi="Arial" w:cs="Arial"/>
          <w:lang w:val="en-US"/>
        </w:rPr>
        <w:t>Chart 1</w:t>
      </w:r>
      <w:r w:rsidRPr="007D4733">
        <w:rPr>
          <w:rFonts w:ascii="Arial" w:hAnsi="Arial" w:cs="Arial"/>
          <w:lang w:val="en-US"/>
        </w:rPr>
        <w:t xml:space="preserve"> (E.C. 3.1.3.5) in </w:t>
      </w:r>
      <w:proofErr w:type="gramStart"/>
      <w:r w:rsidRPr="007D4733">
        <w:rPr>
          <w:rFonts w:ascii="Arial" w:hAnsi="Arial" w:cs="Arial"/>
          <w:lang w:val="en-US"/>
        </w:rPr>
        <w:t>adenosine[</w:t>
      </w:r>
      <w:proofErr w:type="gramEnd"/>
      <w:r w:rsidRPr="007D4733">
        <w:rPr>
          <w:rFonts w:ascii="Arial" w:hAnsi="Arial" w:cs="Arial"/>
          <w:lang w:val="en-US"/>
        </w:rPr>
        <w:t>12].</w:t>
      </w: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As well are known, the progression of the atheroma plaque reduces the </w:t>
      </w:r>
      <w:proofErr w:type="spellStart"/>
      <w:r w:rsidRPr="007D4733">
        <w:rPr>
          <w:rFonts w:ascii="Arial" w:hAnsi="Arial" w:cs="Arial"/>
          <w:lang w:val="en-US"/>
        </w:rPr>
        <w:t>vasal</w:t>
      </w:r>
      <w:proofErr w:type="spellEnd"/>
      <w:r w:rsidRPr="007D4733">
        <w:rPr>
          <w:rFonts w:ascii="Arial" w:hAnsi="Arial" w:cs="Arial"/>
          <w:lang w:val="en-US"/>
        </w:rPr>
        <w:t xml:space="preserve"> lumen altering the blood </w:t>
      </w:r>
      <w:proofErr w:type="gramStart"/>
      <w:r w:rsidRPr="007D4733">
        <w:rPr>
          <w:rFonts w:ascii="Arial" w:hAnsi="Arial" w:cs="Arial"/>
          <w:lang w:val="en-US"/>
        </w:rPr>
        <w:t>flow[</w:t>
      </w:r>
      <w:proofErr w:type="gramEnd"/>
      <w:r w:rsidRPr="007D4733">
        <w:rPr>
          <w:rFonts w:ascii="Arial" w:hAnsi="Arial" w:cs="Arial"/>
          <w:lang w:val="en-US"/>
        </w:rPr>
        <w:t xml:space="preserve">5]. Interesting, cholinergic mechanisms play a role in the modulation of cerebral blood </w:t>
      </w:r>
      <w:proofErr w:type="gramStart"/>
      <w:r w:rsidRPr="007D4733">
        <w:rPr>
          <w:rFonts w:ascii="Arial" w:hAnsi="Arial" w:cs="Arial"/>
          <w:lang w:val="en-US"/>
        </w:rPr>
        <w:t>flow[</w:t>
      </w:r>
      <w:proofErr w:type="gramEnd"/>
      <w:r w:rsidRPr="007D4733">
        <w:rPr>
          <w:rFonts w:ascii="Arial" w:hAnsi="Arial" w:cs="Arial"/>
          <w:lang w:val="en-US"/>
        </w:rPr>
        <w:t xml:space="preserve">13]. The enzyme </w:t>
      </w:r>
      <w:proofErr w:type="spellStart"/>
      <w:r w:rsidRPr="007D4733">
        <w:rPr>
          <w:rFonts w:ascii="Arial" w:hAnsi="Arial" w:cs="Arial"/>
          <w:lang w:val="en-US"/>
        </w:rPr>
        <w:t>Acetylcholinesterase</w:t>
      </w:r>
      <w:proofErr w:type="spellEnd"/>
      <w:r w:rsidRPr="007D4733">
        <w:rPr>
          <w:rFonts w:ascii="Arial" w:hAnsi="Arial" w:cs="Arial"/>
          <w:lang w:val="en-US"/>
        </w:rPr>
        <w:t xml:space="preserve"> (</w:t>
      </w:r>
      <w:proofErr w:type="spellStart"/>
      <w:r w:rsidRPr="007D4733">
        <w:rPr>
          <w:rFonts w:ascii="Arial" w:hAnsi="Arial" w:cs="Arial"/>
          <w:lang w:val="en-US"/>
        </w:rPr>
        <w:t>AChE</w:t>
      </w:r>
      <w:proofErr w:type="spellEnd"/>
      <w:r w:rsidRPr="007D4733">
        <w:rPr>
          <w:rFonts w:ascii="Arial" w:hAnsi="Arial" w:cs="Arial"/>
          <w:lang w:val="en-US"/>
        </w:rPr>
        <w:t>, 3.1.1.7) is the main mechanism of controlling the cholinergic function, through the degradation of acetylcholine (</w:t>
      </w:r>
      <w:proofErr w:type="spellStart"/>
      <w:r w:rsidRPr="007D4733">
        <w:rPr>
          <w:rFonts w:ascii="Arial" w:hAnsi="Arial" w:cs="Arial"/>
          <w:lang w:val="en-US"/>
        </w:rPr>
        <w:t>ACh</w:t>
      </w:r>
      <w:proofErr w:type="spellEnd"/>
      <w:r w:rsidRPr="007D4733">
        <w:rPr>
          <w:rFonts w:ascii="Arial" w:hAnsi="Arial" w:cs="Arial"/>
          <w:lang w:val="en-US"/>
        </w:rPr>
        <w:t xml:space="preserve">) in to metabolites, choline and </w:t>
      </w:r>
      <w:proofErr w:type="gramStart"/>
      <w:r w:rsidRPr="007D4733">
        <w:rPr>
          <w:rFonts w:ascii="Arial" w:hAnsi="Arial" w:cs="Arial"/>
          <w:lang w:val="en-US"/>
        </w:rPr>
        <w:t>acetate[</w:t>
      </w:r>
      <w:proofErr w:type="gramEnd"/>
      <w:r w:rsidRPr="007D4733">
        <w:rPr>
          <w:rFonts w:ascii="Arial" w:hAnsi="Arial" w:cs="Arial"/>
          <w:lang w:val="en-US"/>
        </w:rPr>
        <w:t xml:space="preserve">14,15]. Moreover, </w:t>
      </w:r>
      <w:proofErr w:type="spellStart"/>
      <w:r w:rsidRPr="007D4733">
        <w:rPr>
          <w:rFonts w:ascii="Arial" w:hAnsi="Arial" w:cs="Arial"/>
          <w:lang w:val="en-US"/>
        </w:rPr>
        <w:t>AChE</w:t>
      </w:r>
      <w:proofErr w:type="spellEnd"/>
      <w:r w:rsidRPr="007D4733">
        <w:rPr>
          <w:rFonts w:ascii="Arial" w:hAnsi="Arial" w:cs="Arial"/>
          <w:lang w:val="en-US"/>
        </w:rPr>
        <w:t xml:space="preserve"> is found in the several tissues such as blood </w:t>
      </w:r>
      <w:proofErr w:type="gramStart"/>
      <w:r w:rsidRPr="007D4733">
        <w:rPr>
          <w:rFonts w:ascii="Arial" w:hAnsi="Arial" w:cs="Arial"/>
          <w:lang w:val="en-US"/>
        </w:rPr>
        <w:t>cells[</w:t>
      </w:r>
      <w:proofErr w:type="gramEnd"/>
      <w:r w:rsidRPr="007D4733">
        <w:rPr>
          <w:rFonts w:ascii="Arial" w:hAnsi="Arial" w:cs="Arial"/>
          <w:lang w:val="en-US"/>
        </w:rPr>
        <w:t xml:space="preserve">16], and the </w:t>
      </w:r>
      <w:proofErr w:type="spellStart"/>
      <w:r w:rsidRPr="007D4733">
        <w:rPr>
          <w:rFonts w:ascii="Arial" w:hAnsi="Arial" w:cs="Arial"/>
          <w:lang w:val="en-US"/>
        </w:rPr>
        <w:t>ACh</w:t>
      </w:r>
      <w:proofErr w:type="spellEnd"/>
      <w:r w:rsidRPr="007D4733">
        <w:rPr>
          <w:rFonts w:ascii="Arial" w:hAnsi="Arial" w:cs="Arial"/>
          <w:lang w:val="en-US"/>
        </w:rPr>
        <w:t xml:space="preserve"> in blood has been related to immune modulation[17]. </w:t>
      </w:r>
    </w:p>
    <w:p w:rsidR="00BD583D" w:rsidRPr="007D4733" w:rsidRDefault="0007600D">
      <w:pPr>
        <w:spacing w:line="480" w:lineRule="auto"/>
        <w:jc w:val="both"/>
        <w:rPr>
          <w:rFonts w:ascii="Arial" w:hAnsi="Arial" w:cs="Arial"/>
          <w:b/>
          <w:lang w:val="en-US"/>
        </w:rPr>
      </w:pPr>
      <w:r w:rsidRPr="007D4733">
        <w:rPr>
          <w:rFonts w:ascii="Arial" w:hAnsi="Arial" w:cs="Arial"/>
          <w:lang w:val="en-US"/>
        </w:rPr>
        <w:t xml:space="preserve">STRUCT-250 </w:t>
      </w:r>
      <w:r w:rsidR="005F3F1D" w:rsidRPr="007D4733">
        <w:rPr>
          <w:rFonts w:ascii="Arial" w:hAnsi="Arial" w:cs="Arial"/>
          <w:lang w:val="en-US"/>
        </w:rPr>
        <w:t xml:space="preserve">Thus, due to the fact that the </w:t>
      </w:r>
      <w:proofErr w:type="spellStart"/>
      <w:r w:rsidR="005F3F1D" w:rsidRPr="007D4733">
        <w:rPr>
          <w:rFonts w:ascii="Arial" w:hAnsi="Arial" w:cs="Arial"/>
          <w:lang w:val="en-US"/>
        </w:rPr>
        <w:t>ectonucleotidases</w:t>
      </w:r>
      <w:proofErr w:type="spellEnd"/>
      <w:r w:rsidR="005F3F1D" w:rsidRPr="007D4733">
        <w:rPr>
          <w:rFonts w:ascii="Arial" w:hAnsi="Arial" w:cs="Arial"/>
          <w:lang w:val="en-US"/>
        </w:rPr>
        <w:t xml:space="preserve"> as well as </w:t>
      </w:r>
      <w:proofErr w:type="spellStart"/>
      <w:r w:rsidR="005F3F1D" w:rsidRPr="007D4733">
        <w:rPr>
          <w:rFonts w:ascii="Arial" w:hAnsi="Arial" w:cs="Arial"/>
          <w:lang w:val="en-US"/>
        </w:rPr>
        <w:t>AChE</w:t>
      </w:r>
      <w:proofErr w:type="spellEnd"/>
      <w:r w:rsidR="005F3F1D" w:rsidRPr="007D4733">
        <w:rPr>
          <w:rFonts w:ascii="Arial" w:hAnsi="Arial" w:cs="Arial"/>
          <w:lang w:val="en-US"/>
        </w:rPr>
        <w:t xml:space="preserve"> control the levels of </w:t>
      </w:r>
      <w:proofErr w:type="spellStart"/>
      <w:r w:rsidR="005F3F1D" w:rsidRPr="007D4733">
        <w:rPr>
          <w:rFonts w:ascii="Arial" w:hAnsi="Arial" w:cs="Arial"/>
          <w:lang w:val="en-US"/>
        </w:rPr>
        <w:t>immunomodulatory</w:t>
      </w:r>
      <w:proofErr w:type="spellEnd"/>
      <w:r w:rsidR="005F3F1D" w:rsidRPr="007D4733">
        <w:rPr>
          <w:rFonts w:ascii="Arial" w:hAnsi="Arial" w:cs="Arial"/>
          <w:lang w:val="en-US"/>
        </w:rPr>
        <w:t xml:space="preserve"> factors, ATP, adenosine and A</w:t>
      </w:r>
      <w:r w:rsidR="00D645A3" w:rsidRPr="007D4733">
        <w:rPr>
          <w:rFonts w:ascii="Arial" w:hAnsi="Arial" w:cs="Arial"/>
          <w:lang w:val="en-US"/>
        </w:rPr>
        <w:t>c</w:t>
      </w:r>
      <w:r w:rsidR="005F3F1D" w:rsidRPr="007D4733">
        <w:rPr>
          <w:rFonts w:ascii="Arial" w:hAnsi="Arial" w:cs="Arial"/>
          <w:lang w:val="en-US"/>
        </w:rPr>
        <w:t>h</w:t>
      </w:r>
      <w:r w:rsidR="00D645A3" w:rsidRPr="007D4733">
        <w:rPr>
          <w:rFonts w:ascii="Arial" w:hAnsi="Arial" w:cs="Arial"/>
          <w:lang w:val="en-US"/>
        </w:rPr>
        <w:t xml:space="preserve"> (Scheme 1)</w:t>
      </w:r>
      <w:r w:rsidR="005F3F1D" w:rsidRPr="007D4733">
        <w:rPr>
          <w:rFonts w:ascii="Arial" w:hAnsi="Arial" w:cs="Arial"/>
          <w:lang w:val="en-US"/>
        </w:rPr>
        <w:t xml:space="preserve">, and considering that the high fat diets are related of the atherosclerotic inflammation, the aim of this study was evaluate the effect of fat diets on the </w:t>
      </w:r>
      <w:proofErr w:type="spellStart"/>
      <w:r w:rsidR="005F3F1D" w:rsidRPr="007D4733">
        <w:rPr>
          <w:rFonts w:ascii="Arial" w:hAnsi="Arial" w:cs="Arial"/>
          <w:lang w:val="en-US"/>
        </w:rPr>
        <w:t>purinergic</w:t>
      </w:r>
      <w:proofErr w:type="spellEnd"/>
      <w:r w:rsidR="005F3F1D" w:rsidRPr="007D4733">
        <w:rPr>
          <w:rFonts w:ascii="Arial" w:hAnsi="Arial" w:cs="Arial"/>
          <w:lang w:val="en-US"/>
        </w:rPr>
        <w:t xml:space="preserve"> and cholinergic status in peripheral tissues of rats to determine the potential of induced the neuronal inflammation and contribute to development of </w:t>
      </w:r>
      <w:proofErr w:type="spellStart"/>
      <w:r w:rsidR="005F3F1D" w:rsidRPr="007D4733">
        <w:rPr>
          <w:rFonts w:ascii="Arial" w:hAnsi="Arial" w:cs="Arial"/>
          <w:lang w:val="en-US"/>
        </w:rPr>
        <w:t>neurodiseases</w:t>
      </w:r>
      <w:proofErr w:type="spellEnd"/>
      <w:r w:rsidR="00D645A3" w:rsidRPr="007D4733">
        <w:rPr>
          <w:rFonts w:ascii="Arial" w:hAnsi="Arial" w:cs="Arial"/>
          <w:lang w:val="en-US"/>
        </w:rPr>
        <w:t xml:space="preserve"> (Scheme</w:t>
      </w:r>
      <w:r w:rsidR="00880169" w:rsidRPr="007D4733">
        <w:rPr>
          <w:rFonts w:ascii="Arial" w:hAnsi="Arial" w:cs="Arial"/>
          <w:lang w:val="en-US"/>
        </w:rPr>
        <w:t>s</w:t>
      </w:r>
      <w:r w:rsidR="00D645A3" w:rsidRPr="007D4733">
        <w:rPr>
          <w:rFonts w:ascii="Arial" w:hAnsi="Arial" w:cs="Arial"/>
          <w:lang w:val="en-US"/>
        </w:rPr>
        <w:t xml:space="preserve"> 2</w:t>
      </w:r>
      <w:r w:rsidR="008F02D3" w:rsidRPr="007D4733">
        <w:rPr>
          <w:rFonts w:ascii="Arial" w:hAnsi="Arial" w:cs="Arial"/>
          <w:lang w:val="en-US"/>
        </w:rPr>
        <w:t>, 3</w:t>
      </w:r>
      <w:r w:rsidR="001F6F6D" w:rsidRPr="007D4733">
        <w:rPr>
          <w:rFonts w:ascii="Arial" w:hAnsi="Arial" w:cs="Arial"/>
          <w:lang w:val="en-US"/>
        </w:rPr>
        <w:t xml:space="preserve"> and Chart 2</w:t>
      </w:r>
      <w:r w:rsidR="00D645A3" w:rsidRPr="007D4733">
        <w:rPr>
          <w:rFonts w:ascii="Arial" w:hAnsi="Arial" w:cs="Arial"/>
          <w:lang w:val="en-US"/>
        </w:rPr>
        <w:t>)</w:t>
      </w:r>
      <w:r w:rsidR="005F3F1D" w:rsidRPr="007D4733">
        <w:rPr>
          <w:rFonts w:ascii="Arial" w:hAnsi="Arial" w:cs="Arial"/>
          <w:lang w:val="en-US"/>
        </w:rPr>
        <w:t>.</w:t>
      </w:r>
    </w:p>
    <w:p w:rsidR="00BD583D" w:rsidRPr="007D4733" w:rsidRDefault="00867955">
      <w:pPr>
        <w:spacing w:line="480" w:lineRule="auto"/>
        <w:jc w:val="both"/>
        <w:rPr>
          <w:rFonts w:ascii="Arial" w:hAnsi="Arial" w:cs="Arial"/>
          <w:b/>
          <w:lang w:val="en-US"/>
        </w:rPr>
      </w:pPr>
      <w:r w:rsidRPr="007D4733">
        <w:rPr>
          <w:rFonts w:ascii="Arial" w:hAnsi="Arial" w:cs="Arial"/>
          <w:b/>
          <w:lang w:val="en-US"/>
        </w:rPr>
        <w:t>2.0 Experimental Procedures</w:t>
      </w:r>
    </w:p>
    <w:p w:rsidR="00BD583D" w:rsidRPr="007D4733" w:rsidRDefault="00867955">
      <w:pPr>
        <w:spacing w:line="480" w:lineRule="auto"/>
        <w:jc w:val="both"/>
        <w:rPr>
          <w:rFonts w:ascii="Arial" w:hAnsi="Arial" w:cs="Arial"/>
          <w:b/>
          <w:lang w:val="en-US"/>
        </w:rPr>
      </w:pPr>
      <w:r w:rsidRPr="007D4733">
        <w:rPr>
          <w:rFonts w:ascii="Arial" w:hAnsi="Arial" w:cs="Arial"/>
          <w:b/>
          <w:lang w:val="en-US"/>
        </w:rPr>
        <w:t>2.1 Animals</w:t>
      </w:r>
    </w:p>
    <w:p w:rsidR="00BD583D" w:rsidRPr="007D4733" w:rsidRDefault="00867955">
      <w:pPr>
        <w:spacing w:line="480" w:lineRule="auto"/>
        <w:ind w:firstLine="708"/>
        <w:jc w:val="both"/>
        <w:rPr>
          <w:rFonts w:ascii="Arial" w:hAnsi="Arial" w:cs="Arial"/>
          <w:lang w:val="en-US"/>
        </w:rPr>
      </w:pPr>
      <w:r w:rsidRPr="007D4733">
        <w:rPr>
          <w:rFonts w:ascii="Arial" w:hAnsi="Arial" w:cs="Arial"/>
          <w:lang w:val="en-US"/>
        </w:rPr>
        <w:t>Twenty-day-old rat pups weighing 60g obtained from our breeding colony were used. The animals were maintained on a 12:12 light/dark cycle, in an air-conditioned (22 ± 1ºC) colony room, with free access to water and food, and were weighed weekly. All animal procedures were approved by the Institutional Ethical Committee of the Federal University of Santa Maria (Protocol number 23/2006).</w:t>
      </w:r>
    </w:p>
    <w:p w:rsidR="00BD583D" w:rsidRPr="007D4733" w:rsidRDefault="00BD583D">
      <w:pPr>
        <w:spacing w:line="480" w:lineRule="auto"/>
        <w:ind w:firstLine="708"/>
        <w:jc w:val="both"/>
        <w:rPr>
          <w:rFonts w:ascii="Arial" w:hAnsi="Arial" w:cs="Arial"/>
          <w:lang w:val="en-US"/>
        </w:rPr>
      </w:pPr>
    </w:p>
    <w:p w:rsidR="00BD583D" w:rsidRPr="007D4733" w:rsidRDefault="00867955">
      <w:pPr>
        <w:spacing w:line="480" w:lineRule="auto"/>
        <w:jc w:val="both"/>
        <w:rPr>
          <w:rFonts w:ascii="Arial" w:hAnsi="Arial" w:cs="Arial"/>
          <w:b/>
          <w:lang w:val="en-US"/>
        </w:rPr>
      </w:pPr>
      <w:r w:rsidRPr="007D4733">
        <w:rPr>
          <w:rFonts w:ascii="Arial" w:hAnsi="Arial" w:cs="Arial"/>
          <w:b/>
          <w:lang w:val="en-US"/>
        </w:rPr>
        <w:t>2.2 Materials</w:t>
      </w:r>
    </w:p>
    <w:p w:rsidR="00BD583D" w:rsidRPr="007D4733" w:rsidRDefault="00867955">
      <w:pPr>
        <w:spacing w:line="480" w:lineRule="auto"/>
        <w:ind w:firstLine="708"/>
        <w:jc w:val="both"/>
        <w:rPr>
          <w:rFonts w:ascii="Arial" w:hAnsi="Arial" w:cs="Arial"/>
          <w:b/>
          <w:lang w:val="en-US"/>
        </w:rPr>
      </w:pPr>
      <w:proofErr w:type="spellStart"/>
      <w:r w:rsidRPr="007D4733">
        <w:rPr>
          <w:rFonts w:ascii="Arial" w:hAnsi="Arial" w:cs="Arial"/>
          <w:lang w:val="en-US"/>
        </w:rPr>
        <w:lastRenderedPageBreak/>
        <w:t>Acetylthiocholine</w:t>
      </w:r>
      <w:proofErr w:type="spellEnd"/>
      <w:r w:rsidRPr="007D4733">
        <w:rPr>
          <w:rFonts w:ascii="Arial" w:hAnsi="Arial" w:cs="Arial"/>
          <w:lang w:val="en-US"/>
        </w:rPr>
        <w:t xml:space="preserve"> iodide, and 5</w:t>
      </w:r>
      <w:proofErr w:type="gramStart"/>
      <w:r w:rsidRPr="007D4733">
        <w:rPr>
          <w:rFonts w:ascii="Arial" w:hAnsi="Arial" w:cs="Arial"/>
          <w:lang w:val="en-US"/>
        </w:rPr>
        <w:t>,5’</w:t>
      </w:r>
      <w:proofErr w:type="gramEnd"/>
      <w:r w:rsidRPr="007D4733">
        <w:rPr>
          <w:rFonts w:ascii="Arial" w:hAnsi="Arial" w:cs="Arial"/>
          <w:lang w:val="en-US"/>
        </w:rPr>
        <w:t>-dithio-bis-2-nitrobenzoic acid (DTNB) were purchased from Sigma Chemical Co (St Louis, MO, USA). All other reagents used in the experiments were of analytical grade and of the highest purity.</w:t>
      </w:r>
    </w:p>
    <w:p w:rsidR="00BD583D" w:rsidRPr="007D4733" w:rsidRDefault="00867955">
      <w:pPr>
        <w:spacing w:line="480" w:lineRule="auto"/>
        <w:rPr>
          <w:rFonts w:ascii="Arial" w:hAnsi="Arial" w:cs="Arial"/>
          <w:b/>
          <w:lang w:val="en-US"/>
        </w:rPr>
      </w:pPr>
      <w:r w:rsidRPr="007D4733">
        <w:rPr>
          <w:rFonts w:ascii="Arial" w:hAnsi="Arial" w:cs="Arial"/>
          <w:b/>
          <w:lang w:val="en-US"/>
        </w:rPr>
        <w:t>2.3 Treatment</w:t>
      </w:r>
    </w:p>
    <w:p w:rsidR="00BD583D" w:rsidRPr="007D4733" w:rsidRDefault="00867955">
      <w:pPr>
        <w:spacing w:line="480" w:lineRule="auto"/>
        <w:ind w:firstLine="708"/>
        <w:jc w:val="both"/>
        <w:rPr>
          <w:rFonts w:ascii="Arial" w:eastAsia="Calibri" w:hAnsi="Arial" w:cs="Arial"/>
          <w:lang w:val="en-US"/>
        </w:rPr>
      </w:pPr>
      <w:r w:rsidRPr="007D4733">
        <w:rPr>
          <w:rFonts w:ascii="Arial" w:eastAsia="Calibri" w:hAnsi="Arial" w:cs="Arial"/>
          <w:lang w:val="en-US"/>
        </w:rPr>
        <w:t xml:space="preserve">The newly weaned rat pups were submitted to long-term exposure, three months, to the </w:t>
      </w:r>
      <w:r w:rsidRPr="007D4733">
        <w:rPr>
          <w:rFonts w:ascii="Arial" w:hAnsi="Arial" w:cs="Arial"/>
          <w:lang w:val="en-US"/>
        </w:rPr>
        <w:t xml:space="preserve">different </w:t>
      </w:r>
      <w:r w:rsidRPr="007D4733">
        <w:rPr>
          <w:rFonts w:ascii="Arial" w:eastAsia="Calibri" w:hAnsi="Arial" w:cs="Arial"/>
          <w:lang w:val="en-US"/>
        </w:rPr>
        <w:t xml:space="preserve">diet high saturated and unsaturated fat. The animals were treated with </w:t>
      </w:r>
      <w:r w:rsidRPr="007D4733">
        <w:rPr>
          <w:rFonts w:ascii="Arial" w:hAnsi="Arial" w:cs="Arial"/>
          <w:lang w:val="en-US"/>
        </w:rPr>
        <w:t>five</w:t>
      </w:r>
      <w:r w:rsidRPr="007D4733">
        <w:rPr>
          <w:rFonts w:ascii="Arial" w:eastAsia="Calibri" w:hAnsi="Arial" w:cs="Arial"/>
          <w:lang w:val="en-US"/>
        </w:rPr>
        <w:t xml:space="preserve"> different </w:t>
      </w:r>
      <w:r w:rsidRPr="007D4733">
        <w:rPr>
          <w:rFonts w:ascii="Arial" w:hAnsi="Arial" w:cs="Arial"/>
          <w:lang w:val="en-US"/>
        </w:rPr>
        <w:t>diets</w:t>
      </w:r>
      <w:r w:rsidRPr="007D4733">
        <w:rPr>
          <w:rFonts w:ascii="Arial" w:eastAsia="Calibri" w:hAnsi="Arial" w:cs="Arial"/>
          <w:lang w:val="en-US"/>
        </w:rPr>
        <w:t xml:space="preserve">:  </w:t>
      </w:r>
      <w:r w:rsidRPr="007D4733">
        <w:rPr>
          <w:rFonts w:ascii="Arial" w:hAnsi="Arial" w:cs="Arial"/>
          <w:lang w:val="en-US"/>
        </w:rPr>
        <w:t xml:space="preserve">(1) </w:t>
      </w:r>
      <w:r w:rsidRPr="007D4733">
        <w:rPr>
          <w:rFonts w:ascii="Arial" w:eastAsia="Calibri" w:hAnsi="Arial" w:cs="Arial"/>
          <w:lang w:val="en-US"/>
        </w:rPr>
        <w:t>the control group consumed Laborato</w:t>
      </w:r>
      <w:r w:rsidRPr="007D4733">
        <w:rPr>
          <w:rFonts w:ascii="Arial" w:hAnsi="Arial" w:cs="Arial"/>
          <w:lang w:val="en-US"/>
        </w:rPr>
        <w:t>ry chow (Supra-RS, Brazil);</w:t>
      </w:r>
      <w:r w:rsidRPr="007D4733">
        <w:rPr>
          <w:rFonts w:ascii="Arial" w:eastAsia="Calibri" w:hAnsi="Arial" w:cs="Arial"/>
          <w:lang w:val="en-US"/>
        </w:rPr>
        <w:t xml:space="preserve"> </w:t>
      </w:r>
      <w:r w:rsidRPr="007D4733">
        <w:rPr>
          <w:rFonts w:ascii="Arial" w:hAnsi="Arial" w:cs="Arial"/>
          <w:lang w:val="en-US"/>
        </w:rPr>
        <w:t>(2) diet standard group (</w:t>
      </w:r>
      <w:proofErr w:type="spellStart"/>
      <w:r w:rsidRPr="007D4733">
        <w:rPr>
          <w:rFonts w:ascii="Arial" w:hAnsi="Arial" w:cs="Arial"/>
          <w:lang w:val="en-US"/>
        </w:rPr>
        <w:t>Std</w:t>
      </w:r>
      <w:proofErr w:type="spellEnd"/>
      <w:r w:rsidRPr="007D4733">
        <w:rPr>
          <w:rFonts w:ascii="Arial" w:hAnsi="Arial" w:cs="Arial"/>
          <w:lang w:val="en-US"/>
        </w:rPr>
        <w:t>); (3)</w:t>
      </w:r>
      <w:r w:rsidRPr="007D4733">
        <w:rPr>
          <w:rFonts w:ascii="Arial" w:eastAsia="Calibri" w:hAnsi="Arial" w:cs="Arial"/>
          <w:lang w:val="en-US"/>
        </w:rPr>
        <w:t xml:space="preserve"> diet high in saturated fat</w:t>
      </w:r>
      <w:r w:rsidRPr="007D4733">
        <w:rPr>
          <w:rFonts w:ascii="Arial" w:hAnsi="Arial" w:cs="Arial"/>
          <w:lang w:val="en-US"/>
        </w:rPr>
        <w:t xml:space="preserve"> group (Sat); (4) diet high in saturated/unsaturated fat group (Sat/</w:t>
      </w:r>
      <w:proofErr w:type="spellStart"/>
      <w:r w:rsidRPr="007D4733">
        <w:rPr>
          <w:rFonts w:ascii="Arial" w:hAnsi="Arial" w:cs="Arial"/>
          <w:lang w:val="en-US"/>
        </w:rPr>
        <w:t>Uns</w:t>
      </w:r>
      <w:proofErr w:type="spellEnd"/>
      <w:r w:rsidRPr="007D4733">
        <w:rPr>
          <w:rFonts w:ascii="Arial" w:hAnsi="Arial" w:cs="Arial"/>
          <w:lang w:val="en-US"/>
        </w:rPr>
        <w:t>); (5) diet high in unsaturated fat group</w:t>
      </w:r>
      <w:r w:rsidRPr="007D4733">
        <w:rPr>
          <w:rFonts w:ascii="Arial" w:eastAsia="Calibri" w:hAnsi="Arial" w:cs="Arial"/>
          <w:lang w:val="en-US"/>
        </w:rPr>
        <w:t xml:space="preserve"> (</w:t>
      </w:r>
      <w:proofErr w:type="spellStart"/>
      <w:r w:rsidRPr="007D4733">
        <w:rPr>
          <w:rFonts w:ascii="Arial" w:eastAsia="Calibri" w:hAnsi="Arial" w:cs="Arial"/>
          <w:lang w:val="en-US"/>
        </w:rPr>
        <w:t>Uns</w:t>
      </w:r>
      <w:proofErr w:type="spellEnd"/>
      <w:r w:rsidRPr="007D4733">
        <w:rPr>
          <w:rFonts w:ascii="Arial" w:eastAsia="Calibri" w:hAnsi="Arial" w:cs="Arial"/>
          <w:lang w:val="en-US"/>
        </w:rPr>
        <w:t xml:space="preserve">) (Table 1). The animals were euthanized 24h after the last </w:t>
      </w:r>
      <w:r w:rsidRPr="007D4733">
        <w:rPr>
          <w:rFonts w:ascii="Arial" w:hAnsi="Arial" w:cs="Arial"/>
          <w:lang w:val="en-US"/>
        </w:rPr>
        <w:t>meal and the blood was collected.</w:t>
      </w:r>
      <w:r w:rsidRPr="007D4733">
        <w:rPr>
          <w:rFonts w:ascii="Arial" w:eastAsia="Calibri" w:hAnsi="Arial" w:cs="Arial"/>
          <w:lang w:val="en-US"/>
        </w:rPr>
        <w:t xml:space="preserve"> </w:t>
      </w:r>
    </w:p>
    <w:p w:rsidR="00BD583D" w:rsidRPr="007D4733" w:rsidRDefault="00BD583D">
      <w:pPr>
        <w:spacing w:line="480" w:lineRule="auto"/>
        <w:jc w:val="both"/>
        <w:rPr>
          <w:rFonts w:ascii="Arial" w:hAnsi="Arial" w:cs="Arial"/>
          <w:lang w:val="en-US"/>
        </w:rPr>
      </w:pPr>
    </w:p>
    <w:p w:rsidR="00E106C0" w:rsidRPr="007D4733" w:rsidRDefault="00E106C0" w:rsidP="00E106C0">
      <w:pPr>
        <w:spacing w:line="360" w:lineRule="auto"/>
        <w:ind w:right="-333" w:firstLine="720"/>
        <w:jc w:val="both"/>
        <w:rPr>
          <w:rFonts w:ascii="Arial" w:hAnsi="Arial" w:cs="Arial"/>
        </w:rPr>
      </w:pPr>
      <w:r w:rsidRPr="007D4733">
        <w:rPr>
          <w:rFonts w:ascii="Arial" w:hAnsi="Arial" w:cs="Arial"/>
        </w:rPr>
        <w:t xml:space="preserve">Protein content varied </w:t>
      </w:r>
      <w:r w:rsidR="00EB176B" w:rsidRPr="007D4733">
        <w:rPr>
          <w:rFonts w:ascii="Arial" w:hAnsi="Arial" w:cs="Arial"/>
        </w:rPr>
        <w:t>STRUCT</w:t>
      </w:r>
      <w:r w:rsidRPr="007D4733">
        <w:rPr>
          <w:rFonts w:ascii="Arial" w:hAnsi="Arial" w:cs="Arial"/>
        </w:rPr>
        <w:t xml:space="preserve">-291 from 8.61 to 34.33 </w:t>
      </w:r>
      <w:r w:rsidRPr="007D4733">
        <w:rPr>
          <w:rFonts w:ascii="Arial" w:hAnsi="Arial" w:cs="Arial"/>
          <w:bCs/>
        </w:rPr>
        <w:t>mg</w:t>
      </w:r>
      <w:r w:rsidRPr="007D4733">
        <w:rPr>
          <w:rFonts w:ascii="Arial" w:hAnsi="Arial" w:cs="Arial"/>
          <w:bCs/>
        </w:rPr>
        <w:sym w:font="Symbol" w:char="F0D7"/>
      </w:r>
      <w:r w:rsidRPr="007D4733">
        <w:rPr>
          <w:rFonts w:ascii="Arial" w:hAnsi="Arial" w:cs="Arial"/>
          <w:bCs/>
        </w:rPr>
        <w:t>g</w:t>
      </w:r>
      <w:r w:rsidRPr="007D4733">
        <w:rPr>
          <w:rFonts w:ascii="Arial" w:hAnsi="Arial" w:cs="Arial"/>
          <w:bCs/>
          <w:vertAlign w:val="superscript"/>
        </w:rPr>
        <w:t>-1</w:t>
      </w:r>
      <w:r w:rsidRPr="007D4733">
        <w:rPr>
          <w:rFonts w:ascii="Arial" w:hAnsi="Arial" w:cs="Arial"/>
          <w:bCs/>
        </w:rPr>
        <w:t xml:space="preserve"> dry wt</w:t>
      </w:r>
      <w:r w:rsidRPr="007D4733">
        <w:rPr>
          <w:rFonts w:ascii="Arial" w:hAnsi="Arial" w:cs="Arial"/>
        </w:rPr>
        <w:t xml:space="preserve">. Among the genotypes, highly drought tolerant JDRL-4 elevated the soluble protein (34.33 </w:t>
      </w:r>
      <w:r w:rsidRPr="007D4733">
        <w:rPr>
          <w:rFonts w:ascii="Arial" w:hAnsi="Arial" w:cs="Arial"/>
          <w:bCs/>
        </w:rPr>
        <w:t>mg</w:t>
      </w:r>
      <w:r w:rsidRPr="007D4733">
        <w:rPr>
          <w:rFonts w:ascii="Arial" w:hAnsi="Arial" w:cs="Arial"/>
          <w:bCs/>
        </w:rPr>
        <w:sym w:font="Symbol" w:char="F0D7"/>
      </w:r>
      <w:r w:rsidRPr="007D4733">
        <w:rPr>
          <w:rFonts w:ascii="Arial" w:hAnsi="Arial" w:cs="Arial"/>
          <w:bCs/>
        </w:rPr>
        <w:t>g</w:t>
      </w:r>
      <w:r w:rsidRPr="007D4733">
        <w:rPr>
          <w:rFonts w:ascii="Arial" w:hAnsi="Arial" w:cs="Arial"/>
          <w:bCs/>
          <w:vertAlign w:val="superscript"/>
        </w:rPr>
        <w:t>-1</w:t>
      </w:r>
      <w:r w:rsidRPr="007D4733">
        <w:rPr>
          <w:rFonts w:ascii="Arial" w:hAnsi="Arial" w:cs="Arial"/>
          <w:bCs/>
        </w:rPr>
        <w:t xml:space="preserve"> dry wt.</w:t>
      </w:r>
      <w:r w:rsidRPr="007D4733">
        <w:rPr>
          <w:rFonts w:ascii="Arial" w:hAnsi="Arial" w:cs="Arial"/>
        </w:rPr>
        <w:t xml:space="preserve">) under drought, whereas JDSL-13 susceptible (8.61 </w:t>
      </w:r>
      <w:r w:rsidRPr="007D4733">
        <w:rPr>
          <w:rFonts w:ascii="Arial" w:hAnsi="Arial" w:cs="Arial"/>
          <w:bCs/>
        </w:rPr>
        <w:t>mg</w:t>
      </w:r>
      <w:r w:rsidRPr="007D4733">
        <w:rPr>
          <w:rFonts w:ascii="Arial" w:hAnsi="Arial" w:cs="Arial"/>
          <w:bCs/>
        </w:rPr>
        <w:sym w:font="Symbol" w:char="F0D7"/>
      </w:r>
      <w:r w:rsidRPr="007D4733">
        <w:rPr>
          <w:rFonts w:ascii="Arial" w:hAnsi="Arial" w:cs="Arial"/>
          <w:bCs/>
        </w:rPr>
        <w:t>g</w:t>
      </w:r>
      <w:r w:rsidRPr="007D4733">
        <w:rPr>
          <w:rFonts w:ascii="Arial" w:hAnsi="Arial" w:cs="Arial"/>
          <w:bCs/>
          <w:vertAlign w:val="superscript"/>
        </w:rPr>
        <w:t>-1</w:t>
      </w:r>
      <w:r w:rsidRPr="007D4733">
        <w:rPr>
          <w:rFonts w:ascii="Arial" w:hAnsi="Arial" w:cs="Arial"/>
          <w:bCs/>
        </w:rPr>
        <w:t xml:space="preserve"> dry wt.</w:t>
      </w:r>
      <w:r w:rsidRPr="007D4733">
        <w:rPr>
          <w:rFonts w:ascii="Arial" w:hAnsi="Arial" w:cs="Arial"/>
        </w:rPr>
        <w:t xml:space="preserve">) showed minimum protein content. Carried out significantly reduced protein content in drought </w:t>
      </w:r>
      <w:r w:rsidRPr="007D4733">
        <w:rPr>
          <w:rFonts w:ascii="Arial" w:hAnsi="Arial" w:cs="Arial"/>
          <w:lang w:bidi="gu-IN"/>
        </w:rPr>
        <w:t>susceptible</w:t>
      </w:r>
      <w:r w:rsidRPr="007D4733">
        <w:rPr>
          <w:rFonts w:ascii="Arial" w:hAnsi="Arial" w:cs="Arial"/>
        </w:rPr>
        <w:t xml:space="preserve"> genotypes as compared to drought </w:t>
      </w:r>
      <w:r w:rsidRPr="007D4733">
        <w:rPr>
          <w:rFonts w:ascii="Arial" w:hAnsi="Arial" w:cs="Arial"/>
          <w:lang w:bidi="gu-IN"/>
        </w:rPr>
        <w:t>tolerant</w:t>
      </w:r>
      <w:r w:rsidRPr="007D4733">
        <w:rPr>
          <w:rFonts w:ascii="Arial" w:hAnsi="Arial" w:cs="Arial"/>
        </w:rPr>
        <w:t xml:space="preserve"> genotypes in cotton subjected to drought stress and  studied comparatively increase protein concentration in peanut genotypes under drought stress.</w:t>
      </w:r>
    </w:p>
    <w:p w:rsidR="00E106C0" w:rsidRPr="007D4733" w:rsidRDefault="00E106C0">
      <w:pPr>
        <w:spacing w:line="480" w:lineRule="auto"/>
        <w:jc w:val="both"/>
        <w:rPr>
          <w:rFonts w:ascii="Arial" w:hAnsi="Arial" w:cs="Arial"/>
          <w:lang w:val="en-US"/>
        </w:rPr>
      </w:pPr>
    </w:p>
    <w:p w:rsidR="00BD583D" w:rsidRPr="007D4733" w:rsidRDefault="00867955">
      <w:pPr>
        <w:spacing w:line="480" w:lineRule="auto"/>
        <w:jc w:val="both"/>
        <w:rPr>
          <w:rFonts w:ascii="Arial" w:hAnsi="Arial" w:cs="Arial"/>
          <w:b/>
          <w:lang w:val="en-US"/>
        </w:rPr>
      </w:pPr>
      <w:r w:rsidRPr="007D4733">
        <w:rPr>
          <w:rFonts w:ascii="Arial" w:hAnsi="Arial" w:cs="Arial"/>
          <w:b/>
          <w:lang w:val="en-US"/>
        </w:rPr>
        <w:t>2.4 Platelet-rich Plasma Preparation</w:t>
      </w:r>
    </w:p>
    <w:p w:rsidR="00BD583D" w:rsidRPr="007D4733" w:rsidRDefault="00867955">
      <w:pPr>
        <w:spacing w:line="480" w:lineRule="auto"/>
        <w:jc w:val="both"/>
        <w:rPr>
          <w:rFonts w:ascii="Arial" w:hAnsi="Arial" w:cs="Arial"/>
          <w:lang w:val="en-US"/>
        </w:rPr>
      </w:pPr>
      <w:r w:rsidRPr="007D4733">
        <w:rPr>
          <w:rFonts w:ascii="Arial" w:hAnsi="Arial" w:cs="Arial"/>
          <w:lang w:val="en-US"/>
        </w:rPr>
        <w:t xml:space="preserve">The platelets were prepared by the method of </w:t>
      </w:r>
      <w:proofErr w:type="spellStart"/>
      <w:r w:rsidRPr="007D4733">
        <w:rPr>
          <w:rFonts w:ascii="Arial" w:hAnsi="Arial" w:cs="Arial"/>
          <w:lang w:val="en-US"/>
        </w:rPr>
        <w:t>Pilla</w:t>
      </w:r>
      <w:proofErr w:type="spellEnd"/>
      <w:r w:rsidRPr="007D4733">
        <w:rPr>
          <w:rFonts w:ascii="Arial" w:hAnsi="Arial" w:cs="Arial"/>
          <w:lang w:val="en-US"/>
        </w:rPr>
        <w:t xml:space="preserve"> et al. (1996</w:t>
      </w:r>
      <w:proofErr w:type="gramStart"/>
      <w:r w:rsidRPr="007D4733">
        <w:rPr>
          <w:rFonts w:ascii="Arial" w:hAnsi="Arial" w:cs="Arial"/>
          <w:lang w:val="en-US"/>
        </w:rPr>
        <w:t>)[</w:t>
      </w:r>
      <w:proofErr w:type="gramEnd"/>
      <w:r w:rsidRPr="007D4733">
        <w:rPr>
          <w:rFonts w:ascii="Arial" w:hAnsi="Arial" w:cs="Arial"/>
          <w:lang w:val="en-US"/>
        </w:rPr>
        <w:t xml:space="preserve">18], modified by </w:t>
      </w:r>
      <w:proofErr w:type="spellStart"/>
      <w:r w:rsidRPr="007D4733">
        <w:rPr>
          <w:rFonts w:ascii="Arial" w:hAnsi="Arial" w:cs="Arial"/>
          <w:lang w:val="en-US"/>
        </w:rPr>
        <w:t>Lunkes</w:t>
      </w:r>
      <w:proofErr w:type="spellEnd"/>
      <w:r w:rsidRPr="007D4733">
        <w:rPr>
          <w:rFonts w:ascii="Arial" w:hAnsi="Arial" w:cs="Arial"/>
          <w:lang w:val="en-US"/>
        </w:rPr>
        <w:t xml:space="preserve"> et al. (2004)[19]. Total blood was collected by cardiac </w:t>
      </w:r>
      <w:proofErr w:type="spellStart"/>
      <w:r w:rsidRPr="007D4733">
        <w:rPr>
          <w:rFonts w:ascii="Arial" w:hAnsi="Arial" w:cs="Arial"/>
          <w:lang w:val="en-US"/>
        </w:rPr>
        <w:t>punction</w:t>
      </w:r>
      <w:proofErr w:type="spellEnd"/>
      <w:r w:rsidRPr="007D4733">
        <w:rPr>
          <w:rFonts w:ascii="Arial" w:hAnsi="Arial" w:cs="Arial"/>
          <w:lang w:val="en-US"/>
        </w:rPr>
        <w:t xml:space="preserve"> and placed into a flask with 0.129 M sodium citrate as anticoagulant. The total blood-citrate system was centrifuged at 160 x g for 40 min to remove residual blood cells. The platelet-rich plasma (PRP) was centrifuged at 1400 x g for 20 min and washed twice by centrifugation at 1400 x g with 3.5 </w:t>
      </w:r>
      <w:proofErr w:type="spellStart"/>
      <w:r w:rsidRPr="007D4733">
        <w:rPr>
          <w:rFonts w:ascii="Arial" w:hAnsi="Arial" w:cs="Arial"/>
          <w:lang w:val="en-US"/>
        </w:rPr>
        <w:t>mmol</w:t>
      </w:r>
      <w:proofErr w:type="spellEnd"/>
      <w:r w:rsidRPr="007D4733">
        <w:rPr>
          <w:rFonts w:ascii="Arial" w:hAnsi="Arial" w:cs="Arial"/>
          <w:lang w:val="en-US"/>
        </w:rPr>
        <w:t xml:space="preserve">/L HEPES </w:t>
      </w:r>
      <w:proofErr w:type="spellStart"/>
      <w:r w:rsidRPr="007D4733">
        <w:rPr>
          <w:rFonts w:ascii="Arial" w:hAnsi="Arial" w:cs="Arial"/>
          <w:lang w:val="en-US"/>
        </w:rPr>
        <w:t>isosmolar</w:t>
      </w:r>
      <w:proofErr w:type="spellEnd"/>
      <w:r w:rsidRPr="007D4733">
        <w:rPr>
          <w:rFonts w:ascii="Arial" w:hAnsi="Arial" w:cs="Arial"/>
          <w:lang w:val="en-US"/>
        </w:rPr>
        <w:t xml:space="preserve"> buffer containing </w:t>
      </w:r>
      <w:proofErr w:type="gramStart"/>
      <w:r w:rsidRPr="007D4733">
        <w:rPr>
          <w:rFonts w:ascii="Arial" w:hAnsi="Arial" w:cs="Arial"/>
          <w:lang w:val="en-US"/>
        </w:rPr>
        <w:t xml:space="preserve">142 </w:t>
      </w:r>
      <w:proofErr w:type="spellStart"/>
      <w:r w:rsidRPr="007D4733">
        <w:rPr>
          <w:rFonts w:ascii="Arial" w:hAnsi="Arial" w:cs="Arial"/>
          <w:lang w:val="en-US"/>
        </w:rPr>
        <w:lastRenderedPageBreak/>
        <w:t>mmol</w:t>
      </w:r>
      <w:proofErr w:type="spellEnd"/>
      <w:r w:rsidRPr="007D4733">
        <w:rPr>
          <w:rFonts w:ascii="Arial" w:hAnsi="Arial" w:cs="Arial"/>
          <w:lang w:val="en-US"/>
        </w:rPr>
        <w:t xml:space="preserve">/L </w:t>
      </w:r>
      <w:proofErr w:type="spellStart"/>
      <w:r w:rsidRPr="007D4733">
        <w:rPr>
          <w:rFonts w:ascii="Arial" w:hAnsi="Arial" w:cs="Arial"/>
          <w:lang w:val="en-US"/>
        </w:rPr>
        <w:t>NaCl</w:t>
      </w:r>
      <w:proofErr w:type="spellEnd"/>
      <w:proofErr w:type="gramEnd"/>
      <w:r w:rsidRPr="007D4733">
        <w:rPr>
          <w:rFonts w:ascii="Arial" w:hAnsi="Arial" w:cs="Arial"/>
          <w:lang w:val="en-US"/>
        </w:rPr>
        <w:t xml:space="preserve">, 2.5 </w:t>
      </w:r>
      <w:proofErr w:type="spellStart"/>
      <w:r w:rsidRPr="007D4733">
        <w:rPr>
          <w:rFonts w:ascii="Arial" w:hAnsi="Arial" w:cs="Arial"/>
          <w:lang w:val="en-US"/>
        </w:rPr>
        <w:t>mmol</w:t>
      </w:r>
      <w:proofErr w:type="spellEnd"/>
      <w:r w:rsidRPr="007D4733">
        <w:rPr>
          <w:rFonts w:ascii="Arial" w:hAnsi="Arial" w:cs="Arial"/>
          <w:lang w:val="en-US"/>
        </w:rPr>
        <w:t xml:space="preserve">/L </w:t>
      </w:r>
      <w:proofErr w:type="spellStart"/>
      <w:r w:rsidRPr="007D4733">
        <w:rPr>
          <w:rFonts w:ascii="Arial" w:hAnsi="Arial" w:cs="Arial"/>
          <w:lang w:val="en-US"/>
        </w:rPr>
        <w:t>KCl</w:t>
      </w:r>
      <w:proofErr w:type="spellEnd"/>
      <w:r w:rsidRPr="007D4733">
        <w:rPr>
          <w:rFonts w:ascii="Arial" w:hAnsi="Arial" w:cs="Arial"/>
          <w:lang w:val="en-US"/>
        </w:rPr>
        <w:t xml:space="preserve">, and 5.5 </w:t>
      </w:r>
      <w:proofErr w:type="spellStart"/>
      <w:r w:rsidRPr="007D4733">
        <w:rPr>
          <w:rFonts w:ascii="Arial" w:hAnsi="Arial" w:cs="Arial"/>
          <w:lang w:val="en-US"/>
        </w:rPr>
        <w:t>mmol</w:t>
      </w:r>
      <w:proofErr w:type="spellEnd"/>
      <w:r w:rsidRPr="007D4733">
        <w:rPr>
          <w:rFonts w:ascii="Arial" w:hAnsi="Arial" w:cs="Arial"/>
          <w:lang w:val="en-US"/>
        </w:rPr>
        <w:t xml:space="preserve">/L glucose. The washed platelets were </w:t>
      </w:r>
      <w:proofErr w:type="spellStart"/>
      <w:r w:rsidRPr="007D4733">
        <w:rPr>
          <w:rFonts w:ascii="Arial" w:hAnsi="Arial" w:cs="Arial"/>
          <w:lang w:val="en-US"/>
        </w:rPr>
        <w:t>resuspended</w:t>
      </w:r>
      <w:proofErr w:type="spellEnd"/>
      <w:r w:rsidRPr="007D4733">
        <w:rPr>
          <w:rFonts w:ascii="Arial" w:hAnsi="Arial" w:cs="Arial"/>
          <w:lang w:val="en-US"/>
        </w:rPr>
        <w:t xml:space="preserve"> in HEPES </w:t>
      </w:r>
      <w:proofErr w:type="spellStart"/>
      <w:r w:rsidRPr="007D4733">
        <w:rPr>
          <w:rFonts w:ascii="Arial" w:hAnsi="Arial" w:cs="Arial"/>
          <w:lang w:val="en-US"/>
        </w:rPr>
        <w:t>isosmolar</w:t>
      </w:r>
      <w:proofErr w:type="spellEnd"/>
      <w:r w:rsidRPr="007D4733">
        <w:rPr>
          <w:rFonts w:ascii="Arial" w:hAnsi="Arial" w:cs="Arial"/>
          <w:lang w:val="en-US"/>
        </w:rPr>
        <w:t xml:space="preserve"> buffer and adjusted to 0.4 – 0.45 mg of protein per milliliter.</w:t>
      </w:r>
    </w:p>
    <w:p w:rsidR="00BD583D" w:rsidRPr="007D4733" w:rsidRDefault="00867955">
      <w:pPr>
        <w:spacing w:line="480" w:lineRule="auto"/>
        <w:ind w:firstLine="181"/>
        <w:rPr>
          <w:rFonts w:ascii="Arial" w:hAnsi="Arial" w:cs="Arial"/>
          <w:b/>
          <w:lang w:val="en-US"/>
        </w:rPr>
      </w:pPr>
      <w:r w:rsidRPr="007D4733">
        <w:rPr>
          <w:rFonts w:ascii="Arial" w:hAnsi="Arial" w:cs="Arial"/>
          <w:b/>
          <w:lang w:val="en-US"/>
        </w:rPr>
        <w:t>2.5 LDH</w:t>
      </w:r>
    </w:p>
    <w:p w:rsidR="00BD583D" w:rsidRPr="007D4733" w:rsidRDefault="00867955">
      <w:pPr>
        <w:spacing w:line="480" w:lineRule="auto"/>
        <w:ind w:firstLine="181"/>
        <w:jc w:val="both"/>
        <w:rPr>
          <w:rFonts w:ascii="Arial" w:hAnsi="Arial" w:cs="Arial"/>
          <w:lang w:val="en-US"/>
        </w:rPr>
      </w:pPr>
      <w:r w:rsidRPr="007D4733">
        <w:rPr>
          <w:rFonts w:ascii="Arial" w:hAnsi="Arial" w:cs="Arial"/>
          <w:lang w:val="en-US"/>
        </w:rPr>
        <w:t xml:space="preserve">The integrity of the platelet preparations was confirmed by determining the lactate dehydrogenase (LDH) activity which was obtained platelet </w:t>
      </w:r>
      <w:proofErr w:type="spellStart"/>
      <w:r w:rsidRPr="007D4733">
        <w:rPr>
          <w:rFonts w:ascii="Arial" w:hAnsi="Arial" w:cs="Arial"/>
          <w:lang w:val="en-US"/>
        </w:rPr>
        <w:t>lysis</w:t>
      </w:r>
      <w:proofErr w:type="spellEnd"/>
      <w:r w:rsidRPr="007D4733">
        <w:rPr>
          <w:rFonts w:ascii="Arial" w:hAnsi="Arial" w:cs="Arial"/>
          <w:lang w:val="en-US"/>
        </w:rPr>
        <w:t xml:space="preserve"> with 0.1 % Triton X-100 and comparing it with that of an intact preparation, using the </w:t>
      </w:r>
      <w:proofErr w:type="spellStart"/>
      <w:r w:rsidRPr="007D4733">
        <w:rPr>
          <w:rFonts w:ascii="Arial" w:hAnsi="Arial" w:cs="Arial"/>
          <w:lang w:val="en-US"/>
        </w:rPr>
        <w:t>Labtest</w:t>
      </w:r>
      <w:proofErr w:type="spellEnd"/>
      <w:r w:rsidRPr="007D4733">
        <w:rPr>
          <w:rFonts w:ascii="Arial" w:hAnsi="Arial" w:cs="Arial"/>
          <w:lang w:val="en-US"/>
        </w:rPr>
        <w:t xml:space="preserve"> kit.</w:t>
      </w:r>
    </w:p>
    <w:p w:rsidR="00BD583D" w:rsidRPr="007D4733" w:rsidRDefault="00867955">
      <w:pPr>
        <w:spacing w:line="480" w:lineRule="auto"/>
        <w:jc w:val="both"/>
        <w:rPr>
          <w:rFonts w:ascii="Arial" w:hAnsi="Arial" w:cs="Arial"/>
          <w:b/>
          <w:color w:val="FF0000"/>
          <w:lang w:val="en-US"/>
        </w:rPr>
      </w:pPr>
      <w:r w:rsidRPr="007D4733">
        <w:rPr>
          <w:rFonts w:ascii="Arial" w:hAnsi="Arial" w:cs="Arial"/>
          <w:b/>
          <w:lang w:val="en-US"/>
        </w:rPr>
        <w:t xml:space="preserve">2.6 Assay of </w:t>
      </w:r>
      <w:proofErr w:type="spellStart"/>
      <w:r w:rsidRPr="007D4733">
        <w:rPr>
          <w:rFonts w:ascii="Arial" w:hAnsi="Arial" w:cs="Arial"/>
          <w:b/>
          <w:lang w:val="en-US"/>
        </w:rPr>
        <w:t>NTPDase</w:t>
      </w:r>
      <w:proofErr w:type="spellEnd"/>
      <w:r w:rsidRPr="007D4733">
        <w:rPr>
          <w:rFonts w:ascii="Arial" w:hAnsi="Arial" w:cs="Arial"/>
          <w:b/>
          <w:lang w:val="en-US"/>
        </w:rPr>
        <w:t xml:space="preserve"> and 5’-nucleotidase activities </w:t>
      </w:r>
    </w:p>
    <w:p w:rsidR="00BD583D" w:rsidRPr="007D4733" w:rsidRDefault="00BB7322">
      <w:pPr>
        <w:spacing w:after="0" w:line="480" w:lineRule="auto"/>
        <w:ind w:firstLine="708"/>
        <w:jc w:val="both"/>
        <w:rPr>
          <w:rFonts w:ascii="Arial" w:hAnsi="Arial" w:cs="Arial"/>
          <w:lang w:val="en-US"/>
        </w:rPr>
      </w:pPr>
      <w:r w:rsidRPr="007D4733">
        <w:rPr>
          <w:rFonts w:ascii="Arial" w:hAnsi="Arial" w:cs="Arial"/>
          <w:lang w:val="en-US"/>
        </w:rPr>
        <w:t xml:space="preserve">Struct-255 </w:t>
      </w:r>
      <w:r w:rsidR="00867955" w:rsidRPr="007D4733">
        <w:rPr>
          <w:rFonts w:ascii="Arial" w:hAnsi="Arial" w:cs="Arial"/>
          <w:lang w:val="en-US"/>
        </w:rPr>
        <w:t xml:space="preserve">In platelets, the determination of </w:t>
      </w:r>
      <w:proofErr w:type="spellStart"/>
      <w:r w:rsidR="00867955" w:rsidRPr="007D4733">
        <w:rPr>
          <w:rFonts w:ascii="Arial" w:hAnsi="Arial" w:cs="Arial"/>
          <w:lang w:val="en-US"/>
        </w:rPr>
        <w:t>ectonucleotidase</w:t>
      </w:r>
      <w:proofErr w:type="spellEnd"/>
      <w:r w:rsidR="00867955" w:rsidRPr="007D4733">
        <w:rPr>
          <w:rFonts w:ascii="Arial" w:hAnsi="Arial" w:cs="Arial"/>
          <w:lang w:val="en-US"/>
        </w:rPr>
        <w:t xml:space="preserve"> activities was carried out using the PRP preparation according to </w:t>
      </w:r>
      <w:proofErr w:type="spellStart"/>
      <w:r w:rsidR="00867955" w:rsidRPr="007D4733">
        <w:rPr>
          <w:rFonts w:ascii="Arial" w:hAnsi="Arial" w:cs="Arial"/>
          <w:lang w:val="en-US"/>
        </w:rPr>
        <w:t>Pilla</w:t>
      </w:r>
      <w:proofErr w:type="spellEnd"/>
      <w:r w:rsidR="00867955" w:rsidRPr="007D4733">
        <w:rPr>
          <w:rFonts w:ascii="Arial" w:hAnsi="Arial" w:cs="Arial"/>
          <w:lang w:val="en-US"/>
        </w:rPr>
        <w:t xml:space="preserve"> et al., (1996)[18]. Briefly, to determine the </w:t>
      </w:r>
      <w:proofErr w:type="spellStart"/>
      <w:r w:rsidR="00867955" w:rsidRPr="007D4733">
        <w:rPr>
          <w:rFonts w:ascii="Arial" w:hAnsi="Arial" w:cs="Arial"/>
          <w:lang w:val="en-US"/>
        </w:rPr>
        <w:t>NTPDase</w:t>
      </w:r>
      <w:proofErr w:type="spellEnd"/>
      <w:r w:rsidR="00867955" w:rsidRPr="007D4733">
        <w:rPr>
          <w:rFonts w:ascii="Arial" w:hAnsi="Arial" w:cs="Arial"/>
          <w:lang w:val="en-US"/>
        </w:rPr>
        <w:t xml:space="preserve"> activity, 20 µL of the PRP preparation (8-10 µg of protein) was added to the system mixture, which contained 5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CaCl</w:t>
      </w:r>
      <w:r w:rsidR="00867955" w:rsidRPr="007D4733">
        <w:rPr>
          <w:rFonts w:ascii="Arial" w:hAnsi="Arial" w:cs="Arial"/>
          <w:vertAlign w:val="subscript"/>
          <w:lang w:val="en-US"/>
        </w:rPr>
        <w:t xml:space="preserve">2, </w:t>
      </w:r>
      <w:r w:rsidR="00867955" w:rsidRPr="007D4733">
        <w:rPr>
          <w:rFonts w:ascii="Arial" w:hAnsi="Arial" w:cs="Arial"/>
          <w:lang w:val="en-US"/>
        </w:rPr>
        <w:t xml:space="preserve">100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w:t>
      </w:r>
      <w:proofErr w:type="spellStart"/>
      <w:r w:rsidR="00867955" w:rsidRPr="007D4733">
        <w:rPr>
          <w:rFonts w:ascii="Arial" w:hAnsi="Arial" w:cs="Arial"/>
          <w:lang w:val="en-US"/>
        </w:rPr>
        <w:t>NaCl</w:t>
      </w:r>
      <w:proofErr w:type="spellEnd"/>
      <w:r w:rsidR="00867955" w:rsidRPr="007D4733">
        <w:rPr>
          <w:rFonts w:ascii="Arial" w:hAnsi="Arial" w:cs="Arial"/>
          <w:lang w:val="en-US"/>
        </w:rPr>
        <w:t xml:space="preserve">, 5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w:t>
      </w:r>
      <w:proofErr w:type="spellStart"/>
      <w:r w:rsidR="00867955" w:rsidRPr="007D4733">
        <w:rPr>
          <w:rFonts w:ascii="Arial" w:hAnsi="Arial" w:cs="Arial"/>
          <w:lang w:val="en-US"/>
        </w:rPr>
        <w:t>KCl</w:t>
      </w:r>
      <w:proofErr w:type="spellEnd"/>
      <w:r w:rsidR="00867955" w:rsidRPr="007D4733">
        <w:rPr>
          <w:rFonts w:ascii="Arial" w:hAnsi="Arial" w:cs="Arial"/>
          <w:lang w:val="en-US"/>
        </w:rPr>
        <w:t xml:space="preserve">, 6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glucose and 50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w:t>
      </w:r>
      <w:proofErr w:type="spellStart"/>
      <w:r w:rsidR="00867955" w:rsidRPr="007D4733">
        <w:rPr>
          <w:rFonts w:ascii="Arial" w:hAnsi="Arial" w:cs="Arial"/>
          <w:lang w:val="en-US"/>
        </w:rPr>
        <w:t>tris-HCl</w:t>
      </w:r>
      <w:proofErr w:type="spellEnd"/>
      <w:r w:rsidR="00867955" w:rsidRPr="007D4733">
        <w:rPr>
          <w:rFonts w:ascii="Arial" w:hAnsi="Arial" w:cs="Arial"/>
          <w:lang w:val="en-US"/>
        </w:rPr>
        <w:t xml:space="preserve"> buffer, pH 7.4. The reaction was started by the addition of 20 µL of ATP or ADP (1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final concentration) as substrates. For AMP hydrolysis, the 5’-nucleotidase activity was determined as described above, except that 5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CaCl</w:t>
      </w:r>
      <w:r w:rsidR="00867955" w:rsidRPr="007D4733">
        <w:rPr>
          <w:rFonts w:ascii="Arial" w:hAnsi="Arial" w:cs="Arial"/>
          <w:vertAlign w:val="subscript"/>
          <w:lang w:val="en-US"/>
        </w:rPr>
        <w:t>2</w:t>
      </w:r>
      <w:r w:rsidR="00867955" w:rsidRPr="007D4733">
        <w:rPr>
          <w:rFonts w:ascii="Arial" w:hAnsi="Arial" w:cs="Arial"/>
          <w:lang w:val="en-US"/>
        </w:rPr>
        <w:t xml:space="preserve"> was replaced by 10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MgCl</w:t>
      </w:r>
      <w:r w:rsidR="00867955" w:rsidRPr="007D4733">
        <w:rPr>
          <w:rFonts w:ascii="Arial" w:hAnsi="Arial" w:cs="Arial"/>
          <w:vertAlign w:val="subscript"/>
          <w:lang w:val="en-US"/>
        </w:rPr>
        <w:t>2</w:t>
      </w:r>
      <w:r w:rsidR="00867955" w:rsidRPr="007D4733">
        <w:rPr>
          <w:rFonts w:ascii="Arial" w:hAnsi="Arial" w:cs="Arial"/>
          <w:lang w:val="en-US"/>
        </w:rPr>
        <w:t xml:space="preserve"> and the nucleotide final concentration added was 2 </w:t>
      </w:r>
      <w:proofErr w:type="spellStart"/>
      <w:r w:rsidR="00867955" w:rsidRPr="007D4733">
        <w:rPr>
          <w:rFonts w:ascii="Arial" w:hAnsi="Arial" w:cs="Arial"/>
          <w:lang w:val="en-US"/>
        </w:rPr>
        <w:t>mM</w:t>
      </w:r>
      <w:proofErr w:type="spellEnd"/>
      <w:r w:rsidR="00867955" w:rsidRPr="007D4733">
        <w:rPr>
          <w:rFonts w:ascii="Arial" w:hAnsi="Arial" w:cs="Arial"/>
          <w:lang w:val="en-US"/>
        </w:rPr>
        <w:t xml:space="preserve"> AMP</w:t>
      </w:r>
      <w:r w:rsidR="00867955" w:rsidRPr="007D4733">
        <w:rPr>
          <w:rFonts w:ascii="Arial" w:hAnsi="Arial" w:cs="Arial"/>
          <w:vertAlign w:val="superscript"/>
          <w:lang w:val="en-US"/>
        </w:rPr>
        <w:t>18</w:t>
      </w:r>
      <w:r w:rsidR="00867955" w:rsidRPr="007D4733">
        <w:rPr>
          <w:rFonts w:ascii="Arial" w:hAnsi="Arial" w:cs="Arial"/>
          <w:lang w:val="en-US"/>
        </w:rPr>
        <w:t>. For platelets, 20 µL of the enzyme preparation (8-10 µg of protein) was added to the reaction mixture and pre-incubated for 10 min at 37ºC</w:t>
      </w:r>
      <w:r w:rsidR="00F61FCB" w:rsidRPr="007D4733">
        <w:rPr>
          <w:rFonts w:ascii="Arial" w:hAnsi="Arial" w:cs="Arial"/>
          <w:lang w:val="en-US"/>
        </w:rPr>
        <w:t xml:space="preserve"> STRUCT-276</w:t>
      </w:r>
      <w:r w:rsidR="00867955" w:rsidRPr="007D4733">
        <w:rPr>
          <w:rFonts w:ascii="Arial" w:hAnsi="Arial" w:cs="Arial"/>
          <w:lang w:val="en-US"/>
        </w:rPr>
        <w:t>.</w:t>
      </w:r>
    </w:p>
    <w:p w:rsidR="00F61FCB" w:rsidRPr="007D4733" w:rsidRDefault="00F61FCB" w:rsidP="00F61FCB">
      <w:pPr>
        <w:rPr>
          <w:rFonts w:ascii="Arial" w:eastAsia="SimSun" w:hAnsi="Arial" w:cs="Arial"/>
          <w:lang w:bidi="ar"/>
        </w:rPr>
      </w:pPr>
      <w:r w:rsidRPr="007D4733">
        <w:rPr>
          <w:rFonts w:ascii="Arial" w:eastAsia="SimSun" w:hAnsi="Arial" w:cs="Arial"/>
          <w:noProof/>
          <w:lang w:val="en-US" w:eastAsia="en-US"/>
        </w:rPr>
        <w:drawing>
          <wp:inline distT="0" distB="0" distL="0" distR="0" wp14:anchorId="55069B75" wp14:editId="7986AFC4">
            <wp:extent cx="4986655" cy="893445"/>
            <wp:effectExtent l="0" t="0" r="4445" b="190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893445"/>
                    </a:xfrm>
                    <a:prstGeom prst="rect">
                      <a:avLst/>
                    </a:prstGeom>
                    <a:noFill/>
                    <a:ln>
                      <a:noFill/>
                    </a:ln>
                  </pic:spPr>
                </pic:pic>
              </a:graphicData>
            </a:graphic>
          </wp:inline>
        </w:drawing>
      </w:r>
    </w:p>
    <w:p w:rsidR="00F61FCB" w:rsidRPr="007D4733" w:rsidRDefault="00F61FCB" w:rsidP="00F61FCB">
      <w:pPr>
        <w:spacing w:line="360" w:lineRule="auto"/>
        <w:ind w:firstLineChars="100" w:firstLine="220"/>
        <w:jc w:val="center"/>
        <w:rPr>
          <w:rFonts w:ascii="Arial" w:hAnsi="Arial" w:cs="Arial"/>
          <w:color w:val="000000"/>
          <w:szCs w:val="21"/>
        </w:rPr>
      </w:pPr>
      <w:r w:rsidRPr="007D4733">
        <w:rPr>
          <w:rFonts w:ascii="Arial" w:eastAsia="SimSun" w:hAnsi="Arial" w:cs="Arial"/>
          <w:szCs w:val="21"/>
        </w:rPr>
        <w:t>(a) Sectioning way 1 of bamboo rings.</w:t>
      </w:r>
    </w:p>
    <w:p w:rsidR="00F61FCB" w:rsidRPr="007D4733" w:rsidRDefault="00F61FCB" w:rsidP="00F61FCB">
      <w:pPr>
        <w:rPr>
          <w:rFonts w:ascii="Arial" w:hAnsi="Arial" w:cs="Arial"/>
        </w:rPr>
      </w:pPr>
      <w:r w:rsidRPr="007D4733">
        <w:rPr>
          <w:rFonts w:ascii="Arial" w:eastAsia="SimSun" w:hAnsi="Arial" w:cs="Arial"/>
          <w:noProof/>
          <w:lang w:val="en-US" w:eastAsia="en-US"/>
        </w:rPr>
        <w:lastRenderedPageBreak/>
        <w:drawing>
          <wp:inline distT="0" distB="0" distL="0" distR="0" wp14:anchorId="3F11F15B" wp14:editId="2E651357">
            <wp:extent cx="4890770" cy="935355"/>
            <wp:effectExtent l="0" t="0" r="5080" b="0"/>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770" cy="935355"/>
                    </a:xfrm>
                    <a:prstGeom prst="rect">
                      <a:avLst/>
                    </a:prstGeom>
                    <a:noFill/>
                    <a:ln>
                      <a:noFill/>
                    </a:ln>
                  </pic:spPr>
                </pic:pic>
              </a:graphicData>
            </a:graphic>
          </wp:inline>
        </w:drawing>
      </w:r>
    </w:p>
    <w:p w:rsidR="00F61FCB" w:rsidRPr="007D4733" w:rsidRDefault="00F61FCB" w:rsidP="00F61FCB">
      <w:pPr>
        <w:spacing w:line="360" w:lineRule="auto"/>
        <w:ind w:firstLineChars="100" w:firstLine="220"/>
        <w:jc w:val="center"/>
        <w:rPr>
          <w:rFonts w:ascii="Arial" w:eastAsia="SimSun" w:hAnsi="Arial" w:cs="Arial"/>
          <w:szCs w:val="21"/>
        </w:rPr>
      </w:pPr>
      <w:r w:rsidRPr="007D4733">
        <w:rPr>
          <w:rFonts w:ascii="Arial" w:eastAsia="SimSun" w:hAnsi="Arial" w:cs="Arial"/>
          <w:szCs w:val="21"/>
        </w:rPr>
        <w:t>(b) Sectioning way 2 of bamboo rings.</w:t>
      </w:r>
    </w:p>
    <w:p w:rsidR="00F61FCB" w:rsidRPr="007D4733" w:rsidRDefault="00F61FCB">
      <w:pPr>
        <w:spacing w:after="0" w:line="480" w:lineRule="auto"/>
        <w:ind w:firstLine="708"/>
        <w:jc w:val="both"/>
        <w:rPr>
          <w:rFonts w:ascii="Arial" w:hAnsi="Arial" w:cs="Arial"/>
          <w:lang w:val="en-US"/>
        </w:rPr>
      </w:pP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Both reactions were stopped by the addition of 200 µL of 10% </w:t>
      </w:r>
      <w:proofErr w:type="spellStart"/>
      <w:r w:rsidRPr="007D4733">
        <w:rPr>
          <w:rFonts w:ascii="Arial" w:hAnsi="Arial" w:cs="Arial"/>
          <w:lang w:val="en-US"/>
        </w:rPr>
        <w:t>trichloroacetic</w:t>
      </w:r>
      <w:proofErr w:type="spellEnd"/>
      <w:r w:rsidRPr="007D4733">
        <w:rPr>
          <w:rFonts w:ascii="Arial" w:hAnsi="Arial" w:cs="Arial"/>
          <w:lang w:val="en-US"/>
        </w:rPr>
        <w:t xml:space="preserve"> acid (TCA) to provide a final concentration of 5%. After chilling on ice for 10 min, 100 µL samples were taken for assay of released inorganic phosphate (Pi) by the method of Chan et al., (1986)[20], using malachite green as the colorimetric reagent and KH</w:t>
      </w:r>
      <w:r w:rsidRPr="007D4733">
        <w:rPr>
          <w:rFonts w:ascii="Arial" w:hAnsi="Arial" w:cs="Arial"/>
          <w:vertAlign w:val="subscript"/>
          <w:lang w:val="en-US"/>
        </w:rPr>
        <w:t>2</w:t>
      </w:r>
      <w:r w:rsidRPr="007D4733">
        <w:rPr>
          <w:rFonts w:ascii="Arial" w:hAnsi="Arial" w:cs="Arial"/>
          <w:lang w:val="en-US"/>
        </w:rPr>
        <w:t>PO</w:t>
      </w:r>
      <w:r w:rsidRPr="007D4733">
        <w:rPr>
          <w:rFonts w:ascii="Arial" w:hAnsi="Arial" w:cs="Arial"/>
          <w:vertAlign w:val="subscript"/>
          <w:lang w:val="en-US"/>
        </w:rPr>
        <w:t>4</w:t>
      </w:r>
      <w:r w:rsidRPr="007D4733">
        <w:rPr>
          <w:rFonts w:ascii="Arial" w:hAnsi="Arial" w:cs="Arial"/>
          <w:lang w:val="en-US"/>
        </w:rPr>
        <w:t xml:space="preserve"> as standard. Controls were carried out by adding the platelets preparation after TCA addition to correct for non-enzymatic nucleotide hydrolysis. All samples were run in triplicate. Enzyme activities are reported as </w:t>
      </w:r>
      <w:proofErr w:type="spellStart"/>
      <w:r w:rsidRPr="007D4733">
        <w:rPr>
          <w:rFonts w:ascii="Arial" w:hAnsi="Arial" w:cs="Arial"/>
          <w:lang w:val="en-US"/>
        </w:rPr>
        <w:t>nmol</w:t>
      </w:r>
      <w:proofErr w:type="spellEnd"/>
      <w:r w:rsidRPr="007D4733">
        <w:rPr>
          <w:rFonts w:ascii="Arial" w:hAnsi="Arial" w:cs="Arial"/>
          <w:lang w:val="en-US"/>
        </w:rPr>
        <w:t xml:space="preserve"> Pi released</w:t>
      </w:r>
      <w:proofErr w:type="gramStart"/>
      <w:r w:rsidRPr="007D4733">
        <w:rPr>
          <w:rFonts w:ascii="Arial" w:hAnsi="Arial" w:cs="Arial"/>
          <w:lang w:val="en-US"/>
        </w:rPr>
        <w:t>/(</w:t>
      </w:r>
      <w:proofErr w:type="gramEnd"/>
      <w:r w:rsidRPr="007D4733">
        <w:rPr>
          <w:rFonts w:ascii="Arial" w:hAnsi="Arial" w:cs="Arial"/>
          <w:lang w:val="en-US"/>
        </w:rPr>
        <w:t>min mg) of protein</w:t>
      </w:r>
      <w:r w:rsidR="00F61FCB" w:rsidRPr="007D4733">
        <w:rPr>
          <w:rFonts w:ascii="Arial" w:hAnsi="Arial" w:cs="Arial"/>
          <w:lang w:val="en-US"/>
        </w:rPr>
        <w:t xml:space="preserve"> STRUCT-276</w:t>
      </w:r>
      <w:r w:rsidRPr="007D4733">
        <w:rPr>
          <w:rFonts w:ascii="Arial" w:hAnsi="Arial" w:cs="Arial"/>
          <w:lang w:val="en-US"/>
        </w:rPr>
        <w:t>.</w:t>
      </w:r>
    </w:p>
    <w:p w:rsidR="00F61FCB" w:rsidRPr="007D4733" w:rsidRDefault="00F61FCB" w:rsidP="00F61FCB">
      <w:pPr>
        <w:ind w:firstLineChars="200" w:firstLine="440"/>
        <w:jc w:val="center"/>
        <w:rPr>
          <w:rFonts w:ascii="Arial" w:hAnsi="Arial" w:cs="Arial"/>
        </w:rPr>
      </w:pPr>
      <w:r w:rsidRPr="007D4733">
        <w:rPr>
          <w:rFonts w:ascii="Arial" w:hAnsi="Arial" w:cs="Arial"/>
          <w:noProof/>
          <w:lang w:val="en-US" w:eastAsia="en-US"/>
        </w:rPr>
        <w:drawing>
          <wp:inline distT="0" distB="0" distL="0" distR="0" wp14:anchorId="76A3BDEE" wp14:editId="02BA3EB0">
            <wp:extent cx="203835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8350" cy="885825"/>
                    </a:xfrm>
                    <a:prstGeom prst="rect">
                      <a:avLst/>
                    </a:prstGeom>
                    <a:noFill/>
                    <a:ln>
                      <a:noFill/>
                    </a:ln>
                  </pic:spPr>
                </pic:pic>
              </a:graphicData>
            </a:graphic>
          </wp:inline>
        </w:drawing>
      </w:r>
    </w:p>
    <w:p w:rsidR="00BD583D" w:rsidRPr="007D4733" w:rsidRDefault="00BD583D">
      <w:pPr>
        <w:spacing w:after="0" w:line="480" w:lineRule="auto"/>
        <w:ind w:firstLine="708"/>
        <w:jc w:val="both"/>
        <w:rPr>
          <w:rFonts w:ascii="Arial" w:hAnsi="Arial" w:cs="Arial"/>
          <w:lang w:val="en-US"/>
        </w:rPr>
      </w:pPr>
    </w:p>
    <w:p w:rsidR="00BD583D" w:rsidRPr="007D4733" w:rsidRDefault="00867955">
      <w:pPr>
        <w:spacing w:line="480" w:lineRule="auto"/>
        <w:ind w:right="17"/>
        <w:jc w:val="both"/>
        <w:rPr>
          <w:rFonts w:ascii="Arial" w:hAnsi="Arial" w:cs="Arial"/>
          <w:b/>
          <w:bCs/>
          <w:lang w:val="en-US"/>
        </w:rPr>
      </w:pPr>
      <w:r w:rsidRPr="007D4733">
        <w:rPr>
          <w:rFonts w:ascii="Arial" w:hAnsi="Arial" w:cs="Arial"/>
          <w:b/>
          <w:bCs/>
          <w:lang w:val="en-US"/>
        </w:rPr>
        <w:t>2.7 Sample of blood collection</w:t>
      </w:r>
    </w:p>
    <w:p w:rsidR="00BD583D" w:rsidRPr="007D4733" w:rsidRDefault="00867955">
      <w:pPr>
        <w:pStyle w:val="Corpodetextorecuado"/>
        <w:spacing w:line="480" w:lineRule="auto"/>
        <w:ind w:firstLine="708"/>
        <w:rPr>
          <w:rFonts w:cs="Arial"/>
          <w:sz w:val="22"/>
          <w:szCs w:val="22"/>
        </w:rPr>
      </w:pPr>
      <w:r w:rsidRPr="007D4733">
        <w:rPr>
          <w:rFonts w:cs="Arial"/>
          <w:sz w:val="22"/>
          <w:szCs w:val="22"/>
        </w:rPr>
        <w:t xml:space="preserve">The blood was collected in </w:t>
      </w:r>
      <w:proofErr w:type="spellStart"/>
      <w:r w:rsidRPr="007D4733">
        <w:rPr>
          <w:rFonts w:cs="Arial"/>
          <w:sz w:val="22"/>
          <w:szCs w:val="22"/>
        </w:rPr>
        <w:t>vaccuntainer</w:t>
      </w:r>
      <w:proofErr w:type="spellEnd"/>
      <w:r w:rsidRPr="007D4733">
        <w:rPr>
          <w:rFonts w:cs="Arial"/>
          <w:sz w:val="22"/>
          <w:szCs w:val="22"/>
        </w:rPr>
        <w:t xml:space="preserve"> tubes using EDTA as anticoagulant. The samples were </w:t>
      </w:r>
      <w:proofErr w:type="spellStart"/>
      <w:r w:rsidRPr="007D4733">
        <w:rPr>
          <w:rFonts w:cs="Arial"/>
          <w:sz w:val="22"/>
          <w:szCs w:val="22"/>
        </w:rPr>
        <w:t>hemolized</w:t>
      </w:r>
      <w:proofErr w:type="spellEnd"/>
      <w:r w:rsidRPr="007D4733">
        <w:rPr>
          <w:rFonts w:cs="Arial"/>
          <w:sz w:val="22"/>
          <w:szCs w:val="22"/>
        </w:rPr>
        <w:t xml:space="preserve"> with phosphate buffer, pH 7.4 containing Triton X -100 (0.03%) and appropriate storage.</w:t>
      </w:r>
    </w:p>
    <w:p w:rsidR="00BD583D" w:rsidRPr="007D4733" w:rsidRDefault="00BD583D">
      <w:pPr>
        <w:pStyle w:val="Corpodetextorecuado"/>
        <w:spacing w:line="480" w:lineRule="auto"/>
        <w:ind w:firstLine="708"/>
        <w:rPr>
          <w:rFonts w:cs="Arial"/>
          <w:sz w:val="22"/>
          <w:szCs w:val="22"/>
        </w:rPr>
      </w:pPr>
    </w:p>
    <w:p w:rsidR="00BD583D" w:rsidRPr="007D4733" w:rsidRDefault="00867955">
      <w:pPr>
        <w:spacing w:line="480" w:lineRule="auto"/>
        <w:jc w:val="both"/>
        <w:rPr>
          <w:rFonts w:ascii="Arial" w:hAnsi="Arial" w:cs="Arial"/>
          <w:b/>
          <w:bCs/>
          <w:lang w:val="en-US"/>
        </w:rPr>
      </w:pPr>
      <w:r w:rsidRPr="007D4733">
        <w:rPr>
          <w:rFonts w:ascii="Arial" w:hAnsi="Arial" w:cs="Arial"/>
          <w:b/>
          <w:bCs/>
          <w:lang w:val="en-US"/>
        </w:rPr>
        <w:t xml:space="preserve"> 2.8 Determination of Erythrocyte </w:t>
      </w:r>
      <w:proofErr w:type="spellStart"/>
      <w:r w:rsidRPr="007D4733">
        <w:rPr>
          <w:rFonts w:ascii="Arial" w:hAnsi="Arial" w:cs="Arial"/>
          <w:b/>
          <w:bCs/>
          <w:lang w:val="en-US"/>
        </w:rPr>
        <w:t>AChE</w:t>
      </w:r>
      <w:proofErr w:type="spellEnd"/>
    </w:p>
    <w:p w:rsidR="00BD583D" w:rsidRPr="007D4733" w:rsidRDefault="00867955">
      <w:pPr>
        <w:spacing w:line="480" w:lineRule="auto"/>
        <w:ind w:firstLine="284"/>
        <w:jc w:val="both"/>
        <w:rPr>
          <w:rFonts w:ascii="Arial" w:hAnsi="Arial" w:cs="Arial"/>
          <w:b/>
          <w:bCs/>
          <w:color w:val="FF0000"/>
          <w:lang w:val="en-US"/>
        </w:rPr>
      </w:pPr>
      <w:r w:rsidRPr="007D4733">
        <w:rPr>
          <w:rFonts w:ascii="Arial" w:hAnsi="Arial" w:cs="Arial"/>
          <w:lang w:val="en-US"/>
        </w:rPr>
        <w:t xml:space="preserve">Erythrocyte </w:t>
      </w:r>
      <w:proofErr w:type="spellStart"/>
      <w:r w:rsidRPr="007D4733">
        <w:rPr>
          <w:rFonts w:ascii="Arial" w:hAnsi="Arial" w:cs="Arial"/>
          <w:lang w:val="en-US"/>
        </w:rPr>
        <w:t>AChE</w:t>
      </w:r>
      <w:proofErr w:type="spellEnd"/>
      <w:r w:rsidRPr="007D4733">
        <w:rPr>
          <w:rFonts w:ascii="Arial" w:hAnsi="Arial" w:cs="Arial"/>
          <w:lang w:val="en-US"/>
        </w:rPr>
        <w:t xml:space="preserve"> activity was determined by the modification of </w:t>
      </w:r>
      <w:proofErr w:type="spellStart"/>
      <w:r w:rsidRPr="007D4733">
        <w:rPr>
          <w:rFonts w:ascii="Arial" w:hAnsi="Arial" w:cs="Arial"/>
          <w:lang w:val="en-US"/>
        </w:rPr>
        <w:t>Ellmann´s</w:t>
      </w:r>
      <w:proofErr w:type="spellEnd"/>
      <w:r w:rsidRPr="007D4733">
        <w:rPr>
          <w:rFonts w:ascii="Arial" w:hAnsi="Arial" w:cs="Arial"/>
          <w:lang w:val="en-US"/>
        </w:rPr>
        <w:t xml:space="preserve"> et al.  (1961)[21] </w:t>
      </w:r>
      <w:proofErr w:type="gramStart"/>
      <w:r w:rsidRPr="007D4733">
        <w:rPr>
          <w:rFonts w:ascii="Arial" w:hAnsi="Arial" w:cs="Arial"/>
          <w:lang w:val="en-US"/>
        </w:rPr>
        <w:t>method</w:t>
      </w:r>
      <w:proofErr w:type="gramEnd"/>
      <w:r w:rsidRPr="007D4733">
        <w:rPr>
          <w:rFonts w:ascii="Arial" w:hAnsi="Arial" w:cs="Arial"/>
          <w:lang w:val="en-US"/>
        </w:rPr>
        <w:t xml:space="preserve"> as described by </w:t>
      </w:r>
      <w:proofErr w:type="spellStart"/>
      <w:r w:rsidRPr="007D4733">
        <w:rPr>
          <w:rFonts w:ascii="Arial" w:hAnsi="Arial" w:cs="Arial"/>
          <w:lang w:val="en-US"/>
        </w:rPr>
        <w:t>Worek</w:t>
      </w:r>
      <w:proofErr w:type="spellEnd"/>
      <w:r w:rsidRPr="007D4733">
        <w:rPr>
          <w:rFonts w:ascii="Arial" w:hAnsi="Arial" w:cs="Arial"/>
          <w:lang w:val="en-US"/>
        </w:rPr>
        <w:t xml:space="preserve"> et al. (1999)[22]. Whole blood dilutions were prepared by adding 100 </w:t>
      </w:r>
      <w:r w:rsidRPr="007D4733">
        <w:rPr>
          <w:rFonts w:ascii="Arial" w:eastAsia="Symbol" w:hAnsi="Arial" w:cs="Arial"/>
        </w:rPr>
        <w:t></w:t>
      </w:r>
      <w:r w:rsidRPr="007D4733">
        <w:rPr>
          <w:rFonts w:ascii="Arial" w:hAnsi="Arial" w:cs="Arial"/>
          <w:lang w:val="en-US"/>
        </w:rPr>
        <w:t xml:space="preserve">L blood to 10 mL sodium/potassium phosphate buffer (0.1 </w:t>
      </w:r>
      <w:proofErr w:type="spellStart"/>
      <w:r w:rsidRPr="007D4733">
        <w:rPr>
          <w:rFonts w:ascii="Arial" w:hAnsi="Arial" w:cs="Arial"/>
          <w:lang w:val="en-US"/>
        </w:rPr>
        <w:lastRenderedPageBreak/>
        <w:t>mM</w:t>
      </w:r>
      <w:proofErr w:type="spellEnd"/>
      <w:r w:rsidRPr="007D4733">
        <w:rPr>
          <w:rFonts w:ascii="Arial" w:hAnsi="Arial" w:cs="Arial"/>
          <w:lang w:val="en-US"/>
        </w:rPr>
        <w:t xml:space="preserve">), pH 7.4 containing Triton X -100 (0.03%). After carefully mixed, the samples were frozen immediately and kept until analysis. The </w:t>
      </w:r>
      <w:proofErr w:type="spellStart"/>
      <w:r w:rsidRPr="007D4733">
        <w:rPr>
          <w:rFonts w:ascii="Arial" w:hAnsi="Arial" w:cs="Arial"/>
          <w:lang w:val="en-US"/>
        </w:rPr>
        <w:t>hemolizate</w:t>
      </w:r>
      <w:proofErr w:type="spellEnd"/>
      <w:r w:rsidRPr="007D4733">
        <w:rPr>
          <w:rFonts w:ascii="Arial" w:hAnsi="Arial" w:cs="Arial"/>
          <w:lang w:val="en-US"/>
        </w:rPr>
        <w:t xml:space="preserve"> (500 </w:t>
      </w:r>
      <w:r w:rsidRPr="007D4733">
        <w:rPr>
          <w:rFonts w:ascii="Arial" w:eastAsia="Symbol" w:hAnsi="Arial" w:cs="Arial"/>
        </w:rPr>
        <w:t></w:t>
      </w:r>
      <w:r w:rsidRPr="007D4733">
        <w:rPr>
          <w:rFonts w:ascii="Arial" w:hAnsi="Arial" w:cs="Arial"/>
          <w:lang w:val="en-US"/>
        </w:rPr>
        <w:t xml:space="preserve">L), phosphate buffer 0.1 </w:t>
      </w:r>
      <w:proofErr w:type="spellStart"/>
      <w:r w:rsidRPr="007D4733">
        <w:rPr>
          <w:rFonts w:ascii="Arial" w:hAnsi="Arial" w:cs="Arial"/>
          <w:lang w:val="en-US"/>
        </w:rPr>
        <w:t>mM</w:t>
      </w:r>
      <w:proofErr w:type="spellEnd"/>
      <w:r w:rsidRPr="007D4733">
        <w:rPr>
          <w:rFonts w:ascii="Arial" w:hAnsi="Arial" w:cs="Arial"/>
          <w:lang w:val="en-US"/>
        </w:rPr>
        <w:t xml:space="preserve"> pH 7.4, DTNB (0.3 </w:t>
      </w:r>
      <w:proofErr w:type="spellStart"/>
      <w:r w:rsidRPr="007D4733">
        <w:rPr>
          <w:rFonts w:ascii="Arial" w:hAnsi="Arial" w:cs="Arial"/>
          <w:lang w:val="en-US"/>
        </w:rPr>
        <w:t>mM</w:t>
      </w:r>
      <w:proofErr w:type="spellEnd"/>
      <w:r w:rsidRPr="007D4733">
        <w:rPr>
          <w:rFonts w:ascii="Arial" w:hAnsi="Arial" w:cs="Arial"/>
          <w:lang w:val="en-US"/>
        </w:rPr>
        <w:t xml:space="preserve">), and </w:t>
      </w:r>
      <w:proofErr w:type="spellStart"/>
      <w:r w:rsidRPr="007D4733">
        <w:rPr>
          <w:rFonts w:ascii="Arial" w:hAnsi="Arial" w:cs="Arial"/>
          <w:lang w:val="en-US"/>
        </w:rPr>
        <w:t>ethopropazine</w:t>
      </w:r>
      <w:proofErr w:type="spellEnd"/>
      <w:r w:rsidRPr="007D4733">
        <w:rPr>
          <w:rFonts w:ascii="Arial" w:hAnsi="Arial" w:cs="Arial"/>
          <w:lang w:val="en-US"/>
        </w:rPr>
        <w:t xml:space="preserve"> (0.02 </w:t>
      </w:r>
      <w:proofErr w:type="spellStart"/>
      <w:r w:rsidRPr="007D4733">
        <w:rPr>
          <w:rFonts w:ascii="Arial" w:hAnsi="Arial" w:cs="Arial"/>
          <w:lang w:val="en-US"/>
        </w:rPr>
        <w:t>mM</w:t>
      </w:r>
      <w:proofErr w:type="spellEnd"/>
      <w:r w:rsidRPr="007D4733">
        <w:rPr>
          <w:rFonts w:ascii="Arial" w:hAnsi="Arial" w:cs="Arial"/>
          <w:lang w:val="en-US"/>
        </w:rPr>
        <w:t xml:space="preserve">), a selective </w:t>
      </w:r>
      <w:proofErr w:type="spellStart"/>
      <w:r w:rsidRPr="007D4733">
        <w:rPr>
          <w:rFonts w:ascii="Arial" w:hAnsi="Arial" w:cs="Arial"/>
          <w:lang w:val="en-US"/>
        </w:rPr>
        <w:t>butyrylcholinesterase</w:t>
      </w:r>
      <w:proofErr w:type="spellEnd"/>
      <w:r w:rsidRPr="007D4733">
        <w:rPr>
          <w:rFonts w:ascii="Arial" w:hAnsi="Arial" w:cs="Arial"/>
          <w:lang w:val="en-US"/>
        </w:rPr>
        <w:t xml:space="preserve"> (</w:t>
      </w:r>
      <w:proofErr w:type="spellStart"/>
      <w:r w:rsidRPr="007D4733">
        <w:rPr>
          <w:rFonts w:ascii="Arial" w:hAnsi="Arial" w:cs="Arial"/>
          <w:lang w:val="en-US"/>
        </w:rPr>
        <w:t>BChE</w:t>
      </w:r>
      <w:proofErr w:type="spellEnd"/>
      <w:r w:rsidRPr="007D4733">
        <w:rPr>
          <w:rFonts w:ascii="Arial" w:hAnsi="Arial" w:cs="Arial"/>
          <w:lang w:val="en-US"/>
        </w:rPr>
        <w:t xml:space="preserve">) inhibitor, were pre-incubated during 10 min at 37º C. The reaction was started by the addition of substrate </w:t>
      </w:r>
      <w:proofErr w:type="spellStart"/>
      <w:r w:rsidRPr="007D4733">
        <w:rPr>
          <w:rFonts w:ascii="Arial" w:hAnsi="Arial" w:cs="Arial"/>
          <w:lang w:val="en-US"/>
        </w:rPr>
        <w:t>AcSCh</w:t>
      </w:r>
      <w:proofErr w:type="spellEnd"/>
      <w:r w:rsidRPr="007D4733">
        <w:rPr>
          <w:rFonts w:ascii="Arial" w:hAnsi="Arial" w:cs="Arial"/>
          <w:lang w:val="en-US"/>
        </w:rPr>
        <w:t xml:space="preserve"> (0.45 </w:t>
      </w:r>
      <w:proofErr w:type="spellStart"/>
      <w:r w:rsidRPr="007D4733">
        <w:rPr>
          <w:rFonts w:ascii="Arial" w:hAnsi="Arial" w:cs="Arial"/>
          <w:lang w:val="en-US"/>
        </w:rPr>
        <w:t>mM</w:t>
      </w:r>
      <w:proofErr w:type="spellEnd"/>
      <w:r w:rsidRPr="007D4733">
        <w:rPr>
          <w:rFonts w:ascii="Arial" w:hAnsi="Arial" w:cs="Arial"/>
          <w:lang w:val="en-US"/>
        </w:rPr>
        <w:t xml:space="preserve">), and color development was measured at 436 nm.  </w:t>
      </w:r>
    </w:p>
    <w:p w:rsidR="00BD583D" w:rsidRPr="007D4733" w:rsidRDefault="00867955">
      <w:pPr>
        <w:pStyle w:val="Corpodetextorecuado"/>
        <w:spacing w:line="480" w:lineRule="auto"/>
        <w:rPr>
          <w:rFonts w:cs="Arial"/>
          <w:sz w:val="22"/>
          <w:szCs w:val="22"/>
        </w:rPr>
      </w:pPr>
      <w:r w:rsidRPr="007D4733">
        <w:rPr>
          <w:rFonts w:cs="Arial"/>
          <w:sz w:val="22"/>
          <w:szCs w:val="22"/>
        </w:rPr>
        <w:t xml:space="preserve">The specific activity of erythrocyte </w:t>
      </w:r>
      <w:proofErr w:type="spellStart"/>
      <w:r w:rsidRPr="007D4733">
        <w:rPr>
          <w:rFonts w:cs="Arial"/>
          <w:sz w:val="22"/>
          <w:szCs w:val="22"/>
        </w:rPr>
        <w:t>AChE</w:t>
      </w:r>
      <w:proofErr w:type="spellEnd"/>
      <w:r w:rsidRPr="007D4733">
        <w:rPr>
          <w:rFonts w:cs="Arial"/>
          <w:sz w:val="22"/>
          <w:szCs w:val="22"/>
        </w:rPr>
        <w:t xml:space="preserve"> was calculated from the quotient between </w:t>
      </w:r>
      <w:proofErr w:type="spellStart"/>
      <w:r w:rsidRPr="007D4733">
        <w:rPr>
          <w:rFonts w:cs="Arial"/>
          <w:sz w:val="22"/>
          <w:szCs w:val="22"/>
        </w:rPr>
        <w:t>AChE</w:t>
      </w:r>
      <w:proofErr w:type="spellEnd"/>
      <w:r w:rsidRPr="007D4733">
        <w:rPr>
          <w:rFonts w:cs="Arial"/>
          <w:sz w:val="22"/>
          <w:szCs w:val="22"/>
        </w:rPr>
        <w:t xml:space="preserve"> activity and hemoglobin content, and the results were expressed as </w:t>
      </w:r>
      <w:proofErr w:type="spellStart"/>
      <w:r w:rsidRPr="007D4733">
        <w:rPr>
          <w:rFonts w:cs="Arial"/>
          <w:sz w:val="22"/>
          <w:szCs w:val="22"/>
        </w:rPr>
        <w:t>mU</w:t>
      </w:r>
      <w:proofErr w:type="spellEnd"/>
      <w:r w:rsidRPr="007D4733">
        <w:rPr>
          <w:rFonts w:cs="Arial"/>
          <w:sz w:val="22"/>
          <w:szCs w:val="22"/>
        </w:rPr>
        <w:t>/</w:t>
      </w:r>
      <w:r w:rsidRPr="007D4733">
        <w:rPr>
          <w:rFonts w:eastAsia="Symbol" w:cs="Arial"/>
          <w:sz w:val="22"/>
          <w:szCs w:val="22"/>
        </w:rPr>
        <w:t></w:t>
      </w:r>
      <w:r w:rsidRPr="007D4733">
        <w:rPr>
          <w:rFonts w:cs="Arial"/>
          <w:sz w:val="22"/>
          <w:szCs w:val="22"/>
        </w:rPr>
        <w:t xml:space="preserve"> </w:t>
      </w:r>
      <w:proofErr w:type="spellStart"/>
      <w:r w:rsidRPr="007D4733">
        <w:rPr>
          <w:rFonts w:cs="Arial"/>
          <w:sz w:val="22"/>
          <w:szCs w:val="22"/>
        </w:rPr>
        <w:t>mol</w:t>
      </w:r>
      <w:proofErr w:type="spellEnd"/>
      <w:r w:rsidRPr="007D4733">
        <w:rPr>
          <w:rFonts w:cs="Arial"/>
          <w:sz w:val="22"/>
          <w:szCs w:val="22"/>
        </w:rPr>
        <w:t xml:space="preserve"> </w:t>
      </w:r>
      <w:proofErr w:type="spellStart"/>
      <w:r w:rsidRPr="007D4733">
        <w:rPr>
          <w:rFonts w:cs="Arial"/>
          <w:sz w:val="22"/>
          <w:szCs w:val="22"/>
        </w:rPr>
        <w:t>Hb</w:t>
      </w:r>
      <w:proofErr w:type="spellEnd"/>
      <w:r w:rsidRPr="007D4733">
        <w:rPr>
          <w:rFonts w:cs="Arial"/>
          <w:sz w:val="22"/>
          <w:szCs w:val="22"/>
        </w:rPr>
        <w:t>.</w:t>
      </w:r>
    </w:p>
    <w:p w:rsidR="00BD583D" w:rsidRPr="007D4733" w:rsidRDefault="00BD583D">
      <w:pPr>
        <w:pStyle w:val="Corpodetextorecuado"/>
        <w:spacing w:line="480" w:lineRule="auto"/>
        <w:rPr>
          <w:rFonts w:cs="Arial"/>
          <w:sz w:val="22"/>
          <w:szCs w:val="22"/>
        </w:rPr>
      </w:pPr>
    </w:p>
    <w:p w:rsidR="00BD583D" w:rsidRPr="007D4733" w:rsidRDefault="00867955">
      <w:pPr>
        <w:spacing w:line="480" w:lineRule="auto"/>
        <w:jc w:val="both"/>
        <w:rPr>
          <w:rFonts w:ascii="Arial" w:hAnsi="Arial" w:cs="Arial"/>
          <w:b/>
          <w:lang w:val="en-US"/>
        </w:rPr>
      </w:pPr>
      <w:r w:rsidRPr="007D4733">
        <w:rPr>
          <w:rFonts w:ascii="Arial" w:hAnsi="Arial" w:cs="Arial"/>
          <w:b/>
          <w:lang w:val="en-US"/>
        </w:rPr>
        <w:t>2.9 Protein determination</w:t>
      </w:r>
    </w:p>
    <w:p w:rsidR="00BD583D" w:rsidRPr="007D4733" w:rsidRDefault="00867955">
      <w:pPr>
        <w:spacing w:line="480" w:lineRule="auto"/>
        <w:jc w:val="both"/>
        <w:rPr>
          <w:rFonts w:ascii="Arial" w:hAnsi="Arial" w:cs="Arial"/>
          <w:lang w:val="en-US"/>
        </w:rPr>
      </w:pPr>
      <w:r w:rsidRPr="007D4733">
        <w:rPr>
          <w:rFonts w:ascii="Arial" w:hAnsi="Arial" w:cs="Arial"/>
          <w:lang w:val="en-US"/>
        </w:rPr>
        <w:t xml:space="preserve">Protein was measured by the </w:t>
      </w:r>
      <w:proofErr w:type="spellStart"/>
      <w:r w:rsidRPr="007D4733">
        <w:rPr>
          <w:rFonts w:ascii="Arial" w:hAnsi="Arial" w:cs="Arial"/>
          <w:lang w:val="en-US"/>
        </w:rPr>
        <w:t>Coomassie</w:t>
      </w:r>
      <w:proofErr w:type="spellEnd"/>
      <w:r w:rsidRPr="007D4733">
        <w:rPr>
          <w:rFonts w:ascii="Arial" w:hAnsi="Arial" w:cs="Arial"/>
          <w:lang w:val="en-US"/>
        </w:rPr>
        <w:t xml:space="preserve"> blue method according to Bradford (1976</w:t>
      </w:r>
      <w:proofErr w:type="gramStart"/>
      <w:r w:rsidRPr="007D4733">
        <w:rPr>
          <w:rFonts w:ascii="Arial" w:hAnsi="Arial" w:cs="Arial"/>
          <w:lang w:val="en-US"/>
        </w:rPr>
        <w:t>)[</w:t>
      </w:r>
      <w:proofErr w:type="gramEnd"/>
      <w:r w:rsidRPr="007D4733">
        <w:rPr>
          <w:rFonts w:ascii="Arial" w:hAnsi="Arial" w:cs="Arial"/>
          <w:lang w:val="en-US"/>
        </w:rPr>
        <w:t>23] using bovine serum albumin as standard.</w:t>
      </w:r>
    </w:p>
    <w:p w:rsidR="00BD583D" w:rsidRPr="007D4733" w:rsidRDefault="00867955">
      <w:pPr>
        <w:spacing w:line="480" w:lineRule="auto"/>
        <w:jc w:val="both"/>
        <w:rPr>
          <w:rFonts w:ascii="Arial" w:hAnsi="Arial" w:cs="Arial"/>
          <w:b/>
          <w:lang w:val="en-US"/>
        </w:rPr>
      </w:pPr>
      <w:r w:rsidRPr="007D4733">
        <w:rPr>
          <w:rFonts w:ascii="Arial" w:hAnsi="Arial" w:cs="Arial"/>
          <w:b/>
          <w:lang w:val="en-US"/>
        </w:rPr>
        <w:t>3.0 Statistical analysis</w:t>
      </w:r>
    </w:p>
    <w:p w:rsidR="00BD583D" w:rsidRPr="007D4733" w:rsidRDefault="00867955">
      <w:pPr>
        <w:spacing w:line="480" w:lineRule="auto"/>
        <w:ind w:firstLine="708"/>
        <w:jc w:val="both"/>
        <w:rPr>
          <w:rFonts w:ascii="Arial" w:hAnsi="Arial" w:cs="Arial"/>
          <w:lang w:val="en-US"/>
        </w:rPr>
      </w:pPr>
      <w:r w:rsidRPr="007D4733">
        <w:rPr>
          <w:rFonts w:ascii="Arial" w:hAnsi="Arial" w:cs="Arial"/>
          <w:lang w:val="en-US"/>
        </w:rPr>
        <w:t xml:space="preserve">Data were analyzed by analysis of variance (One-way ANOVA) followed by the </w:t>
      </w:r>
      <w:proofErr w:type="spellStart"/>
      <w:r w:rsidRPr="007D4733">
        <w:rPr>
          <w:rFonts w:ascii="Arial" w:hAnsi="Arial" w:cs="Arial"/>
          <w:lang w:val="en-US"/>
        </w:rPr>
        <w:t>Tukey</w:t>
      </w:r>
      <w:proofErr w:type="spellEnd"/>
      <w:r w:rsidRPr="007D4733">
        <w:rPr>
          <w:rFonts w:ascii="Arial" w:hAnsi="Arial" w:cs="Arial"/>
          <w:lang w:val="en-US"/>
        </w:rPr>
        <w:t xml:space="preserve">-Kramer multiple range test, and p&lt;0.05 was considered to represent a significant difference in the analysis. All data were expressed as mean ± S.D. </w:t>
      </w:r>
    </w:p>
    <w:p w:rsidR="00BD583D" w:rsidRPr="007D4733" w:rsidRDefault="00867955">
      <w:pPr>
        <w:spacing w:line="480" w:lineRule="auto"/>
        <w:jc w:val="both"/>
        <w:rPr>
          <w:rFonts w:ascii="Arial" w:hAnsi="Arial" w:cs="Arial"/>
          <w:b/>
          <w:lang w:val="en-US"/>
        </w:rPr>
      </w:pPr>
      <w:r w:rsidRPr="007D4733">
        <w:rPr>
          <w:rFonts w:ascii="Arial" w:hAnsi="Arial" w:cs="Arial"/>
          <w:b/>
          <w:lang w:val="en-US"/>
        </w:rPr>
        <w:t>4.0 Results</w:t>
      </w:r>
    </w:p>
    <w:p w:rsidR="00BD583D" w:rsidRPr="007D4733" w:rsidRDefault="001560CE">
      <w:pPr>
        <w:spacing w:line="480" w:lineRule="auto"/>
        <w:jc w:val="both"/>
        <w:rPr>
          <w:rFonts w:ascii="Arial" w:hAnsi="Arial" w:cs="Arial"/>
          <w:lang w:val="en-US"/>
        </w:rPr>
      </w:pPr>
      <w:r w:rsidRPr="007D4733">
        <w:rPr>
          <w:rFonts w:ascii="Arial" w:hAnsi="Arial" w:cs="Arial"/>
          <w:b/>
          <w:lang w:val="en-US"/>
        </w:rPr>
        <w:t xml:space="preserve"> </w:t>
      </w:r>
      <w:r w:rsidR="00867955" w:rsidRPr="007D4733">
        <w:rPr>
          <w:rFonts w:ascii="Arial" w:hAnsi="Arial" w:cs="Arial"/>
          <w:lang w:val="en-US"/>
        </w:rPr>
        <w:t xml:space="preserve">Overall, was found a significant decrease of the enzymes activities in both peripheral tissue preparations, for platelets and erythrocytes, in young rats exposed to high fat diets (Figures 1 and 2). The </w:t>
      </w:r>
      <w:proofErr w:type="spellStart"/>
      <w:r w:rsidR="00867955" w:rsidRPr="007D4733">
        <w:rPr>
          <w:rFonts w:ascii="Arial" w:hAnsi="Arial" w:cs="Arial"/>
          <w:lang w:val="en-US"/>
        </w:rPr>
        <w:t>AChE</w:t>
      </w:r>
      <w:proofErr w:type="spellEnd"/>
      <w:r w:rsidR="00867955" w:rsidRPr="007D4733">
        <w:rPr>
          <w:rFonts w:ascii="Arial" w:hAnsi="Arial" w:cs="Arial"/>
          <w:lang w:val="en-US"/>
        </w:rPr>
        <w:t xml:space="preserve"> activity in erythrocytes was decreased in 39.2% in the saturated group, in comparison to the control group. At the same time, the </w:t>
      </w:r>
      <w:proofErr w:type="spellStart"/>
      <w:r w:rsidR="00867955" w:rsidRPr="007D4733">
        <w:rPr>
          <w:rFonts w:ascii="Arial" w:hAnsi="Arial" w:cs="Arial"/>
          <w:lang w:val="en-US"/>
        </w:rPr>
        <w:t>AChE</w:t>
      </w:r>
      <w:proofErr w:type="spellEnd"/>
      <w:r w:rsidR="00867955" w:rsidRPr="007D4733">
        <w:rPr>
          <w:rFonts w:ascii="Arial" w:hAnsi="Arial" w:cs="Arial"/>
          <w:lang w:val="en-US"/>
        </w:rPr>
        <w:t xml:space="preserve"> activity was inhibited in the groups that consumed the saturated/unsaturated 24.5% and unsaturated (22.9%) diets, respectively, when compared to the control group (p&lt;0.05) (Figure 1).</w:t>
      </w:r>
    </w:p>
    <w:p w:rsidR="00BD583D" w:rsidRPr="007D4733" w:rsidRDefault="001560CE">
      <w:pPr>
        <w:spacing w:line="480" w:lineRule="auto"/>
        <w:jc w:val="both"/>
        <w:rPr>
          <w:rFonts w:ascii="Arial" w:hAnsi="Arial" w:cs="Arial"/>
          <w:lang w:val="en-US"/>
        </w:rPr>
      </w:pPr>
      <w:r w:rsidRPr="007D4733">
        <w:rPr>
          <w:rFonts w:ascii="Arial" w:hAnsi="Arial" w:cs="Arial"/>
          <w:lang w:val="en-US"/>
        </w:rPr>
        <w:lastRenderedPageBreak/>
        <w:t xml:space="preserve"> </w:t>
      </w:r>
      <w:r w:rsidR="00867955" w:rsidRPr="007D4733">
        <w:rPr>
          <w:rFonts w:ascii="Arial" w:hAnsi="Arial" w:cs="Arial"/>
          <w:lang w:val="en-US"/>
        </w:rPr>
        <w:t>As shown the Figure 2, the ATP hydrolysis was inhibited in 58% and 68% in the rats that consumed the saturated and saturated/unsaturated diets, respectively, in comparison to the control group. For the ADP hydrolysis was observed a decreased of the 39.1% and 20% after the exposure to saturated and saturated/unsaturated diets, when compared to the control group, respectively. To 5’-nucleotidase activity, the results were consistent with the ATP and ADP hydrolysis, where was found an inhibition of the enzyme activity of the 33.1% and 21.7% in rats exposed to saturated and saturated/unsaturated diets, in comparison to the control group, respectively (Figure 2).</w:t>
      </w:r>
    </w:p>
    <w:p w:rsidR="00BD583D" w:rsidRPr="007D4733" w:rsidRDefault="001560CE">
      <w:pPr>
        <w:spacing w:line="480" w:lineRule="auto"/>
        <w:jc w:val="both"/>
        <w:rPr>
          <w:rFonts w:ascii="Arial" w:hAnsi="Arial" w:cs="Arial"/>
          <w:lang w:val="en-US"/>
        </w:rPr>
      </w:pPr>
      <w:r w:rsidRPr="007D4733">
        <w:rPr>
          <w:rFonts w:ascii="Arial" w:hAnsi="Arial" w:cs="Arial"/>
          <w:lang w:val="en-US"/>
        </w:rPr>
        <w:t xml:space="preserve"> </w:t>
      </w:r>
      <w:r w:rsidR="00867955" w:rsidRPr="007D4733">
        <w:rPr>
          <w:rFonts w:ascii="Arial" w:hAnsi="Arial" w:cs="Arial"/>
          <w:lang w:val="en-US"/>
        </w:rPr>
        <w:t xml:space="preserve">The mean plasma levels parameters, as hematocrit, glucose, cholesterol, cholesterol ester concentrations in lipoprotein fractions, triglycerides, </w:t>
      </w:r>
      <w:proofErr w:type="spellStart"/>
      <w:r w:rsidR="00867955" w:rsidRPr="007D4733">
        <w:rPr>
          <w:rFonts w:ascii="Arial" w:hAnsi="Arial" w:cs="Arial"/>
          <w:lang w:val="en-US"/>
        </w:rPr>
        <w:t>creatine</w:t>
      </w:r>
      <w:proofErr w:type="spellEnd"/>
      <w:r w:rsidR="00867955" w:rsidRPr="007D4733">
        <w:rPr>
          <w:rFonts w:ascii="Arial" w:hAnsi="Arial" w:cs="Arial"/>
          <w:lang w:val="en-US"/>
        </w:rPr>
        <w:t xml:space="preserve"> and urea was measured in young rats that consumed different diets (Table 2). The rats that intake saturated diet showed higher levels of cholesterol (32%), LDL-cholesterol and glucose (21%), when compared to the control group. At the same time, the rats exposed to saturated diet show a decreased in the levels of HDL-cholesterol (23%), hematocrit (13%), triglycerides (44%) and urea (36.8%), in comparison with the control group. Although the exposure to the saturated/unsaturated diet showed an enhanced of 320% in the LDL-cholesterol levels, the triglycerides was inhibited in 55.6%, both in comparison to the control group (Table</w:t>
      </w:r>
      <w:r w:rsidR="00FD1BA6" w:rsidRPr="007D4733">
        <w:rPr>
          <w:rFonts w:ascii="Arial" w:hAnsi="Arial" w:cs="Arial"/>
          <w:lang w:val="en-US"/>
        </w:rPr>
        <w:t>s</w:t>
      </w:r>
      <w:r w:rsidR="00867955" w:rsidRPr="007D4733">
        <w:rPr>
          <w:rFonts w:ascii="Arial" w:hAnsi="Arial" w:cs="Arial"/>
          <w:lang w:val="en-US"/>
        </w:rPr>
        <w:t xml:space="preserve"> 2</w:t>
      </w:r>
      <w:r w:rsidR="00FD1BA6" w:rsidRPr="007D4733">
        <w:rPr>
          <w:rFonts w:ascii="Arial" w:hAnsi="Arial" w:cs="Arial"/>
          <w:lang w:val="en-US"/>
        </w:rPr>
        <w:t>, 3</w:t>
      </w:r>
      <w:r w:rsidR="00867955" w:rsidRPr="007D4733">
        <w:rPr>
          <w:rFonts w:ascii="Arial" w:hAnsi="Arial" w:cs="Arial"/>
          <w:lang w:val="en-US"/>
        </w:rPr>
        <w:t>).</w:t>
      </w:r>
    </w:p>
    <w:p w:rsidR="00BD583D" w:rsidRPr="007D4733" w:rsidRDefault="00867955">
      <w:pPr>
        <w:spacing w:line="480" w:lineRule="auto"/>
        <w:jc w:val="both"/>
        <w:rPr>
          <w:rFonts w:ascii="Arial" w:hAnsi="Arial" w:cs="Arial"/>
          <w:b/>
          <w:lang w:val="en-US"/>
        </w:rPr>
      </w:pPr>
      <w:r w:rsidRPr="007D4733">
        <w:rPr>
          <w:rFonts w:ascii="Arial" w:hAnsi="Arial" w:cs="Arial"/>
          <w:b/>
          <w:lang w:val="en-US"/>
        </w:rPr>
        <w:t>5.0 Discussion</w:t>
      </w: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This study shows that the intake of high fat diets promotes alterations in plasma level parameters in young rats. In fact, the cholesterol and low-density lipoproteins (LDLs)</w:t>
      </w:r>
      <w:r w:rsidR="00131A51" w:rsidRPr="007D4733">
        <w:rPr>
          <w:rFonts w:ascii="Arial" w:hAnsi="Arial" w:cs="Arial"/>
          <w:lang w:val="en-US"/>
        </w:rPr>
        <w:t>,</w:t>
      </w:r>
      <w:r w:rsidRPr="007D4733">
        <w:rPr>
          <w:rFonts w:ascii="Arial" w:hAnsi="Arial" w:cs="Arial"/>
          <w:lang w:val="en-US"/>
        </w:rPr>
        <w:t xml:space="preserve"> as well as</w:t>
      </w:r>
      <w:r w:rsidR="00131A51" w:rsidRPr="007D4733">
        <w:rPr>
          <w:rFonts w:ascii="Arial" w:hAnsi="Arial" w:cs="Arial"/>
          <w:lang w:val="en-US"/>
        </w:rPr>
        <w:t>,</w:t>
      </w:r>
      <w:r w:rsidRPr="007D4733">
        <w:rPr>
          <w:rFonts w:ascii="Arial" w:hAnsi="Arial" w:cs="Arial"/>
          <w:lang w:val="en-US"/>
        </w:rPr>
        <w:t xml:space="preserve"> glucose were significant higher in rats that intake saturated diet. At same time, the intake of conjugated different fats, saturated and unsaturated, shows a significant enhanced in the LDL-cholesterol levels (320%). </w:t>
      </w:r>
      <w:r w:rsidR="009540C5" w:rsidRPr="007D4733">
        <w:rPr>
          <w:rFonts w:ascii="Arial" w:hAnsi="Arial" w:cs="Arial"/>
          <w:lang w:val="en-US"/>
        </w:rPr>
        <w:t xml:space="preserve">In fact, recent studies have demonstrated the </w:t>
      </w:r>
      <w:r w:rsidR="00B03FFD" w:rsidRPr="007D4733">
        <w:rPr>
          <w:rFonts w:ascii="Arial" w:hAnsi="Arial" w:cs="Arial"/>
          <w:lang w:val="en-US"/>
        </w:rPr>
        <w:t xml:space="preserve">relevance of the </w:t>
      </w:r>
      <w:r w:rsidR="009540C5" w:rsidRPr="007D4733">
        <w:rPr>
          <w:rFonts w:ascii="Arial" w:hAnsi="Arial" w:cs="Arial"/>
          <w:lang w:val="en-US"/>
        </w:rPr>
        <w:t xml:space="preserve">association between the cholesterol levels and high </w:t>
      </w:r>
      <w:r w:rsidR="009540C5" w:rsidRPr="007D4733">
        <w:rPr>
          <w:rFonts w:ascii="Arial" w:hAnsi="Arial" w:cs="Arial"/>
          <w:lang w:val="en-US"/>
        </w:rPr>
        <w:lastRenderedPageBreak/>
        <w:t xml:space="preserve">fat diets on the </w:t>
      </w:r>
      <w:proofErr w:type="spellStart"/>
      <w:r w:rsidR="009540C5" w:rsidRPr="007D4733">
        <w:rPr>
          <w:rFonts w:ascii="Arial" w:hAnsi="Arial" w:cs="Arial"/>
          <w:lang w:val="en-US"/>
        </w:rPr>
        <w:t>neuroinflammatory</w:t>
      </w:r>
      <w:proofErr w:type="spellEnd"/>
      <w:r w:rsidR="009540C5" w:rsidRPr="007D4733">
        <w:rPr>
          <w:rFonts w:ascii="Arial" w:hAnsi="Arial" w:cs="Arial"/>
          <w:lang w:val="en-US"/>
        </w:rPr>
        <w:t xml:space="preserve"> response and the etiology of Alzheimer’s </w:t>
      </w:r>
      <w:proofErr w:type="gramStart"/>
      <w:r w:rsidR="009540C5" w:rsidRPr="007D4733">
        <w:rPr>
          <w:rFonts w:ascii="Arial" w:hAnsi="Arial" w:cs="Arial"/>
          <w:lang w:val="en-US"/>
        </w:rPr>
        <w:t>Disease</w:t>
      </w:r>
      <w:r w:rsidR="007064EF" w:rsidRPr="007D4733">
        <w:rPr>
          <w:rFonts w:ascii="Arial" w:hAnsi="Arial" w:cs="Arial"/>
          <w:lang w:val="en-US"/>
        </w:rPr>
        <w:t>[</w:t>
      </w:r>
      <w:proofErr w:type="gramEnd"/>
      <w:r w:rsidR="009540C5" w:rsidRPr="007D4733">
        <w:rPr>
          <w:rFonts w:ascii="Arial" w:hAnsi="Arial" w:cs="Arial"/>
          <w:lang w:val="en-US"/>
        </w:rPr>
        <w:t>24</w:t>
      </w:r>
      <w:r w:rsidR="0082024C" w:rsidRPr="007D4733">
        <w:rPr>
          <w:rFonts w:ascii="Arial" w:hAnsi="Arial" w:cs="Arial"/>
          <w:lang w:val="en-US"/>
        </w:rPr>
        <w:t>, 25</w:t>
      </w:r>
      <w:r w:rsidR="009540C5" w:rsidRPr="007D4733">
        <w:rPr>
          <w:rFonts w:ascii="Arial" w:hAnsi="Arial" w:cs="Arial"/>
          <w:lang w:val="en-US"/>
        </w:rPr>
        <w:t>].</w:t>
      </w: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Additionally, the results obtained show the inhibition of hydrolysis of the adenine nucleotides and </w:t>
      </w:r>
      <w:proofErr w:type="spellStart"/>
      <w:r w:rsidRPr="007D4733">
        <w:rPr>
          <w:rFonts w:ascii="Arial" w:hAnsi="Arial" w:cs="Arial"/>
          <w:lang w:val="en-US"/>
        </w:rPr>
        <w:t>ACh</w:t>
      </w:r>
      <w:proofErr w:type="spellEnd"/>
      <w:r w:rsidRPr="007D4733">
        <w:rPr>
          <w:rFonts w:ascii="Arial" w:hAnsi="Arial" w:cs="Arial"/>
          <w:lang w:val="en-US"/>
        </w:rPr>
        <w:t xml:space="preserve"> in peripheral tissue markers of young rats exposed to high fat diets. </w:t>
      </w:r>
      <w:proofErr w:type="spellStart"/>
      <w:r w:rsidR="0082024C" w:rsidRPr="007D4733">
        <w:rPr>
          <w:rFonts w:ascii="Arial" w:hAnsi="Arial" w:cs="Arial"/>
          <w:lang w:val="en-US"/>
        </w:rPr>
        <w:t>Kaizer</w:t>
      </w:r>
      <w:proofErr w:type="spellEnd"/>
      <w:r w:rsidR="0082024C" w:rsidRPr="007D4733">
        <w:rPr>
          <w:rFonts w:ascii="Arial" w:hAnsi="Arial" w:cs="Arial"/>
          <w:lang w:val="en-US"/>
        </w:rPr>
        <w:t xml:space="preserve"> et al., (2008)[26</w:t>
      </w:r>
      <w:r w:rsidR="00480ACE" w:rsidRPr="007D4733">
        <w:rPr>
          <w:rFonts w:ascii="Arial" w:hAnsi="Arial" w:cs="Arial"/>
          <w:lang w:val="en-US"/>
        </w:rPr>
        <w:t xml:space="preserve">], was demonstrated that the peripheral assays can contribute to determine the status of central nervous system, in this case the peripheral marker showed a similar behavior when compared </w:t>
      </w:r>
      <w:r w:rsidR="007064EF" w:rsidRPr="007D4733">
        <w:rPr>
          <w:rFonts w:ascii="Arial" w:hAnsi="Arial" w:cs="Arial"/>
          <w:lang w:val="en-US"/>
        </w:rPr>
        <w:t xml:space="preserve">to </w:t>
      </w:r>
      <w:r w:rsidR="00480ACE" w:rsidRPr="007D4733">
        <w:rPr>
          <w:rFonts w:ascii="Arial" w:hAnsi="Arial" w:cs="Arial"/>
          <w:lang w:val="en-US"/>
        </w:rPr>
        <w:t>the results obtained in erythrocytes and cerebral preparations from cholinergic system</w:t>
      </w:r>
      <w:r w:rsidR="00FD1BA6" w:rsidRPr="007D4733">
        <w:rPr>
          <w:rFonts w:ascii="Arial" w:hAnsi="Arial" w:cs="Arial"/>
          <w:lang w:val="en-US"/>
        </w:rPr>
        <w:t xml:space="preserve"> (Table 4</w:t>
      </w:r>
      <w:r w:rsidR="00591074" w:rsidRPr="007D4733">
        <w:rPr>
          <w:rFonts w:ascii="Arial" w:hAnsi="Arial" w:cs="Arial"/>
          <w:lang w:val="en-US"/>
        </w:rPr>
        <w:t xml:space="preserve"> and Figure 3</w:t>
      </w:r>
      <w:r w:rsidR="00FD1BA6" w:rsidRPr="007D4733">
        <w:rPr>
          <w:rFonts w:ascii="Arial" w:hAnsi="Arial" w:cs="Arial"/>
          <w:lang w:val="en-US"/>
        </w:rPr>
        <w:t>)</w:t>
      </w:r>
      <w:r w:rsidR="00480ACE" w:rsidRPr="007D4733">
        <w:rPr>
          <w:rFonts w:ascii="Arial" w:hAnsi="Arial" w:cs="Arial"/>
          <w:lang w:val="en-US"/>
        </w:rPr>
        <w:t>.</w:t>
      </w:r>
      <w:r w:rsidR="00131A51" w:rsidRPr="007D4733">
        <w:rPr>
          <w:rFonts w:ascii="Arial" w:hAnsi="Arial" w:cs="Arial"/>
          <w:lang w:val="en-US"/>
        </w:rPr>
        <w:t xml:space="preserve"> </w:t>
      </w:r>
      <w:r w:rsidRPr="007D4733">
        <w:rPr>
          <w:rFonts w:ascii="Arial" w:hAnsi="Arial" w:cs="Arial"/>
          <w:lang w:val="en-US"/>
        </w:rPr>
        <w:t>Extracellular ATP, ADP and adenosine, their product of hydrolysis, are responsible for the vascular r</w:t>
      </w:r>
      <w:r w:rsidR="0082024C" w:rsidRPr="007D4733">
        <w:rPr>
          <w:rFonts w:ascii="Arial" w:hAnsi="Arial" w:cs="Arial"/>
          <w:lang w:val="en-US"/>
        </w:rPr>
        <w:t xml:space="preserve">esponse to endothelial </w:t>
      </w:r>
      <w:proofErr w:type="gramStart"/>
      <w:r w:rsidR="0082024C" w:rsidRPr="007D4733">
        <w:rPr>
          <w:rFonts w:ascii="Arial" w:hAnsi="Arial" w:cs="Arial"/>
          <w:lang w:val="en-US"/>
        </w:rPr>
        <w:t>injury[</w:t>
      </w:r>
      <w:proofErr w:type="gramEnd"/>
      <w:r w:rsidR="0082024C" w:rsidRPr="007D4733">
        <w:rPr>
          <w:rFonts w:ascii="Arial" w:hAnsi="Arial" w:cs="Arial"/>
          <w:lang w:val="en-US"/>
        </w:rPr>
        <w:t>27</w:t>
      </w:r>
      <w:r w:rsidRPr="007D4733">
        <w:rPr>
          <w:rFonts w:ascii="Arial" w:hAnsi="Arial" w:cs="Arial"/>
          <w:lang w:val="en-US"/>
        </w:rPr>
        <w:t xml:space="preserve">]. ADP has a putative role in the control of platelets activation, so the presence of enzymes that hydrolyze this </w:t>
      </w:r>
      <w:proofErr w:type="spellStart"/>
      <w:r w:rsidRPr="007D4733">
        <w:rPr>
          <w:rFonts w:ascii="Arial" w:hAnsi="Arial" w:cs="Arial"/>
          <w:lang w:val="en-US"/>
        </w:rPr>
        <w:t>diphosphate</w:t>
      </w:r>
      <w:proofErr w:type="spellEnd"/>
      <w:r w:rsidRPr="007D4733">
        <w:rPr>
          <w:rFonts w:ascii="Arial" w:hAnsi="Arial" w:cs="Arial"/>
          <w:lang w:val="en-US"/>
        </w:rPr>
        <w:t xml:space="preserve"> nucleoside in blood flow is essential to controlling the platelet aggregation and thrombus </w:t>
      </w:r>
      <w:proofErr w:type="gramStart"/>
      <w:r w:rsidRPr="007D4733">
        <w:rPr>
          <w:rFonts w:ascii="Arial" w:hAnsi="Arial" w:cs="Arial"/>
          <w:lang w:val="en-US"/>
        </w:rPr>
        <w:t>formation[</w:t>
      </w:r>
      <w:proofErr w:type="gramEnd"/>
      <w:r w:rsidRPr="007D4733">
        <w:rPr>
          <w:rFonts w:ascii="Arial" w:hAnsi="Arial" w:cs="Arial"/>
          <w:lang w:val="en-US"/>
        </w:rPr>
        <w:t xml:space="preserve">18]. </w:t>
      </w:r>
    </w:p>
    <w:p w:rsidR="002C14B0" w:rsidRPr="007D4733" w:rsidRDefault="002C14B0">
      <w:pPr>
        <w:spacing w:after="0" w:line="480" w:lineRule="auto"/>
        <w:ind w:firstLine="708"/>
        <w:jc w:val="both"/>
        <w:rPr>
          <w:rFonts w:ascii="Arial" w:hAnsi="Arial" w:cs="Arial"/>
          <w:lang w:val="en-US"/>
        </w:rPr>
      </w:pPr>
    </w:p>
    <w:p w:rsidR="002C14B0" w:rsidRPr="007D4733" w:rsidRDefault="002C14B0" w:rsidP="002C14B0">
      <w:pPr>
        <w:rPr>
          <w:rFonts w:ascii="Arial" w:hAnsi="Arial" w:cs="Arial"/>
        </w:rPr>
      </w:pPr>
      <w:r w:rsidRPr="007D4733">
        <w:rPr>
          <w:rFonts w:ascii="Arial" w:hAnsi="Arial" w:cs="Arial"/>
        </w:rPr>
        <w:t>STRUCT-262 Sections were applied for the double immunofluorescence Equation (1). The sections were placed in the oven for 1h at 37 °C, and then were blocked with solution containing 10 % normal serum Eq. (2), 3%(w/v) bovine serum albumin (BSA), 0.1% Triton X-100, and 0.05% Tween-20. After 2h incubation, the sections were incubated with primary antibodies against Vimentin(rabbit,1:50;Abcam),mouse antibody anti-NeuN(a marker of neuron, 1:200; Millipore), anti-glial fibrillary acid protein (GFAP) (a marker of astrocytes,1:200; Sigma), anti-Iba1 (a marker of microglial,1:200; Millipore). After washing with phosphate buffer solution (PBS) three times for 5 min each, corresponding secondary antibodies were added in dark room Equations (3) and (4) and incubated for 2 h at 4 °C. Finally, the sections were washed as previous and were assayed using Leica microscope (Leica, DM 5000B; Leica CTR 5000; Germany) Equation (5).</w:t>
      </w:r>
    </w:p>
    <w:p w:rsidR="002C14B0" w:rsidRPr="007D4733" w:rsidRDefault="002C14B0" w:rsidP="002C14B0">
      <w:pPr>
        <w:rPr>
          <w:rFonts w:ascii="Arial" w:hAnsi="Arial"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1560CE" w:rsidRPr="007D4733">
        <w:rPr>
          <w:rFonts w:ascii="Arial" w:hAnsi="Arial" w:cs="Arial"/>
        </w:rPr>
        <w:t xml:space="preserve"> </w:t>
      </w:r>
      <w:r w:rsidRPr="007D4733">
        <w:rPr>
          <w:rFonts w:ascii="Arial" w:hAnsi="Arial" w:cs="Arial"/>
        </w:rPr>
        <w:t>(1)</w:t>
      </w:r>
    </w:p>
    <w:p w:rsidR="002C14B0" w:rsidRPr="007D4733" w:rsidRDefault="007D4733" w:rsidP="002C14B0">
      <w:pPr>
        <w:rPr>
          <w:rFonts w:ascii="Arial"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x+a</m:t>
                </m:r>
              </m:e>
            </m:d>
          </m:e>
          <m:sup>
            <m:r>
              <w:rPr>
                <w:rFonts w:ascii="Cambria Math" w:hAnsi="Cambria Math" w:cs="Arial"/>
              </w:rPr>
              <m:t>n</m:t>
            </m:r>
          </m:sup>
        </m:sSup>
        <m:r>
          <w:rPr>
            <w:rFonts w:ascii="Cambria Math" w:eastAsia="Cambria Math" w:hAnsi="Cambria Math" w:cs="Arial"/>
          </w:rPr>
          <m:t>=</m:t>
        </m:r>
        <m:nary>
          <m:naryPr>
            <m:chr m:val="∑"/>
            <m:grow m:val="1"/>
            <m:ctrlPr>
              <w:rPr>
                <w:rFonts w:ascii="Cambria Math" w:hAnsi="Cambria Math" w:cs="Arial"/>
              </w:rPr>
            </m:ctrlPr>
          </m:naryPr>
          <m:sub>
            <m:r>
              <w:rPr>
                <w:rFonts w:ascii="Cambria Math" w:eastAsia="Cambria Math" w:hAnsi="Cambria Math" w:cs="Arial"/>
              </w:rPr>
              <m:t>k=0</m:t>
            </m:r>
          </m:sub>
          <m:sup>
            <m:r>
              <w:rPr>
                <w:rFonts w:ascii="Cambria Math" w:eastAsia="Cambria Math" w:hAnsi="Cambria Math" w:cs="Arial"/>
              </w:rPr>
              <m:t>n</m:t>
            </m:r>
          </m:sup>
          <m:e>
            <m:d>
              <m:dPr>
                <m:ctrlPr>
                  <w:rPr>
                    <w:rFonts w:ascii="Cambria Math" w:hAnsi="Cambria Math" w:cs="Arial"/>
                  </w:rPr>
                </m:ctrlPr>
              </m:dPr>
              <m:e>
                <m:f>
                  <m:fPr>
                    <m:type m:val="noBar"/>
                    <m:ctrlPr>
                      <w:rPr>
                        <w:rFonts w:ascii="Cambria Math" w:hAnsi="Cambria Math" w:cs="Arial"/>
                      </w:rPr>
                    </m:ctrlPr>
                  </m:fPr>
                  <m:num>
                    <m:r>
                      <w:rPr>
                        <w:rFonts w:ascii="Cambria Math" w:eastAsia="Cambria Math" w:hAnsi="Cambria Math" w:cs="Arial"/>
                      </w:rPr>
                      <m:t>n</m:t>
                    </m:r>
                  </m:num>
                  <m:den>
                    <m:r>
                      <w:rPr>
                        <w:rFonts w:ascii="Cambria Math" w:eastAsia="Cambria Math" w:hAnsi="Cambria Math" w:cs="Arial"/>
                      </w:rPr>
                      <m:t>k</m:t>
                    </m:r>
                  </m:den>
                </m:f>
              </m:e>
            </m:d>
            <m:sSup>
              <m:sSupPr>
                <m:ctrlPr>
                  <w:rPr>
                    <w:rFonts w:ascii="Cambria Math" w:hAnsi="Cambria Math" w:cs="Arial"/>
                  </w:rPr>
                </m:ctrlPr>
              </m:sSupPr>
              <m:e>
                <m:r>
                  <w:rPr>
                    <w:rFonts w:ascii="Cambria Math" w:eastAsia="Cambria Math" w:hAnsi="Cambria Math" w:cs="Arial"/>
                  </w:rPr>
                  <m:t>x</m:t>
                </m:r>
              </m:e>
              <m:sup>
                <m:r>
                  <w:rPr>
                    <w:rFonts w:ascii="Cambria Math" w:eastAsia="Cambria Math" w:hAnsi="Cambria Math" w:cs="Arial"/>
                  </w:rPr>
                  <m:t>k</m:t>
                </m:r>
              </m:sup>
            </m:sSup>
            <m:sSup>
              <m:sSupPr>
                <m:ctrlPr>
                  <w:rPr>
                    <w:rFonts w:ascii="Cambria Math" w:hAnsi="Cambria Math" w:cs="Arial"/>
                  </w:rPr>
                </m:ctrlPr>
              </m:sSupPr>
              <m:e>
                <m:r>
                  <w:rPr>
                    <w:rFonts w:ascii="Cambria Math" w:eastAsia="Cambria Math" w:hAnsi="Cambria Math" w:cs="Arial"/>
                  </w:rPr>
                  <m:t>a</m:t>
                </m:r>
              </m:e>
              <m:sup>
                <m:r>
                  <w:rPr>
                    <w:rFonts w:ascii="Cambria Math" w:eastAsia="Cambria Math" w:hAnsi="Cambria Math" w:cs="Arial"/>
                  </w:rPr>
                  <m:t>n-k</m:t>
                </m:r>
              </m:sup>
            </m:sSup>
          </m:e>
        </m:nary>
      </m:oMath>
      <w:r w:rsidR="002C14B0" w:rsidRPr="007D4733">
        <w:rPr>
          <w:rFonts w:ascii="Arial" w:hAnsi="Arial" w:cs="Arial"/>
        </w:rPr>
        <w:t xml:space="preserve"> </w:t>
      </w:r>
      <w:r w:rsidR="001560CE" w:rsidRPr="007D4733">
        <w:rPr>
          <w:rFonts w:ascii="Arial" w:hAnsi="Arial" w:cs="Arial"/>
        </w:rPr>
        <w:t xml:space="preserve"> </w:t>
      </w:r>
      <w:r w:rsidR="002C14B0" w:rsidRPr="007D4733">
        <w:rPr>
          <w:rFonts w:ascii="Arial" w:hAnsi="Arial" w:cs="Arial"/>
        </w:rPr>
        <w:t>(2)</w:t>
      </w:r>
    </w:p>
    <w:p w:rsidR="002C14B0" w:rsidRPr="007D4733" w:rsidRDefault="007D4733" w:rsidP="002C14B0">
      <w:pPr>
        <w:rPr>
          <w:rFonts w:ascii="Arial"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1+x</m:t>
                </m:r>
              </m:e>
            </m:d>
          </m:e>
          <m:sup>
            <m:r>
              <w:rPr>
                <w:rFonts w:ascii="Cambria Math" w:hAnsi="Cambria Math" w:cs="Arial"/>
              </w:rPr>
              <m:t>n</m:t>
            </m:r>
          </m:sup>
        </m:sSup>
        <m:r>
          <w:rPr>
            <w:rFonts w:ascii="Cambria Math" w:hAnsi="Cambria Math" w:cs="Arial"/>
          </w:rPr>
          <m:t>=1+</m:t>
        </m:r>
        <m:f>
          <m:fPr>
            <m:ctrlPr>
              <w:rPr>
                <w:rFonts w:ascii="Cambria Math" w:hAnsi="Cambria Math" w:cs="Arial"/>
              </w:rPr>
            </m:ctrlPr>
          </m:fPr>
          <m:num>
            <m:r>
              <w:rPr>
                <w:rFonts w:ascii="Cambria Math" w:hAnsi="Cambria Math" w:cs="Arial"/>
              </w:rPr>
              <m:t>nx</m:t>
            </m:r>
          </m:num>
          <m:den>
            <m:r>
              <w:rPr>
                <w:rFonts w:ascii="Cambria Math" w:hAnsi="Cambria Math" w:cs="Arial"/>
              </w:rPr>
              <m:t>1!</m:t>
            </m:r>
          </m:den>
        </m:f>
        <m:r>
          <w:rPr>
            <w:rFonts w:ascii="Cambria Math" w:hAnsi="Cambria Math" w:cs="Arial"/>
          </w:rPr>
          <m:t>+</m:t>
        </m:r>
        <m:f>
          <m:fPr>
            <m:ctrlPr>
              <w:rPr>
                <w:rFonts w:ascii="Cambria Math" w:hAnsi="Cambria Math" w:cs="Arial"/>
              </w:rPr>
            </m:ctrlPr>
          </m:fPr>
          <m:num>
            <m:r>
              <w:rPr>
                <w:rFonts w:ascii="Cambria Math" w:hAnsi="Cambria Math" w:cs="Arial"/>
              </w:rPr>
              <m:t>n</m:t>
            </m:r>
            <m:d>
              <m:dPr>
                <m:ctrlPr>
                  <w:rPr>
                    <w:rFonts w:ascii="Cambria Math" w:hAnsi="Cambria Math" w:cs="Arial"/>
                  </w:rPr>
                </m:ctrlPr>
              </m:dPr>
              <m:e>
                <m:r>
                  <w:rPr>
                    <w:rFonts w:ascii="Cambria Math" w:hAnsi="Cambria Math" w:cs="Arial"/>
                  </w:rPr>
                  <m:t>n-1</m:t>
                </m:r>
              </m:e>
            </m:d>
            <m:sSup>
              <m:sSupPr>
                <m:ctrlPr>
                  <w:rPr>
                    <w:rFonts w:ascii="Cambria Math" w:hAnsi="Cambria Math" w:cs="Arial"/>
                  </w:rPr>
                </m:ctrlPr>
              </m:sSupPr>
              <m:e>
                <m:r>
                  <w:rPr>
                    <w:rFonts w:ascii="Cambria Math" w:hAnsi="Cambria Math" w:cs="Arial"/>
                  </w:rPr>
                  <m:t>x</m:t>
                </m:r>
              </m:e>
              <m:sup>
                <m:r>
                  <w:rPr>
                    <w:rFonts w:ascii="Cambria Math" w:hAnsi="Cambria Math" w:cs="Arial"/>
                  </w:rPr>
                  <m:t>2</m:t>
                </m:r>
              </m:sup>
            </m:sSup>
          </m:num>
          <m:den>
            <m:r>
              <w:rPr>
                <w:rFonts w:ascii="Cambria Math" w:hAnsi="Cambria Math" w:cs="Arial"/>
              </w:rPr>
              <m:t>2!</m:t>
            </m:r>
          </m:den>
        </m:f>
        <m:r>
          <w:rPr>
            <w:rFonts w:ascii="Cambria Math" w:hAnsi="Cambria Math" w:cs="Arial"/>
          </w:rPr>
          <m:t>+…</m:t>
        </m:r>
      </m:oMath>
      <w:r w:rsidR="001560CE" w:rsidRPr="007D4733">
        <w:rPr>
          <w:rFonts w:ascii="Arial" w:hAnsi="Arial" w:cs="Arial"/>
        </w:rPr>
        <w:t xml:space="preserve"> </w:t>
      </w:r>
      <w:r w:rsidR="002C14B0" w:rsidRPr="007D4733">
        <w:rPr>
          <w:rFonts w:ascii="Arial" w:hAnsi="Arial" w:cs="Arial"/>
        </w:rPr>
        <w:t>(3)</w:t>
      </w:r>
    </w:p>
    <w:p w:rsidR="002C14B0" w:rsidRPr="007D4733" w:rsidRDefault="007D4733" w:rsidP="002C14B0">
      <w:pPr>
        <w:rPr>
          <w:rFonts w:ascii="Arial" w:hAnsi="Arial" w:cs="Arial"/>
        </w:rPr>
      </w:pPr>
      <m:oMath>
        <m:sSup>
          <m:sSupPr>
            <m:ctrlPr>
              <w:rPr>
                <w:rFonts w:ascii="Cambria Math" w:hAnsi="Cambria Math" w:cs="Arial"/>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b</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c</m:t>
            </m:r>
          </m:e>
          <m:sup>
            <m:r>
              <w:rPr>
                <w:rFonts w:ascii="Cambria Math" w:hAnsi="Cambria Math" w:cs="Arial"/>
              </w:rPr>
              <m:t>2</m:t>
            </m:r>
          </m:sup>
        </m:sSup>
      </m:oMath>
      <w:r w:rsidR="001560CE" w:rsidRPr="007D4733">
        <w:rPr>
          <w:rFonts w:ascii="Arial" w:hAnsi="Arial" w:cs="Arial"/>
        </w:rPr>
        <w:t xml:space="preserve"> </w:t>
      </w:r>
      <w:r w:rsidR="002C14B0" w:rsidRPr="007D4733">
        <w:rPr>
          <w:rFonts w:ascii="Arial" w:hAnsi="Arial" w:cs="Arial"/>
        </w:rPr>
        <w:t>(4)</w:t>
      </w:r>
    </w:p>
    <w:p w:rsidR="002C14B0" w:rsidRPr="007D4733" w:rsidRDefault="007D4733" w:rsidP="002C14B0">
      <w:pPr>
        <w:rPr>
          <w:rFonts w:ascii="Arial" w:hAnsi="Arial" w:cs="Arial"/>
        </w:rPr>
      </w:pPr>
      <m:oMath>
        <m:func>
          <m:funcPr>
            <m:ctrlPr>
              <w:rPr>
                <w:rFonts w:ascii="Cambria Math" w:hAnsi="Cambria Math" w:cs="Arial"/>
              </w:rPr>
            </m:ctrlPr>
          </m:funcPr>
          <m:fName>
            <m:r>
              <m:rPr>
                <m:sty m:val="p"/>
              </m:rPr>
              <w:rPr>
                <w:rFonts w:ascii="Cambria Math" w:hAnsi="Cambria Math" w:cs="Arial"/>
              </w:rPr>
              <m:t>sin</m:t>
            </m:r>
          </m:fName>
          <m:e>
            <m:r>
              <w:rPr>
                <w:rFonts w:ascii="Cambria Math" w:eastAsia="Cambria Math" w:hAnsi="Cambria Math" w:cs="Arial"/>
              </w:rPr>
              <m:t>α</m:t>
            </m:r>
          </m:e>
        </m:func>
        <m:r>
          <w:rPr>
            <w:rFonts w:ascii="Cambria Math" w:eastAsia="Cambria Math" w:hAnsi="Cambria Math" w:cs="Arial"/>
          </w:rPr>
          <m:t>±</m:t>
        </m:r>
        <m:func>
          <m:funcPr>
            <m:ctrlPr>
              <w:rPr>
                <w:rFonts w:ascii="Cambria Math" w:hAnsi="Cambria Math" w:cs="Arial"/>
              </w:rPr>
            </m:ctrlPr>
          </m:funcPr>
          <m:fName>
            <m:r>
              <m:rPr>
                <m:sty m:val="p"/>
              </m:rPr>
              <w:rPr>
                <w:rFonts w:ascii="Cambria Math" w:eastAsia="Cambria Math" w:hAnsi="Cambria Math" w:cs="Arial"/>
              </w:rPr>
              <m:t>sin</m:t>
            </m:r>
          </m:fName>
          <m:e>
            <m:r>
              <w:rPr>
                <w:rFonts w:ascii="Cambria Math" w:eastAsia="Cambria Math" w:hAnsi="Cambria Math" w:cs="Arial"/>
              </w:rPr>
              <m:t>β</m:t>
            </m:r>
          </m:e>
        </m:func>
        <m:r>
          <w:rPr>
            <w:rFonts w:ascii="Cambria Math" w:eastAsia="Cambria Math" w:hAnsi="Cambria Math" w:cs="Arial"/>
          </w:rPr>
          <m:t>=2</m:t>
        </m:r>
        <m:func>
          <m:funcPr>
            <m:ctrlPr>
              <w:rPr>
                <w:rFonts w:ascii="Cambria Math" w:hAnsi="Cambria Math" w:cs="Arial"/>
              </w:rPr>
            </m:ctrlPr>
          </m:funcPr>
          <m:fName>
            <m:r>
              <m:rPr>
                <m:sty m:val="p"/>
              </m:rPr>
              <w:rPr>
                <w:rFonts w:ascii="Cambria Math" w:eastAsia="Cambria Math" w:hAnsi="Cambria Math" w:cs="Arial"/>
              </w:rPr>
              <m:t>sin</m:t>
            </m:r>
          </m:fName>
          <m:e>
            <m:f>
              <m:fPr>
                <m:ctrlPr>
                  <w:rPr>
                    <w:rFonts w:ascii="Cambria Math" w:hAnsi="Cambria Math" w:cs="Arial"/>
                  </w:rPr>
                </m:ctrlPr>
              </m:fPr>
              <m:num>
                <m:r>
                  <w:rPr>
                    <w:rFonts w:ascii="Cambria Math" w:eastAsia="Cambria Math" w:hAnsi="Cambria Math" w:cs="Arial"/>
                  </w:rPr>
                  <m:t>1</m:t>
                </m:r>
              </m:num>
              <m:den>
                <m:r>
                  <w:rPr>
                    <w:rFonts w:ascii="Cambria Math" w:eastAsia="Cambria Math" w:hAnsi="Cambria Math" w:cs="Arial"/>
                  </w:rPr>
                  <m:t>2</m:t>
                </m:r>
              </m:den>
            </m:f>
            <m:d>
              <m:dPr>
                <m:ctrlPr>
                  <w:rPr>
                    <w:rFonts w:ascii="Cambria Math" w:hAnsi="Cambria Math" w:cs="Arial"/>
                  </w:rPr>
                </m:ctrlPr>
              </m:dPr>
              <m:e>
                <m:r>
                  <w:rPr>
                    <w:rFonts w:ascii="Cambria Math" w:eastAsia="Cambria Math" w:hAnsi="Cambria Math" w:cs="Arial"/>
                  </w:rPr>
                  <m:t>α±β</m:t>
                </m:r>
              </m:e>
            </m:d>
          </m:e>
        </m:func>
        <m:func>
          <m:funcPr>
            <m:ctrlPr>
              <w:rPr>
                <w:rFonts w:ascii="Cambria Math" w:hAnsi="Cambria Math" w:cs="Arial"/>
              </w:rPr>
            </m:ctrlPr>
          </m:funcPr>
          <m:fName>
            <m:r>
              <m:rPr>
                <m:sty m:val="p"/>
              </m:rPr>
              <w:rPr>
                <w:rFonts w:ascii="Cambria Math" w:eastAsia="Cambria Math" w:hAnsi="Cambria Math" w:cs="Arial"/>
              </w:rPr>
              <m:t>cos</m:t>
            </m:r>
          </m:fName>
          <m:e>
            <m:f>
              <m:fPr>
                <m:ctrlPr>
                  <w:rPr>
                    <w:rFonts w:ascii="Cambria Math" w:hAnsi="Cambria Math" w:cs="Arial"/>
                  </w:rPr>
                </m:ctrlPr>
              </m:fPr>
              <m:num>
                <m:r>
                  <w:rPr>
                    <w:rFonts w:ascii="Cambria Math" w:eastAsia="Cambria Math" w:hAnsi="Cambria Math" w:cs="Arial"/>
                  </w:rPr>
                  <m:t>1</m:t>
                </m:r>
              </m:num>
              <m:den>
                <m:r>
                  <w:rPr>
                    <w:rFonts w:ascii="Cambria Math" w:eastAsia="Cambria Math" w:hAnsi="Cambria Math" w:cs="Arial"/>
                  </w:rPr>
                  <m:t>2</m:t>
                </m:r>
              </m:den>
            </m:f>
            <m:d>
              <m:dPr>
                <m:ctrlPr>
                  <w:rPr>
                    <w:rFonts w:ascii="Cambria Math" w:hAnsi="Cambria Math" w:cs="Arial"/>
                  </w:rPr>
                </m:ctrlPr>
              </m:dPr>
              <m:e>
                <m:r>
                  <w:rPr>
                    <w:rFonts w:ascii="Cambria Math" w:eastAsia="Cambria Math" w:hAnsi="Cambria Math" w:cs="Arial"/>
                  </w:rPr>
                  <m:t>α∓β</m:t>
                </m:r>
              </m:e>
            </m:d>
          </m:e>
        </m:func>
      </m:oMath>
      <w:r w:rsidR="001560CE" w:rsidRPr="007D4733">
        <w:rPr>
          <w:rFonts w:ascii="Arial" w:hAnsi="Arial" w:cs="Arial"/>
        </w:rPr>
        <w:t xml:space="preserve"> </w:t>
      </w:r>
      <w:r w:rsidR="002C14B0" w:rsidRPr="007D4733">
        <w:rPr>
          <w:rFonts w:ascii="Arial" w:hAnsi="Arial" w:cs="Arial"/>
        </w:rPr>
        <w:t>(</w:t>
      </w:r>
      <w:r w:rsidR="00BD1F76" w:rsidRPr="007D4733">
        <w:rPr>
          <w:rFonts w:ascii="Arial" w:hAnsi="Arial" w:cs="Arial"/>
        </w:rPr>
        <w:t>5</w:t>
      </w:r>
      <w:r w:rsidR="002C14B0" w:rsidRPr="007D4733">
        <w:rPr>
          <w:rFonts w:ascii="Arial" w:hAnsi="Arial" w:cs="Arial"/>
        </w:rPr>
        <w:t>)</w:t>
      </w:r>
    </w:p>
    <w:p w:rsidR="002C14B0" w:rsidRPr="007D4733" w:rsidRDefault="002C14B0">
      <w:pPr>
        <w:spacing w:after="0" w:line="480" w:lineRule="auto"/>
        <w:ind w:firstLine="708"/>
        <w:jc w:val="both"/>
        <w:rPr>
          <w:rFonts w:ascii="Arial" w:hAnsi="Arial" w:cs="Arial"/>
          <w:lang w:val="en-US"/>
        </w:rPr>
      </w:pPr>
    </w:p>
    <w:p w:rsidR="002C14B0" w:rsidRPr="007D4733" w:rsidRDefault="002C14B0">
      <w:pPr>
        <w:spacing w:after="0" w:line="480" w:lineRule="auto"/>
        <w:ind w:firstLine="708"/>
        <w:jc w:val="both"/>
        <w:rPr>
          <w:rFonts w:ascii="Arial" w:hAnsi="Arial" w:cs="Arial"/>
          <w:lang w:val="en-US"/>
        </w:rPr>
      </w:pPr>
    </w:p>
    <w:p w:rsidR="00257BCA"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In this case, the enzyme </w:t>
      </w:r>
      <w:proofErr w:type="spellStart"/>
      <w:r w:rsidRPr="007D4733">
        <w:rPr>
          <w:rFonts w:ascii="Arial" w:hAnsi="Arial" w:cs="Arial"/>
          <w:lang w:val="en-US"/>
        </w:rPr>
        <w:t>NTPDase</w:t>
      </w:r>
      <w:proofErr w:type="spellEnd"/>
      <w:r w:rsidRPr="007D4733">
        <w:rPr>
          <w:rFonts w:ascii="Arial" w:hAnsi="Arial" w:cs="Arial"/>
          <w:lang w:val="en-US"/>
        </w:rPr>
        <w:t xml:space="preserve"> inhibits the platelet aggregation by the hydrolysis of ATP and ADP, as also through the formation of inhibitor of aggregation metabolite adenosine, as well as through the blocking the bind to von </w:t>
      </w:r>
      <w:proofErr w:type="spellStart"/>
      <w:r w:rsidRPr="007D4733">
        <w:rPr>
          <w:rFonts w:ascii="Arial" w:hAnsi="Arial" w:cs="Arial"/>
          <w:lang w:val="en-US"/>
        </w:rPr>
        <w:t>Willebrand</w:t>
      </w:r>
      <w:proofErr w:type="spellEnd"/>
      <w:r w:rsidRPr="007D4733">
        <w:rPr>
          <w:rFonts w:ascii="Arial" w:hAnsi="Arial" w:cs="Arial"/>
          <w:lang w:val="en-US"/>
        </w:rPr>
        <w:t xml:space="preserve"> Factor (</w:t>
      </w:r>
      <w:proofErr w:type="spellStart"/>
      <w:r w:rsidRPr="007D4733">
        <w:rPr>
          <w:rFonts w:ascii="Arial" w:hAnsi="Arial" w:cs="Arial"/>
          <w:lang w:val="en-US"/>
        </w:rPr>
        <w:t>vWF</w:t>
      </w:r>
      <w:proofErr w:type="spellEnd"/>
      <w:r w:rsidRPr="007D4733">
        <w:rPr>
          <w:rFonts w:ascii="Arial" w:hAnsi="Arial" w:cs="Arial"/>
          <w:lang w:val="en-US"/>
        </w:rPr>
        <w:t xml:space="preserve">), inhibiting the activation of platelet receptor complex glycoprotein (GP) </w:t>
      </w:r>
      <w:proofErr w:type="spellStart"/>
      <w:r w:rsidRPr="007D4733">
        <w:rPr>
          <w:rFonts w:ascii="Arial" w:hAnsi="Arial" w:cs="Arial"/>
          <w:lang w:val="en-US"/>
        </w:rPr>
        <w:t>Ib</w:t>
      </w:r>
      <w:proofErr w:type="spellEnd"/>
      <w:r w:rsidRPr="007D4733">
        <w:rPr>
          <w:rFonts w:ascii="Arial" w:hAnsi="Arial" w:cs="Arial"/>
          <w:lang w:val="en-US"/>
        </w:rPr>
        <w:t>-V-IX[</w:t>
      </w:r>
      <w:r w:rsidR="00C345C0" w:rsidRPr="007D4733">
        <w:rPr>
          <w:rFonts w:ascii="Arial" w:hAnsi="Arial" w:cs="Arial"/>
          <w:lang w:val="en-US"/>
        </w:rPr>
        <w:t>2</w:t>
      </w:r>
      <w:r w:rsidR="0082024C" w:rsidRPr="007D4733">
        <w:rPr>
          <w:rFonts w:ascii="Arial" w:hAnsi="Arial" w:cs="Arial"/>
          <w:lang w:val="en-US"/>
        </w:rPr>
        <w:t>8</w:t>
      </w:r>
      <w:r w:rsidRPr="007D4733">
        <w:rPr>
          <w:rFonts w:ascii="Arial" w:hAnsi="Arial" w:cs="Arial"/>
          <w:lang w:val="en-US"/>
        </w:rPr>
        <w:t xml:space="preserve">]. In according to this fact, the hydrolysis of tri and </w:t>
      </w:r>
      <w:proofErr w:type="spellStart"/>
      <w:r w:rsidRPr="007D4733">
        <w:rPr>
          <w:rFonts w:ascii="Arial" w:hAnsi="Arial" w:cs="Arial"/>
          <w:lang w:val="en-US"/>
        </w:rPr>
        <w:t>diphosphate</w:t>
      </w:r>
      <w:proofErr w:type="spellEnd"/>
      <w:r w:rsidRPr="007D4733">
        <w:rPr>
          <w:rFonts w:ascii="Arial" w:hAnsi="Arial" w:cs="Arial"/>
          <w:lang w:val="en-US"/>
        </w:rPr>
        <w:t xml:space="preserve"> nucleoside acts as the modulator the platelet responsiveness to the </w:t>
      </w:r>
      <w:proofErr w:type="spellStart"/>
      <w:r w:rsidRPr="007D4733">
        <w:rPr>
          <w:rFonts w:ascii="Arial" w:hAnsi="Arial" w:cs="Arial"/>
          <w:lang w:val="en-US"/>
        </w:rPr>
        <w:t>prothrombotic</w:t>
      </w:r>
      <w:proofErr w:type="spellEnd"/>
      <w:r w:rsidRPr="007D4733">
        <w:rPr>
          <w:rFonts w:ascii="Arial" w:hAnsi="Arial" w:cs="Arial"/>
          <w:lang w:val="en-US"/>
        </w:rPr>
        <w:t xml:space="preserve"> agonist ADP, thus the </w:t>
      </w:r>
      <w:proofErr w:type="spellStart"/>
      <w:r w:rsidRPr="007D4733">
        <w:rPr>
          <w:rFonts w:ascii="Arial" w:hAnsi="Arial" w:cs="Arial"/>
          <w:lang w:val="en-US"/>
        </w:rPr>
        <w:t>NTPDase</w:t>
      </w:r>
      <w:proofErr w:type="spellEnd"/>
      <w:r w:rsidRPr="007D4733">
        <w:rPr>
          <w:rFonts w:ascii="Arial" w:hAnsi="Arial" w:cs="Arial"/>
          <w:lang w:val="en-US"/>
        </w:rPr>
        <w:t xml:space="preserve"> activity can be used as a potential anti-</w:t>
      </w:r>
      <w:proofErr w:type="spellStart"/>
      <w:r w:rsidRPr="007D4733">
        <w:rPr>
          <w:rFonts w:ascii="Arial" w:hAnsi="Arial" w:cs="Arial"/>
          <w:lang w:val="en-US"/>
        </w:rPr>
        <w:t>aggregatory</w:t>
      </w:r>
      <w:proofErr w:type="spellEnd"/>
      <w:r w:rsidRPr="007D4733">
        <w:rPr>
          <w:rFonts w:ascii="Arial" w:hAnsi="Arial" w:cs="Arial"/>
          <w:lang w:val="en-US"/>
        </w:rPr>
        <w:t xml:space="preserve"> agent, preventing the</w:t>
      </w:r>
      <w:r w:rsidR="0082024C" w:rsidRPr="007D4733">
        <w:rPr>
          <w:rFonts w:ascii="Arial" w:hAnsi="Arial" w:cs="Arial"/>
          <w:lang w:val="en-US"/>
        </w:rPr>
        <w:t xml:space="preserve"> thrombotic lesions[29</w:t>
      </w:r>
      <w:r w:rsidR="00EE7A0D" w:rsidRPr="007D4733">
        <w:rPr>
          <w:rFonts w:ascii="Arial" w:hAnsi="Arial" w:cs="Arial"/>
          <w:lang w:val="en-US"/>
        </w:rPr>
        <w:t>,</w:t>
      </w:r>
      <w:r w:rsidR="0082024C" w:rsidRPr="007D4733">
        <w:rPr>
          <w:rFonts w:ascii="Arial" w:hAnsi="Arial" w:cs="Arial"/>
          <w:lang w:val="en-US"/>
        </w:rPr>
        <w:t>30</w:t>
      </w:r>
      <w:r w:rsidRPr="007D4733">
        <w:rPr>
          <w:rFonts w:ascii="Arial" w:hAnsi="Arial" w:cs="Arial"/>
          <w:lang w:val="en-US"/>
        </w:rPr>
        <w:t>]</w:t>
      </w:r>
      <w:r w:rsidR="00257BCA" w:rsidRPr="007D4733">
        <w:rPr>
          <w:rFonts w:ascii="Arial" w:hAnsi="Arial" w:cs="Arial"/>
          <w:lang w:val="en-US"/>
        </w:rPr>
        <w:t xml:space="preserve"> STRUCT-261</w:t>
      </w:r>
      <w:r w:rsidRPr="007D4733">
        <w:rPr>
          <w:rFonts w:ascii="Arial" w:hAnsi="Arial" w:cs="Arial"/>
          <w:lang w:val="en-US"/>
        </w:rPr>
        <w:t xml:space="preserve">. </w:t>
      </w:r>
      <w:r w:rsidR="00257BCA" w:rsidRPr="007D4733">
        <w:rPr>
          <w:rFonts w:ascii="Arial" w:hAnsi="Arial" w:cs="Arial"/>
          <w:lang w:val="en-US"/>
        </w:rPr>
        <w:br/>
      </w:r>
      <m:oMathPara>
        <m:oMath>
          <m:r>
            <w:rPr>
              <w:rFonts w:ascii="Cambria Math" w:hAnsi="Cambria Math" w:cs="Arial"/>
              <w:lang w:val="en-US"/>
            </w:rPr>
            <m:t>x</m:t>
          </m:r>
          <m:r>
            <m:rPr>
              <m:sty m:val="p"/>
            </m:rPr>
            <w:rPr>
              <w:rFonts w:ascii="Cambria Math" w:hAnsi="Cambria Math" w:cs="Arial"/>
              <w:lang w:val="en-US"/>
            </w:rPr>
            <m:t>=</m:t>
          </m:r>
          <m:f>
            <m:fPr>
              <m:ctrlPr>
                <w:rPr>
                  <w:rFonts w:ascii="Cambria Math" w:hAnsi="Cambria Math" w:cs="Arial"/>
                  <w:lang w:val="en-US"/>
                </w:rPr>
              </m:ctrlPr>
            </m:fPr>
            <m:num>
              <m:r>
                <m:rPr>
                  <m:sty m:val="p"/>
                </m:rPr>
                <w:rPr>
                  <w:rFonts w:ascii="Cambria Math" w:hAnsi="Cambria Math" w:cs="Arial"/>
                  <w:lang w:val="en-US"/>
                </w:rPr>
                <m:t>-</m:t>
              </m:r>
              <m:r>
                <w:rPr>
                  <w:rFonts w:ascii="Cambria Math" w:hAnsi="Cambria Math" w:cs="Arial"/>
                  <w:lang w:val="en-US"/>
                </w:rPr>
                <m:t>b</m:t>
              </m:r>
              <m:r>
                <m:rPr>
                  <m:sty m:val="p"/>
                </m:rPr>
                <w:rPr>
                  <w:rFonts w:ascii="Cambria Math" w:hAnsi="Cambria Math" w:cs="Arial"/>
                  <w:lang w:val="en-US"/>
                </w:rPr>
                <m:t>±</m:t>
              </m:r>
              <m:rad>
                <m:radPr>
                  <m:degHide m:val="1"/>
                  <m:ctrlPr>
                    <w:rPr>
                      <w:rFonts w:ascii="Cambria Math" w:hAnsi="Cambria Math" w:cs="Arial"/>
                      <w:lang w:val="en-US"/>
                    </w:rPr>
                  </m:ctrlPr>
                </m:radPr>
                <m:deg/>
                <m:e>
                  <m:sSup>
                    <m:sSupPr>
                      <m:ctrlPr>
                        <w:rPr>
                          <w:rFonts w:ascii="Cambria Math" w:hAnsi="Cambria Math" w:cs="Arial"/>
                          <w:lang w:val="en-US"/>
                        </w:rPr>
                      </m:ctrlPr>
                    </m:sSupPr>
                    <m:e>
                      <m:r>
                        <w:rPr>
                          <w:rFonts w:ascii="Cambria Math" w:hAnsi="Cambria Math" w:cs="Arial"/>
                          <w:lang w:val="en-US"/>
                        </w:rPr>
                        <m:t>b</m:t>
                      </m:r>
                    </m:e>
                    <m:sup>
                      <m:r>
                        <m:rPr>
                          <m:sty m:val="p"/>
                        </m:rPr>
                        <w:rPr>
                          <w:rFonts w:ascii="Cambria Math" w:hAnsi="Cambria Math" w:cs="Arial"/>
                          <w:lang w:val="en-US"/>
                        </w:rPr>
                        <m:t>2</m:t>
                      </m:r>
                    </m:sup>
                  </m:sSup>
                  <m:r>
                    <m:rPr>
                      <m:sty m:val="p"/>
                    </m:rPr>
                    <w:rPr>
                      <w:rFonts w:ascii="Cambria Math" w:hAnsi="Cambria Math" w:cs="Arial"/>
                      <w:lang w:val="en-US"/>
                    </w:rPr>
                    <m:t>-4</m:t>
                  </m:r>
                  <m:r>
                    <w:rPr>
                      <w:rFonts w:ascii="Cambria Math" w:hAnsi="Cambria Math" w:cs="Arial"/>
                      <w:lang w:val="en-US"/>
                    </w:rPr>
                    <m:t>ac</m:t>
                  </m:r>
                </m:e>
              </m:rad>
            </m:num>
            <m:den>
              <m:r>
                <m:rPr>
                  <m:sty m:val="p"/>
                </m:rPr>
                <w:rPr>
                  <w:rFonts w:ascii="Cambria Math" w:hAnsi="Cambria Math" w:cs="Arial"/>
                  <w:lang w:val="en-US"/>
                </w:rPr>
                <m:t>2</m:t>
              </m:r>
              <m:r>
                <w:rPr>
                  <w:rFonts w:ascii="Cambria Math" w:hAnsi="Cambria Math" w:cs="Arial"/>
                  <w:lang w:val="en-US"/>
                </w:rPr>
                <m:t>a</m:t>
              </m:r>
            </m:den>
          </m:f>
        </m:oMath>
      </m:oMathPara>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However, in this study we found an inhibition of </w:t>
      </w:r>
      <w:proofErr w:type="spellStart"/>
      <w:r w:rsidRPr="007D4733">
        <w:rPr>
          <w:rFonts w:ascii="Arial" w:hAnsi="Arial" w:cs="Arial"/>
          <w:lang w:val="en-US"/>
        </w:rPr>
        <w:t>NTPDase</w:t>
      </w:r>
      <w:proofErr w:type="spellEnd"/>
      <w:r w:rsidRPr="007D4733">
        <w:rPr>
          <w:rFonts w:ascii="Arial" w:hAnsi="Arial" w:cs="Arial"/>
          <w:lang w:val="en-US"/>
        </w:rPr>
        <w:t xml:space="preserve"> activity in platelets obtained from young rats after intake of high fat diets, resulting in a decreased in the ATP and ADP hydrolysis. Thus, the enhanced in the ADP levels elicit the platelet activation and the formation of thrombus. In addition, it’s known that the ATP levels are low in physiological conditions where promotes the homeostatic responses, so high extracellular ATP concentrations elicit the excessive activation of </w:t>
      </w:r>
      <w:proofErr w:type="spellStart"/>
      <w:r w:rsidRPr="007D4733">
        <w:rPr>
          <w:rFonts w:ascii="Arial" w:hAnsi="Arial" w:cs="Arial"/>
          <w:lang w:val="en-US"/>
        </w:rPr>
        <w:t>purinergic</w:t>
      </w:r>
      <w:proofErr w:type="spellEnd"/>
      <w:r w:rsidRPr="007D4733">
        <w:rPr>
          <w:rFonts w:ascii="Arial" w:hAnsi="Arial" w:cs="Arial"/>
          <w:lang w:val="en-US"/>
        </w:rPr>
        <w:t xml:space="preserve"> receptors in </w:t>
      </w:r>
      <w:r w:rsidR="0082024C" w:rsidRPr="007D4733">
        <w:rPr>
          <w:rFonts w:ascii="Arial" w:hAnsi="Arial" w:cs="Arial"/>
          <w:lang w:val="en-US"/>
        </w:rPr>
        <w:t xml:space="preserve">immune and non-immune </w:t>
      </w:r>
      <w:proofErr w:type="gramStart"/>
      <w:r w:rsidR="0082024C" w:rsidRPr="007D4733">
        <w:rPr>
          <w:rFonts w:ascii="Arial" w:hAnsi="Arial" w:cs="Arial"/>
          <w:lang w:val="en-US"/>
        </w:rPr>
        <w:t>cells[</w:t>
      </w:r>
      <w:proofErr w:type="gramEnd"/>
      <w:r w:rsidR="0082024C" w:rsidRPr="007D4733">
        <w:rPr>
          <w:rFonts w:ascii="Arial" w:hAnsi="Arial" w:cs="Arial"/>
          <w:lang w:val="en-US"/>
        </w:rPr>
        <w:t>5,31</w:t>
      </w:r>
      <w:r w:rsidRPr="007D4733">
        <w:rPr>
          <w:rFonts w:ascii="Arial" w:hAnsi="Arial" w:cs="Arial"/>
          <w:lang w:val="en-US"/>
        </w:rPr>
        <w:t xml:space="preserve">]. The high ATP levels active the cascade of events to production of </w:t>
      </w:r>
      <w:proofErr w:type="spellStart"/>
      <w:r w:rsidRPr="007D4733">
        <w:rPr>
          <w:rFonts w:ascii="Arial" w:hAnsi="Arial" w:cs="Arial"/>
          <w:lang w:val="en-US"/>
        </w:rPr>
        <w:t>proinflammatory</w:t>
      </w:r>
      <w:proofErr w:type="spellEnd"/>
      <w:r w:rsidRPr="007D4733">
        <w:rPr>
          <w:rFonts w:ascii="Arial" w:hAnsi="Arial" w:cs="Arial"/>
          <w:lang w:val="en-US"/>
        </w:rPr>
        <w:t xml:space="preserve"> mediators that induced the tissue damage and the secretion of immune cells promoting the chronic</w:t>
      </w:r>
      <w:r w:rsidR="005D05F2" w:rsidRPr="007D4733">
        <w:rPr>
          <w:rFonts w:ascii="Arial" w:hAnsi="Arial" w:cs="Arial"/>
          <w:lang w:val="en-US"/>
        </w:rPr>
        <w:t xml:space="preserve"> </w:t>
      </w:r>
      <w:r w:rsidR="00EB176B" w:rsidRPr="007D4733">
        <w:rPr>
          <w:rFonts w:ascii="Arial" w:hAnsi="Arial" w:cs="Arial"/>
        </w:rPr>
        <w:t>STRUCT</w:t>
      </w:r>
      <w:r w:rsidR="005D05F2" w:rsidRPr="007D4733">
        <w:rPr>
          <w:rFonts w:ascii="Arial" w:hAnsi="Arial" w:cs="Arial"/>
          <w:lang w:val="en-US"/>
        </w:rPr>
        <w:t>-</w:t>
      </w:r>
      <w:proofErr w:type="gramStart"/>
      <w:r w:rsidR="005D05F2" w:rsidRPr="007D4733">
        <w:rPr>
          <w:rFonts w:ascii="Arial" w:hAnsi="Arial" w:cs="Arial"/>
          <w:lang w:val="en-US"/>
        </w:rPr>
        <w:t xml:space="preserve">268 </w:t>
      </w:r>
      <w:r w:rsidRPr="007D4733">
        <w:rPr>
          <w:rFonts w:ascii="Arial" w:hAnsi="Arial" w:cs="Arial"/>
          <w:lang w:val="en-US"/>
        </w:rPr>
        <w:t xml:space="preserve"> inflammation</w:t>
      </w:r>
      <w:proofErr w:type="gramEnd"/>
      <w:r w:rsidRPr="007D4733">
        <w:rPr>
          <w:rFonts w:ascii="Arial" w:hAnsi="Arial" w:cs="Arial"/>
          <w:lang w:val="en-US"/>
        </w:rPr>
        <w:t xml:space="preserve">[5]. </w:t>
      </w:r>
    </w:p>
    <w:p w:rsidR="00257BCA" w:rsidRPr="007D4733" w:rsidRDefault="007D4733" w:rsidP="00257BCA">
      <w:pPr>
        <w:rPr>
          <w:rFonts w:ascii="Arial" w:hAnsi="Arial" w:cs="Arial"/>
          <w:sz w:val="20"/>
          <w:szCs w:val="20"/>
        </w:rPr>
      </w:pPr>
      <m:oMath>
        <m:sSup>
          <m:sSupPr>
            <m:ctrlPr>
              <w:rPr>
                <w:rFonts w:ascii="Cambria Math" w:hAnsi="Cambria Math" w:cs="Arial"/>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b</m:t>
            </m:r>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r>
              <w:rPr>
                <w:rFonts w:ascii="Cambria Math" w:hAnsi="Cambria Math" w:cs="Arial"/>
              </w:rPr>
              <m:t>c</m:t>
            </m:r>
          </m:e>
          <m:sup>
            <m:r>
              <w:rPr>
                <w:rFonts w:ascii="Cambria Math" w:hAnsi="Cambria Math" w:cs="Arial"/>
              </w:rPr>
              <m:t>2</m:t>
            </m:r>
          </m:sup>
        </m:sSup>
      </m:oMath>
      <w:r w:rsidR="00257BCA" w:rsidRPr="007D4733">
        <w:rPr>
          <w:rFonts w:ascii="Arial" w:hAnsi="Arial" w:cs="Arial"/>
        </w:rPr>
        <w:t xml:space="preserve"> </w:t>
      </w:r>
      <w:r w:rsidR="00257BCA" w:rsidRPr="007D4733">
        <w:rPr>
          <w:rFonts w:ascii="Arial" w:hAnsi="Arial" w:cs="Arial"/>
          <w:position w:val="-24"/>
        </w:rPr>
        <w:object w:dxaOrig="1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5.25pt" o:ole="">
            <v:imagedata r:id="rId11" o:title=""/>
          </v:shape>
          <o:OLEObject Type="Embed" ProgID="Equation.DSMT4" ShapeID="_x0000_i1025" DrawAspect="Content" ObjectID="_1602053803" r:id="rId12"/>
        </w:object>
      </w:r>
      <w:r w:rsidR="001560CE" w:rsidRPr="007D4733">
        <w:rPr>
          <w:rFonts w:ascii="Arial" w:hAnsi="Arial" w:cs="Arial"/>
        </w:rPr>
        <w:t xml:space="preserve"> </w:t>
      </w:r>
      <w:r w:rsidR="00257BCA" w:rsidRPr="007D4733">
        <w:rPr>
          <w:rFonts w:ascii="Arial" w:hAnsi="Arial" w:cs="Arial"/>
        </w:rPr>
        <w:t>(</w:t>
      </w:r>
      <w:r w:rsidR="00BD1F76" w:rsidRPr="007D4733">
        <w:rPr>
          <w:rFonts w:ascii="Arial" w:hAnsi="Arial" w:cs="Arial"/>
        </w:rPr>
        <w:t>6</w:t>
      </w:r>
      <w:r w:rsidR="00257BCA" w:rsidRPr="007D4733">
        <w:rPr>
          <w:rFonts w:ascii="Arial" w:hAnsi="Arial" w:cs="Arial"/>
        </w:rPr>
        <w:t>)</w:t>
      </w:r>
    </w:p>
    <w:p w:rsidR="00257BCA" w:rsidRPr="007D4733" w:rsidRDefault="00257BCA">
      <w:pPr>
        <w:spacing w:after="0" w:line="480" w:lineRule="auto"/>
        <w:ind w:firstLine="708"/>
        <w:jc w:val="both"/>
        <w:rPr>
          <w:rFonts w:ascii="Arial" w:hAnsi="Arial" w:cs="Arial"/>
          <w:lang w:val="en-US"/>
        </w:rPr>
      </w:pPr>
    </w:p>
    <w:p w:rsidR="00FA06B2"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Additionally, the association between the </w:t>
      </w:r>
      <w:proofErr w:type="spellStart"/>
      <w:r w:rsidRPr="007D4733">
        <w:rPr>
          <w:rFonts w:ascii="Arial" w:hAnsi="Arial" w:cs="Arial"/>
          <w:lang w:val="en-US"/>
        </w:rPr>
        <w:t>NTPDase</w:t>
      </w:r>
      <w:proofErr w:type="spellEnd"/>
      <w:r w:rsidRPr="007D4733">
        <w:rPr>
          <w:rFonts w:ascii="Arial" w:hAnsi="Arial" w:cs="Arial"/>
          <w:lang w:val="en-US"/>
        </w:rPr>
        <w:t xml:space="preserve"> inhibition with the enhanced in the cholesterol, LDL-cholesterol and glucose levels, after the intake of fats diets can contributes to atheroma development</w:t>
      </w:r>
      <w:r w:rsidR="00FA06B2" w:rsidRPr="007D4733">
        <w:rPr>
          <w:rFonts w:ascii="Arial" w:hAnsi="Arial" w:cs="Arial"/>
          <w:lang w:val="en-US"/>
        </w:rPr>
        <w:t xml:space="preserve"> </w:t>
      </w:r>
      <w:r w:rsidR="00EB176B" w:rsidRPr="007D4733">
        <w:rPr>
          <w:rFonts w:ascii="Arial" w:hAnsi="Arial" w:cs="Arial"/>
        </w:rPr>
        <w:t>STRUCT</w:t>
      </w:r>
      <w:r w:rsidR="00FA06B2" w:rsidRPr="007D4733">
        <w:rPr>
          <w:rFonts w:ascii="Arial" w:hAnsi="Arial" w:cs="Arial"/>
          <w:lang w:val="en-US"/>
        </w:rPr>
        <w:t>-268</w:t>
      </w:r>
      <w:r w:rsidRPr="007D4733">
        <w:rPr>
          <w:rFonts w:ascii="Arial" w:hAnsi="Arial" w:cs="Arial"/>
          <w:lang w:val="en-US"/>
        </w:rPr>
        <w:t>.</w:t>
      </w:r>
    </w:p>
    <w:p w:rsidR="00FA06B2" w:rsidRPr="007D4733" w:rsidRDefault="00FA06B2" w:rsidP="00FA06B2">
      <w:pPr>
        <w:spacing w:after="0" w:line="480" w:lineRule="auto"/>
        <w:ind w:firstLine="708"/>
        <w:jc w:val="both"/>
        <w:rPr>
          <w:rFonts w:ascii="Arial" w:hAnsi="Arial" w:cs="Arial"/>
        </w:rPr>
      </w:pPr>
      <w:r w:rsidRPr="007D4733">
        <w:rPr>
          <w:rFonts w:ascii="Arial" w:hAnsi="Arial" w:cs="Arial"/>
          <w:position w:val="-8"/>
        </w:rPr>
        <w:object w:dxaOrig="920" w:dyaOrig="400">
          <v:shape id="_x0000_i1026" type="#_x0000_t75" style="width:45.75pt;height:20.25pt" o:ole="">
            <v:imagedata r:id="rId13" o:title=""/>
          </v:shape>
          <o:OLEObject Type="Embed" ProgID="Equation.DSMT4" ShapeID="_x0000_i1026" DrawAspect="Content" ObjectID="_1602053804" r:id="rId14"/>
        </w:object>
      </w:r>
      <w:r w:rsidRPr="007D4733">
        <w:rPr>
          <w:rFonts w:ascii="Arial" w:hAnsi="Arial" w:cs="Arial"/>
        </w:rPr>
        <w:t xml:space="preserve"> </w:t>
      </w:r>
      <w:r w:rsidRPr="007D4733">
        <w:rPr>
          <w:rFonts w:ascii="Arial" w:hAnsi="Arial" w:cs="Arial"/>
          <w:position w:val="-24"/>
        </w:rPr>
        <w:object w:dxaOrig="240" w:dyaOrig="620">
          <v:shape id="_x0000_i1027" type="#_x0000_t75" style="width:12pt;height:30.75pt" o:ole="">
            <v:imagedata r:id="rId15" o:title=""/>
          </v:shape>
          <o:OLEObject Type="Embed" ProgID="Equation.DSMT4" ShapeID="_x0000_i1027" DrawAspect="Content" ObjectID="_1602053805" r:id="rId16"/>
        </w:object>
      </w:r>
    </w:p>
    <w:p w:rsidR="00FA06B2" w:rsidRPr="007D4733" w:rsidRDefault="007D4733" w:rsidP="00FA06B2">
      <w:pPr>
        <w:spacing w:after="0" w:line="480" w:lineRule="auto"/>
        <w:ind w:firstLine="708"/>
        <w:jc w:val="both"/>
        <w:rPr>
          <w:rFonts w:ascii="Arial" w:hAnsi="Arial" w:cs="Arial"/>
          <w:lang w:val="en-US"/>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FA06B2" w:rsidRPr="007D4733">
        <w:rPr>
          <w:rFonts w:ascii="Arial" w:hAnsi="Arial" w:cs="Arial"/>
        </w:rPr>
        <w:t xml:space="preserve">  </w:t>
      </w:r>
      <m:oMath>
        <m:r>
          <w:rPr>
            <w:rFonts w:ascii="Cambria Math" w:hAnsi="Cambria Math" w:cs="Arial"/>
            <w:lang w:val="en-US"/>
          </w:rPr>
          <m:t>A=</m:t>
        </m:r>
        <m:f>
          <m:fPr>
            <m:ctrlPr>
              <w:rPr>
                <w:rFonts w:ascii="Cambria Math" w:hAnsi="Cambria Math" w:cs="Arial"/>
                <w:i/>
                <w:lang w:val="en-US"/>
              </w:rPr>
            </m:ctrlPr>
          </m:fPr>
          <m:num>
            <m:r>
              <w:rPr>
                <w:rFonts w:ascii="Cambria Math" w:hAnsi="Cambria Math" w:cs="Arial"/>
              </w:rPr>
              <m:t>π</m:t>
            </m:r>
          </m:num>
          <m:den>
            <m:r>
              <w:rPr>
                <w:rFonts w:ascii="Cambria Math" w:hAnsi="Cambria Math" w:cs="Arial"/>
              </w:rPr>
              <m:t>2</m:t>
            </m:r>
          </m:den>
        </m:f>
      </m:oMath>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The increase of plaque lesion reduces the vassal lumen interrupting the blood flow, which with the artery endothelium calcification associated to plaque progression can result in an eve</w:t>
      </w:r>
      <w:r w:rsidR="00C345C0" w:rsidRPr="007D4733">
        <w:rPr>
          <w:rFonts w:ascii="Arial" w:hAnsi="Arial" w:cs="Arial"/>
          <w:lang w:val="en-US"/>
        </w:rPr>
        <w:t xml:space="preserve">ntual rupture of the </w:t>
      </w:r>
      <w:proofErr w:type="gramStart"/>
      <w:r w:rsidR="00C345C0" w:rsidRPr="007D4733">
        <w:rPr>
          <w:rFonts w:ascii="Arial" w:hAnsi="Arial" w:cs="Arial"/>
          <w:lang w:val="en-US"/>
        </w:rPr>
        <w:t>vassal[</w:t>
      </w:r>
      <w:proofErr w:type="gramEnd"/>
      <w:r w:rsidR="00C345C0" w:rsidRPr="007D4733">
        <w:rPr>
          <w:rFonts w:ascii="Arial" w:hAnsi="Arial" w:cs="Arial"/>
          <w:lang w:val="en-US"/>
        </w:rPr>
        <w:t>4,3</w:t>
      </w:r>
      <w:r w:rsidR="0082024C" w:rsidRPr="007D4733">
        <w:rPr>
          <w:rFonts w:ascii="Arial" w:hAnsi="Arial" w:cs="Arial"/>
          <w:lang w:val="en-US"/>
        </w:rPr>
        <w:t>2</w:t>
      </w:r>
      <w:r w:rsidRPr="007D4733">
        <w:rPr>
          <w:rFonts w:ascii="Arial" w:hAnsi="Arial" w:cs="Arial"/>
          <w:lang w:val="en-US"/>
        </w:rPr>
        <w:t xml:space="preserve">]. Moreover, considering that the cholesterol is a predominant factor to promotion of atherosclerosis and is regulated by the high-density lipoprotein (HDL), responsible to remove the excess of cholesterol into the </w:t>
      </w:r>
      <w:proofErr w:type="gramStart"/>
      <w:r w:rsidRPr="007D4733">
        <w:rPr>
          <w:rFonts w:ascii="Arial" w:hAnsi="Arial" w:cs="Arial"/>
          <w:lang w:val="en-US"/>
        </w:rPr>
        <w:t>bloodstream[</w:t>
      </w:r>
      <w:proofErr w:type="gramEnd"/>
      <w:r w:rsidRPr="007D4733">
        <w:rPr>
          <w:rFonts w:ascii="Arial" w:hAnsi="Arial" w:cs="Arial"/>
          <w:lang w:val="en-US"/>
        </w:rPr>
        <w:t>5], we can suggest that the decrease of HDL levels after the long-term intake of high fat diets can accelerate the atherosclerosis.</w:t>
      </w:r>
    </w:p>
    <w:p w:rsidR="004C54E5" w:rsidRPr="007D4733" w:rsidRDefault="004C54E5" w:rsidP="004C54E5">
      <w:pPr>
        <w:ind w:firstLineChars="200" w:firstLine="440"/>
        <w:rPr>
          <w:rFonts w:ascii="Arial" w:hAnsi="Arial" w:cs="Arial"/>
          <w:szCs w:val="21"/>
        </w:rPr>
      </w:pPr>
      <w:r w:rsidRPr="007D4733">
        <w:rPr>
          <w:rFonts w:ascii="Arial" w:hAnsi="Arial" w:cs="Arial"/>
          <w:szCs w:val="21"/>
        </w:rPr>
        <w:t>The indentation hardness is calculated as STRUCT-258:</w:t>
      </w:r>
    </w:p>
    <w:p w:rsidR="004C54E5" w:rsidRPr="007D4733" w:rsidRDefault="004C54E5" w:rsidP="004C54E5">
      <w:pPr>
        <w:ind w:firstLineChars="200" w:firstLine="440"/>
        <w:jc w:val="right"/>
        <w:rPr>
          <w:rFonts w:ascii="Arial" w:hAnsi="Arial" w:cs="Arial"/>
        </w:rPr>
      </w:pPr>
      <m:oMath>
        <m:r>
          <w:rPr>
            <w:rFonts w:ascii="Cambria Math" w:eastAsia="SimSun" w:hAnsi="Cambria Math" w:cs="Arial"/>
            <w:szCs w:val="21"/>
          </w:rPr>
          <m:t>σ</m:t>
        </m:r>
        <m:r>
          <m:rPr>
            <m:sty m:val="p"/>
          </m:rPr>
          <w:rPr>
            <w:rFonts w:ascii="Cambria Math" w:eastAsia="SimSun" w:hAnsi="Cambria Math" w:cs="Arial"/>
            <w:szCs w:val="21"/>
          </w:rPr>
          <m:t>=</m:t>
        </m:r>
        <m:f>
          <m:fPr>
            <m:ctrlPr>
              <w:rPr>
                <w:rFonts w:ascii="Cambria Math" w:hAnsi="Cambria Math" w:cs="Arial"/>
                <w:color w:val="000000"/>
                <w:szCs w:val="21"/>
              </w:rPr>
            </m:ctrlPr>
          </m:fPr>
          <m:num>
            <m:r>
              <m:rPr>
                <m:sty m:val="p"/>
              </m:rPr>
              <w:rPr>
                <w:rFonts w:ascii="Cambria Math" w:hAnsi="Cambria Math" w:cs="Arial"/>
                <w:color w:val="000000"/>
                <w:szCs w:val="21"/>
              </w:rPr>
              <m:t xml:space="preserve"> </m:t>
            </m:r>
            <m:r>
              <w:rPr>
                <w:rFonts w:ascii="Cambria Math" w:hAnsi="Cambria Math" w:cs="Arial"/>
                <w:color w:val="000000"/>
                <w:szCs w:val="21"/>
              </w:rPr>
              <m:t>P</m:t>
            </m:r>
            <m:r>
              <m:rPr>
                <m:sty m:val="p"/>
              </m:rPr>
              <w:rPr>
                <w:rFonts w:ascii="Cambria Math" w:hAnsi="Cambria Math" w:cs="Arial"/>
                <w:color w:val="000000"/>
                <w:szCs w:val="21"/>
              </w:rPr>
              <m:t xml:space="preserve"> </m:t>
            </m:r>
          </m:num>
          <m:den>
            <m:r>
              <w:rPr>
                <w:rFonts w:ascii="Cambria Math" w:hAnsi="Cambria Math" w:cs="Arial"/>
                <w:color w:val="000000"/>
                <w:szCs w:val="21"/>
              </w:rPr>
              <m:t>S</m:t>
            </m:r>
          </m:den>
        </m:f>
      </m:oMath>
      <w:r w:rsidRPr="007D4733">
        <w:rPr>
          <w:rFonts w:ascii="Arial" w:hAnsi="Arial" w:cs="Arial"/>
          <w:color w:val="000000"/>
          <w:szCs w:val="21"/>
        </w:rPr>
        <w:t xml:space="preserve"> ,                                   (</w:t>
      </w:r>
      <w:r w:rsidR="00BD1F76" w:rsidRPr="007D4733">
        <w:rPr>
          <w:rFonts w:ascii="Arial" w:hAnsi="Arial" w:cs="Arial"/>
          <w:color w:val="000000"/>
          <w:szCs w:val="21"/>
        </w:rPr>
        <w:t>7</w:t>
      </w:r>
      <w:r w:rsidRPr="007D4733">
        <w:rPr>
          <w:rFonts w:ascii="Arial" w:hAnsi="Arial" w:cs="Arial"/>
          <w:color w:val="000000"/>
          <w:szCs w:val="21"/>
        </w:rPr>
        <w:t>)</w:t>
      </w:r>
    </w:p>
    <w:p w:rsidR="004C54E5" w:rsidRPr="007D4733" w:rsidRDefault="004C54E5" w:rsidP="004C54E5">
      <w:pPr>
        <w:spacing w:after="0" w:line="480" w:lineRule="auto"/>
        <w:ind w:firstLine="708"/>
        <w:jc w:val="both"/>
        <w:rPr>
          <w:rFonts w:ascii="Arial" w:hAnsi="Arial" w:cs="Arial"/>
          <w:lang w:val="en-US"/>
        </w:rPr>
      </w:pPr>
      <w:r w:rsidRPr="007D4733">
        <w:rPr>
          <w:rFonts w:ascii="Arial" w:hAnsi="Arial" w:cs="Arial"/>
        </w:rPr>
        <w:t xml:space="preserve">where </w:t>
      </w:r>
      <w:r w:rsidRPr="007D4733">
        <w:rPr>
          <w:rFonts w:ascii="Arial" w:hAnsi="Arial" w:cs="Arial"/>
          <w:i/>
        </w:rPr>
        <w:t>σ</w:t>
      </w:r>
      <w:r w:rsidRPr="007D4733">
        <w:rPr>
          <w:rFonts w:ascii="Arial" w:hAnsi="Arial" w:cs="Arial"/>
        </w:rPr>
        <w:t xml:space="preserve"> is indentation hardness when it is pressed into the depth of 3 mm (MPa, precision of 0.1 MPa); </w:t>
      </w:r>
      <w:r w:rsidRPr="007D4733">
        <w:rPr>
          <w:rFonts w:ascii="Arial" w:hAnsi="Arial" w:cs="Arial"/>
          <w:i/>
        </w:rPr>
        <w:t>P</w:t>
      </w:r>
      <w:r w:rsidRPr="007D4733">
        <w:rPr>
          <w:rFonts w:ascii="Arial" w:hAnsi="Arial" w:cs="Arial"/>
        </w:rPr>
        <w:t xml:space="preserve"> is the indentation load when it is pressed into the depth of 3 mm 3 mm</w:t>
      </w:r>
    </w:p>
    <w:p w:rsidR="00BD583D" w:rsidRPr="007D4733" w:rsidRDefault="00867955">
      <w:pPr>
        <w:spacing w:after="0" w:line="480" w:lineRule="auto"/>
        <w:ind w:firstLine="708"/>
        <w:jc w:val="both"/>
        <w:rPr>
          <w:rFonts w:ascii="Arial" w:hAnsi="Arial" w:cs="Arial"/>
          <w:lang w:val="en-US"/>
        </w:rPr>
      </w:pPr>
      <w:r w:rsidRPr="007D4733">
        <w:rPr>
          <w:rFonts w:ascii="Arial" w:hAnsi="Arial" w:cs="Arial"/>
          <w:lang w:val="en-US"/>
        </w:rPr>
        <w:t xml:space="preserve">Given that the </w:t>
      </w:r>
      <w:proofErr w:type="spellStart"/>
      <w:r w:rsidRPr="007D4733">
        <w:rPr>
          <w:rFonts w:ascii="Arial" w:hAnsi="Arial" w:cs="Arial"/>
          <w:lang w:val="en-US"/>
        </w:rPr>
        <w:t>ACh</w:t>
      </w:r>
      <w:proofErr w:type="spellEnd"/>
      <w:r w:rsidRPr="007D4733">
        <w:rPr>
          <w:rFonts w:ascii="Arial" w:hAnsi="Arial" w:cs="Arial"/>
          <w:lang w:val="en-US"/>
        </w:rPr>
        <w:t xml:space="preserve"> has a recognized role as an anti-inflammatory molecule, responsible to inhibit the inflammatory process through the reduction of the lymphocyte proliferation and pro-in</w:t>
      </w:r>
      <w:r w:rsidR="00EE7A0D" w:rsidRPr="007D4733">
        <w:rPr>
          <w:rFonts w:ascii="Arial" w:hAnsi="Arial" w:cs="Arial"/>
          <w:lang w:val="en-US"/>
        </w:rPr>
        <w:t>flammatory cytokine</w:t>
      </w:r>
      <w:r w:rsidR="0082024C" w:rsidRPr="007D4733">
        <w:rPr>
          <w:rFonts w:ascii="Arial" w:hAnsi="Arial" w:cs="Arial"/>
          <w:lang w:val="en-US"/>
        </w:rPr>
        <w:t xml:space="preserve"> </w:t>
      </w:r>
      <w:proofErr w:type="gramStart"/>
      <w:r w:rsidR="0082024C" w:rsidRPr="007D4733">
        <w:rPr>
          <w:rFonts w:ascii="Arial" w:hAnsi="Arial" w:cs="Arial"/>
          <w:lang w:val="en-US"/>
        </w:rPr>
        <w:t>secretion[</w:t>
      </w:r>
      <w:proofErr w:type="gramEnd"/>
      <w:r w:rsidR="0082024C" w:rsidRPr="007D4733">
        <w:rPr>
          <w:rFonts w:ascii="Arial" w:hAnsi="Arial" w:cs="Arial"/>
          <w:lang w:val="en-US"/>
        </w:rPr>
        <w:t>33</w:t>
      </w:r>
      <w:r w:rsidR="00EE7A0D" w:rsidRPr="007D4733">
        <w:rPr>
          <w:rFonts w:ascii="Arial" w:hAnsi="Arial" w:cs="Arial"/>
          <w:lang w:val="en-US"/>
        </w:rPr>
        <w:t>,3</w:t>
      </w:r>
      <w:r w:rsidR="0082024C" w:rsidRPr="007D4733">
        <w:rPr>
          <w:rFonts w:ascii="Arial" w:hAnsi="Arial" w:cs="Arial"/>
          <w:lang w:val="en-US"/>
        </w:rPr>
        <w:t>4</w:t>
      </w:r>
      <w:r w:rsidRPr="007D4733">
        <w:rPr>
          <w:rFonts w:ascii="Arial" w:hAnsi="Arial" w:cs="Arial"/>
          <w:lang w:val="en-US"/>
        </w:rPr>
        <w:t xml:space="preserve">]. It became clear that the inhibition of </w:t>
      </w:r>
      <w:proofErr w:type="spellStart"/>
      <w:r w:rsidRPr="007D4733">
        <w:rPr>
          <w:rFonts w:ascii="Arial" w:hAnsi="Arial" w:cs="Arial"/>
          <w:lang w:val="en-US"/>
        </w:rPr>
        <w:t>AChE</w:t>
      </w:r>
      <w:proofErr w:type="spellEnd"/>
      <w:r w:rsidRPr="007D4733">
        <w:rPr>
          <w:rFonts w:ascii="Arial" w:hAnsi="Arial" w:cs="Arial"/>
          <w:lang w:val="en-US"/>
        </w:rPr>
        <w:t xml:space="preserve"> activity support an anti-inflammatory effect, in order to increase the </w:t>
      </w:r>
      <w:proofErr w:type="spellStart"/>
      <w:r w:rsidRPr="007D4733">
        <w:rPr>
          <w:rFonts w:ascii="Arial" w:hAnsi="Arial" w:cs="Arial"/>
          <w:lang w:val="en-US"/>
        </w:rPr>
        <w:t>ACh</w:t>
      </w:r>
      <w:proofErr w:type="spellEnd"/>
      <w:r w:rsidRPr="007D4733">
        <w:rPr>
          <w:rFonts w:ascii="Arial" w:hAnsi="Arial" w:cs="Arial"/>
          <w:lang w:val="en-US"/>
        </w:rPr>
        <w:t xml:space="preserve"> levels and minimizing the inflammatory response. In fact, the same mechanism was observed in the increase of adenosine levels obtained through the 5’-nucleotidase activity inhibition.</w:t>
      </w:r>
    </w:p>
    <w:p w:rsidR="00BD583D" w:rsidRPr="007D4733" w:rsidRDefault="00867955">
      <w:pPr>
        <w:spacing w:line="480" w:lineRule="auto"/>
        <w:ind w:firstLine="708"/>
        <w:jc w:val="both"/>
        <w:rPr>
          <w:rFonts w:ascii="Arial" w:hAnsi="Arial" w:cs="Arial"/>
          <w:b/>
          <w:lang w:val="en-US"/>
        </w:rPr>
      </w:pPr>
      <w:r w:rsidRPr="007D4733">
        <w:rPr>
          <w:rFonts w:ascii="Arial" w:hAnsi="Arial" w:cs="Arial"/>
          <w:lang w:val="en-US"/>
        </w:rPr>
        <w:t xml:space="preserve">There are therefore, support to the hypothesis that the high fat consumption elicit the aggregation promoting an inflammatory and </w:t>
      </w:r>
      <w:proofErr w:type="spellStart"/>
      <w:r w:rsidRPr="007D4733">
        <w:rPr>
          <w:rFonts w:ascii="Arial" w:hAnsi="Arial" w:cs="Arial"/>
          <w:lang w:val="en-US"/>
        </w:rPr>
        <w:t>prothrombogenic</w:t>
      </w:r>
      <w:proofErr w:type="spellEnd"/>
      <w:r w:rsidRPr="007D4733">
        <w:rPr>
          <w:rFonts w:ascii="Arial" w:hAnsi="Arial" w:cs="Arial"/>
          <w:lang w:val="en-US"/>
        </w:rPr>
        <w:t xml:space="preserve"> response, through the inhibition of </w:t>
      </w:r>
      <w:proofErr w:type="spellStart"/>
      <w:r w:rsidRPr="007D4733">
        <w:rPr>
          <w:rFonts w:ascii="Arial" w:hAnsi="Arial" w:cs="Arial"/>
          <w:lang w:val="en-US"/>
        </w:rPr>
        <w:t>NTPDase</w:t>
      </w:r>
      <w:proofErr w:type="spellEnd"/>
      <w:r w:rsidRPr="007D4733">
        <w:rPr>
          <w:rFonts w:ascii="Arial" w:hAnsi="Arial" w:cs="Arial"/>
          <w:lang w:val="en-US"/>
        </w:rPr>
        <w:t xml:space="preserve"> resulting to increase of extracellular ATP and ADP levels and high cholesterol levels. Additionally, the increase of </w:t>
      </w:r>
      <w:proofErr w:type="spellStart"/>
      <w:r w:rsidRPr="007D4733">
        <w:rPr>
          <w:rFonts w:ascii="Arial" w:hAnsi="Arial" w:cs="Arial"/>
          <w:lang w:val="en-US"/>
        </w:rPr>
        <w:t>ACh</w:t>
      </w:r>
      <w:proofErr w:type="spellEnd"/>
      <w:r w:rsidRPr="007D4733">
        <w:rPr>
          <w:rFonts w:ascii="Arial" w:hAnsi="Arial" w:cs="Arial"/>
          <w:lang w:val="en-US"/>
        </w:rPr>
        <w:t xml:space="preserve"> and adenosine levels can be interpreted as an overall protective effect against the inflammatory response and the establishment of atherosclerosis lesions. </w:t>
      </w:r>
      <w:r w:rsidR="008737E9" w:rsidRPr="007D4733">
        <w:rPr>
          <w:rFonts w:ascii="Arial" w:hAnsi="Arial" w:cs="Arial"/>
          <w:lang w:val="en-US"/>
        </w:rPr>
        <w:t xml:space="preserve">Taken together, these </w:t>
      </w:r>
      <w:r w:rsidR="008737E9" w:rsidRPr="007D4733">
        <w:rPr>
          <w:rFonts w:ascii="Arial" w:hAnsi="Arial" w:cs="Arial"/>
          <w:lang w:val="en-US"/>
        </w:rPr>
        <w:lastRenderedPageBreak/>
        <w:t xml:space="preserve">results demonstrated the potential use the both </w:t>
      </w:r>
      <w:proofErr w:type="spellStart"/>
      <w:r w:rsidR="008737E9" w:rsidRPr="007D4733">
        <w:rPr>
          <w:rFonts w:ascii="Arial" w:hAnsi="Arial" w:cs="Arial"/>
          <w:lang w:val="en-US"/>
        </w:rPr>
        <w:t>NTPDase</w:t>
      </w:r>
      <w:proofErr w:type="spellEnd"/>
      <w:r w:rsidR="008737E9" w:rsidRPr="007D4733">
        <w:rPr>
          <w:rFonts w:ascii="Arial" w:hAnsi="Arial" w:cs="Arial"/>
          <w:lang w:val="en-US"/>
        </w:rPr>
        <w:t xml:space="preserve"> and </w:t>
      </w:r>
      <w:proofErr w:type="spellStart"/>
      <w:r w:rsidR="008737E9" w:rsidRPr="007D4733">
        <w:rPr>
          <w:rFonts w:ascii="Arial" w:hAnsi="Arial" w:cs="Arial"/>
          <w:lang w:val="en-US"/>
        </w:rPr>
        <w:t>AChE</w:t>
      </w:r>
      <w:proofErr w:type="spellEnd"/>
      <w:r w:rsidR="008737E9" w:rsidRPr="007D4733">
        <w:rPr>
          <w:rFonts w:ascii="Arial" w:hAnsi="Arial" w:cs="Arial"/>
          <w:lang w:val="en-US"/>
        </w:rPr>
        <w:t xml:space="preserve">, as modulators of atherosclerosis, showing the </w:t>
      </w:r>
      <w:proofErr w:type="spellStart"/>
      <w:r w:rsidR="008737E9" w:rsidRPr="007D4733">
        <w:rPr>
          <w:rFonts w:ascii="Arial" w:hAnsi="Arial" w:cs="Arial"/>
          <w:lang w:val="en-US"/>
        </w:rPr>
        <w:t>neuroprotector</w:t>
      </w:r>
      <w:proofErr w:type="spellEnd"/>
      <w:r w:rsidR="008737E9" w:rsidRPr="007D4733">
        <w:rPr>
          <w:rFonts w:ascii="Arial" w:hAnsi="Arial" w:cs="Arial"/>
          <w:lang w:val="en-US"/>
        </w:rPr>
        <w:t xml:space="preserve"> role of these enzymes.</w:t>
      </w:r>
    </w:p>
    <w:p w:rsidR="00BD583D" w:rsidRPr="007D4733" w:rsidRDefault="00867955">
      <w:pPr>
        <w:spacing w:line="480" w:lineRule="auto"/>
        <w:jc w:val="both"/>
        <w:rPr>
          <w:rFonts w:ascii="Arial" w:hAnsi="Arial" w:cs="Arial"/>
          <w:b/>
          <w:lang w:val="en-US"/>
        </w:rPr>
      </w:pPr>
      <w:r w:rsidRPr="007D4733">
        <w:rPr>
          <w:rFonts w:ascii="Arial" w:hAnsi="Arial" w:cs="Arial"/>
          <w:b/>
          <w:lang w:val="en-US"/>
        </w:rPr>
        <w:t>6.0 References</w:t>
      </w:r>
    </w:p>
    <w:p w:rsidR="00BD583D" w:rsidRPr="007D4733" w:rsidRDefault="009807FB">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Grundy SM (2005)</w:t>
      </w:r>
      <w:r w:rsidR="00867955" w:rsidRPr="007D4733">
        <w:rPr>
          <w:rFonts w:ascii="Arial" w:hAnsi="Arial" w:cs="Arial"/>
          <w:lang w:val="en-US"/>
        </w:rPr>
        <w:t xml:space="preserve"> </w:t>
      </w:r>
      <w:proofErr w:type="gramStart"/>
      <w:r w:rsidR="00867955" w:rsidRPr="007D4733">
        <w:rPr>
          <w:rFonts w:ascii="Arial" w:hAnsi="Arial" w:cs="Arial"/>
          <w:lang w:val="en-US"/>
        </w:rPr>
        <w:t>A</w:t>
      </w:r>
      <w:proofErr w:type="gramEnd"/>
      <w:r w:rsidR="00867955" w:rsidRPr="007D4733">
        <w:rPr>
          <w:rFonts w:ascii="Arial" w:hAnsi="Arial" w:cs="Arial"/>
          <w:lang w:val="en-US"/>
        </w:rPr>
        <w:t xml:space="preserve"> constellation of complications: the metabolic syndrome. </w:t>
      </w:r>
      <w:proofErr w:type="spellStart"/>
      <w:r w:rsidR="00867955" w:rsidRPr="007D4733">
        <w:rPr>
          <w:rFonts w:ascii="Arial" w:hAnsi="Arial" w:cs="Arial"/>
          <w:lang w:val="en-US"/>
        </w:rPr>
        <w:t>Clin</w:t>
      </w:r>
      <w:proofErr w:type="spellEnd"/>
      <w:r w:rsidR="00867955" w:rsidRPr="007D4733">
        <w:rPr>
          <w:rFonts w:ascii="Arial" w:hAnsi="Arial" w:cs="Arial"/>
          <w:lang w:val="en-US"/>
        </w:rPr>
        <w:t xml:space="preserve">. </w:t>
      </w:r>
      <w:proofErr w:type="gramStart"/>
      <w:r w:rsidR="00867955" w:rsidRPr="007D4733">
        <w:rPr>
          <w:rFonts w:ascii="Arial" w:hAnsi="Arial" w:cs="Arial"/>
          <w:lang w:val="en-US"/>
        </w:rPr>
        <w:t>Cornerstone.,</w:t>
      </w:r>
      <w:proofErr w:type="gramEnd"/>
      <w:r w:rsidR="00867955" w:rsidRPr="007D4733">
        <w:rPr>
          <w:rFonts w:ascii="Arial" w:hAnsi="Arial" w:cs="Arial"/>
          <w:lang w:val="en-US"/>
        </w:rPr>
        <w:t xml:space="preserve"> 7, 36-45.</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Duarte</w:t>
      </w:r>
      <w:r w:rsidR="009807FB" w:rsidRPr="007D4733">
        <w:rPr>
          <w:rFonts w:ascii="Arial" w:hAnsi="Arial" w:cs="Arial"/>
          <w:lang w:val="en-US"/>
        </w:rPr>
        <w:t xml:space="preserve"> MMF, </w:t>
      </w:r>
      <w:proofErr w:type="spellStart"/>
      <w:r w:rsidRPr="007D4733">
        <w:rPr>
          <w:rFonts w:ascii="Arial" w:hAnsi="Arial" w:cs="Arial"/>
          <w:lang w:val="en-US"/>
        </w:rPr>
        <w:t>Loro</w:t>
      </w:r>
      <w:proofErr w:type="spellEnd"/>
      <w:r w:rsidR="009807FB" w:rsidRPr="007D4733">
        <w:rPr>
          <w:rFonts w:ascii="Arial" w:hAnsi="Arial" w:cs="Arial"/>
          <w:lang w:val="en-US"/>
        </w:rPr>
        <w:t xml:space="preserve"> VL</w:t>
      </w:r>
      <w:r w:rsidRPr="007D4733">
        <w:rPr>
          <w:rFonts w:ascii="Arial" w:hAnsi="Arial" w:cs="Arial"/>
          <w:lang w:val="en-US"/>
        </w:rPr>
        <w:t>, Rocha</w:t>
      </w:r>
      <w:r w:rsidR="009807FB" w:rsidRPr="007D4733">
        <w:rPr>
          <w:rFonts w:ascii="Arial" w:hAnsi="Arial" w:cs="Arial"/>
          <w:lang w:val="en-US"/>
        </w:rPr>
        <w:t xml:space="preserve"> JBT</w:t>
      </w:r>
      <w:r w:rsidRPr="007D4733">
        <w:rPr>
          <w:rFonts w:ascii="Arial" w:hAnsi="Arial" w:cs="Arial"/>
          <w:lang w:val="en-US"/>
        </w:rPr>
        <w:t>, Leal</w:t>
      </w:r>
      <w:r w:rsidR="009807FB" w:rsidRPr="007D4733">
        <w:rPr>
          <w:rFonts w:ascii="Arial" w:hAnsi="Arial" w:cs="Arial"/>
          <w:lang w:val="en-US"/>
        </w:rPr>
        <w:t xml:space="preserve"> DBR</w:t>
      </w:r>
      <w:r w:rsidRPr="007D4733">
        <w:rPr>
          <w:rFonts w:ascii="Arial" w:hAnsi="Arial" w:cs="Arial"/>
          <w:lang w:val="en-US"/>
        </w:rPr>
        <w:t xml:space="preserve">,  De </w:t>
      </w:r>
      <w:proofErr w:type="spellStart"/>
      <w:r w:rsidRPr="007D4733">
        <w:rPr>
          <w:rFonts w:ascii="Arial" w:hAnsi="Arial" w:cs="Arial"/>
          <w:lang w:val="en-US"/>
        </w:rPr>
        <w:t>Bem</w:t>
      </w:r>
      <w:proofErr w:type="spellEnd"/>
      <w:r w:rsidR="009807FB" w:rsidRPr="007D4733">
        <w:rPr>
          <w:rFonts w:ascii="Arial" w:hAnsi="Arial" w:cs="Arial"/>
          <w:lang w:val="en-US"/>
        </w:rPr>
        <w:t xml:space="preserve"> AF</w:t>
      </w:r>
      <w:r w:rsidRPr="007D4733">
        <w:rPr>
          <w:rFonts w:ascii="Arial" w:hAnsi="Arial" w:cs="Arial"/>
          <w:lang w:val="en-US"/>
        </w:rPr>
        <w:t xml:space="preserve">, </w:t>
      </w:r>
      <w:proofErr w:type="spellStart"/>
      <w:r w:rsidRPr="007D4733">
        <w:rPr>
          <w:rFonts w:ascii="Arial" w:hAnsi="Arial" w:cs="Arial"/>
          <w:lang w:val="en-US"/>
        </w:rPr>
        <w:t>Dorneles</w:t>
      </w:r>
      <w:proofErr w:type="spellEnd"/>
      <w:r w:rsidR="009807FB" w:rsidRPr="007D4733">
        <w:rPr>
          <w:rFonts w:ascii="Arial" w:hAnsi="Arial" w:cs="Arial"/>
          <w:lang w:val="en-US"/>
        </w:rPr>
        <w:t xml:space="preserve"> A</w:t>
      </w:r>
      <w:r w:rsidRPr="007D4733">
        <w:rPr>
          <w:rFonts w:ascii="Arial" w:hAnsi="Arial" w:cs="Arial"/>
          <w:lang w:val="en-US"/>
        </w:rPr>
        <w:t xml:space="preserve">, </w:t>
      </w:r>
      <w:proofErr w:type="spellStart"/>
      <w:r w:rsidRPr="007D4733">
        <w:rPr>
          <w:rFonts w:ascii="Arial" w:hAnsi="Arial" w:cs="Arial"/>
          <w:lang w:val="en-US"/>
        </w:rPr>
        <w:t>Morsch</w:t>
      </w:r>
      <w:proofErr w:type="spellEnd"/>
      <w:r w:rsidR="009807FB" w:rsidRPr="007D4733">
        <w:rPr>
          <w:rFonts w:ascii="Arial" w:hAnsi="Arial" w:cs="Arial"/>
          <w:lang w:val="en-US"/>
        </w:rPr>
        <w:t xml:space="preserve"> VM</w:t>
      </w:r>
      <w:r w:rsidRPr="007D4733">
        <w:rPr>
          <w:rFonts w:ascii="Arial" w:hAnsi="Arial" w:cs="Arial"/>
          <w:lang w:val="en-US"/>
        </w:rPr>
        <w:t xml:space="preserve">, </w:t>
      </w:r>
      <w:proofErr w:type="spellStart"/>
      <w:r w:rsidRPr="007D4733">
        <w:rPr>
          <w:rFonts w:ascii="Arial" w:hAnsi="Arial" w:cs="Arial"/>
          <w:lang w:val="en-US"/>
        </w:rPr>
        <w:t>Schetinger</w:t>
      </w:r>
      <w:proofErr w:type="spellEnd"/>
      <w:r w:rsidR="009807FB" w:rsidRPr="007D4733">
        <w:rPr>
          <w:rFonts w:ascii="Arial" w:hAnsi="Arial" w:cs="Arial"/>
          <w:lang w:val="en-US"/>
        </w:rPr>
        <w:t xml:space="preserve"> MRC (2007)</w:t>
      </w:r>
      <w:r w:rsidRPr="007D4733">
        <w:rPr>
          <w:rFonts w:ascii="Arial" w:hAnsi="Arial" w:cs="Arial"/>
          <w:lang w:val="en-US"/>
        </w:rPr>
        <w:t xml:space="preserve"> Enzymes that hydrolyze adenine nucleotide of patients with hypercholesterolemia and inflammatory process. FEBS J., 11, 2707-2714.</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Jamkhande</w:t>
      </w:r>
      <w:proofErr w:type="spellEnd"/>
      <w:r w:rsidR="00BA01FA" w:rsidRPr="007D4733">
        <w:rPr>
          <w:rFonts w:ascii="Arial" w:hAnsi="Arial" w:cs="Arial"/>
          <w:lang w:val="en-US"/>
        </w:rPr>
        <w:t xml:space="preserve"> PG</w:t>
      </w:r>
      <w:r w:rsidRPr="007D4733">
        <w:rPr>
          <w:rFonts w:ascii="Arial" w:hAnsi="Arial" w:cs="Arial"/>
          <w:lang w:val="en-US"/>
        </w:rPr>
        <w:t xml:space="preserve">, </w:t>
      </w:r>
      <w:proofErr w:type="spellStart"/>
      <w:r w:rsidRPr="007D4733">
        <w:rPr>
          <w:rFonts w:ascii="Arial" w:hAnsi="Arial" w:cs="Arial"/>
          <w:lang w:val="en-US"/>
        </w:rPr>
        <w:t>Chandak</w:t>
      </w:r>
      <w:proofErr w:type="spellEnd"/>
      <w:r w:rsidR="00BA01FA" w:rsidRPr="007D4733">
        <w:rPr>
          <w:rFonts w:ascii="Arial" w:hAnsi="Arial" w:cs="Arial"/>
          <w:lang w:val="en-US"/>
        </w:rPr>
        <w:t xml:space="preserve"> PG</w:t>
      </w:r>
      <w:r w:rsidRPr="007D4733">
        <w:rPr>
          <w:rFonts w:ascii="Arial" w:hAnsi="Arial" w:cs="Arial"/>
          <w:lang w:val="en-US"/>
        </w:rPr>
        <w:t xml:space="preserve">, </w:t>
      </w:r>
      <w:proofErr w:type="spellStart"/>
      <w:r w:rsidRPr="007D4733">
        <w:rPr>
          <w:rFonts w:ascii="Arial" w:hAnsi="Arial" w:cs="Arial"/>
          <w:lang w:val="en-US"/>
        </w:rPr>
        <w:t>Dhawale</w:t>
      </w:r>
      <w:proofErr w:type="spellEnd"/>
      <w:r w:rsidR="00BA01FA" w:rsidRPr="007D4733">
        <w:rPr>
          <w:rFonts w:ascii="Arial" w:hAnsi="Arial" w:cs="Arial"/>
          <w:lang w:val="en-US"/>
        </w:rPr>
        <w:t xml:space="preserve"> SC</w:t>
      </w:r>
      <w:r w:rsidRPr="007D4733">
        <w:rPr>
          <w:rFonts w:ascii="Arial" w:hAnsi="Arial" w:cs="Arial"/>
          <w:lang w:val="en-US"/>
        </w:rPr>
        <w:t xml:space="preserve">, </w:t>
      </w:r>
      <w:proofErr w:type="spellStart"/>
      <w:r w:rsidRPr="007D4733">
        <w:rPr>
          <w:rFonts w:ascii="Arial" w:hAnsi="Arial" w:cs="Arial"/>
          <w:lang w:val="en-US"/>
        </w:rPr>
        <w:t>Barde</w:t>
      </w:r>
      <w:proofErr w:type="spellEnd"/>
      <w:r w:rsidR="00BA01FA" w:rsidRPr="007D4733">
        <w:rPr>
          <w:rFonts w:ascii="Arial" w:hAnsi="Arial" w:cs="Arial"/>
          <w:lang w:val="en-US"/>
        </w:rPr>
        <w:t xml:space="preserve"> SR</w:t>
      </w:r>
      <w:r w:rsidRPr="007D4733">
        <w:rPr>
          <w:rFonts w:ascii="Arial" w:hAnsi="Arial" w:cs="Arial"/>
          <w:lang w:val="en-US"/>
        </w:rPr>
        <w:t xml:space="preserve">, </w:t>
      </w:r>
      <w:proofErr w:type="spellStart"/>
      <w:r w:rsidRPr="007D4733">
        <w:rPr>
          <w:rFonts w:ascii="Arial" w:hAnsi="Arial" w:cs="Arial"/>
          <w:lang w:val="en-US"/>
        </w:rPr>
        <w:t>Tidke</w:t>
      </w:r>
      <w:proofErr w:type="spellEnd"/>
      <w:r w:rsidR="00BA01FA" w:rsidRPr="007D4733">
        <w:rPr>
          <w:rFonts w:ascii="Arial" w:hAnsi="Arial" w:cs="Arial"/>
          <w:lang w:val="en-US"/>
        </w:rPr>
        <w:t xml:space="preserve"> PS</w:t>
      </w:r>
      <w:r w:rsidRPr="007D4733">
        <w:rPr>
          <w:rFonts w:ascii="Arial" w:hAnsi="Arial" w:cs="Arial"/>
          <w:lang w:val="en-US"/>
        </w:rPr>
        <w:t xml:space="preserve">, </w:t>
      </w:r>
      <w:proofErr w:type="spellStart"/>
      <w:r w:rsidRPr="007D4733">
        <w:rPr>
          <w:rFonts w:ascii="Arial" w:hAnsi="Arial" w:cs="Arial"/>
          <w:lang w:val="en-US"/>
        </w:rPr>
        <w:t>Sakhare</w:t>
      </w:r>
      <w:proofErr w:type="spellEnd"/>
      <w:r w:rsidR="00BA01FA" w:rsidRPr="007D4733">
        <w:rPr>
          <w:rFonts w:ascii="Arial" w:hAnsi="Arial" w:cs="Arial"/>
          <w:lang w:val="en-US"/>
        </w:rPr>
        <w:t xml:space="preserve"> RS (2014)</w:t>
      </w:r>
      <w:r w:rsidRPr="007D4733">
        <w:rPr>
          <w:rFonts w:ascii="Arial" w:hAnsi="Arial" w:cs="Arial"/>
          <w:lang w:val="en-US"/>
        </w:rPr>
        <w:t xml:space="preserve"> Therapeutic approaches to drug targets in atherosclerosis. Saudi Pharm. J., 22, 179-190.</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Hansson</w:t>
      </w:r>
      <w:r w:rsidR="00A01CE5" w:rsidRPr="007D4733">
        <w:rPr>
          <w:rFonts w:ascii="Arial" w:hAnsi="Arial" w:cs="Arial"/>
          <w:lang w:val="en-US"/>
        </w:rPr>
        <w:t xml:space="preserve"> GK</w:t>
      </w:r>
      <w:r w:rsidRPr="007D4733">
        <w:rPr>
          <w:rFonts w:ascii="Arial" w:hAnsi="Arial" w:cs="Arial"/>
          <w:lang w:val="en-US"/>
        </w:rPr>
        <w:t xml:space="preserve">, </w:t>
      </w:r>
      <w:proofErr w:type="spellStart"/>
      <w:r w:rsidRPr="007D4733">
        <w:rPr>
          <w:rFonts w:ascii="Arial" w:hAnsi="Arial" w:cs="Arial"/>
          <w:lang w:val="en-US"/>
        </w:rPr>
        <w:t>Hermansson</w:t>
      </w:r>
      <w:proofErr w:type="spellEnd"/>
      <w:r w:rsidR="00A01CE5" w:rsidRPr="007D4733">
        <w:rPr>
          <w:rFonts w:ascii="Arial" w:hAnsi="Arial" w:cs="Arial"/>
          <w:lang w:val="en-US"/>
        </w:rPr>
        <w:t xml:space="preserve"> A (2011)</w:t>
      </w:r>
      <w:r w:rsidRPr="007D4733">
        <w:rPr>
          <w:rFonts w:ascii="Arial" w:hAnsi="Arial" w:cs="Arial"/>
          <w:lang w:val="en-US"/>
        </w:rPr>
        <w:t xml:space="preserve"> </w:t>
      </w:r>
      <w:proofErr w:type="gramStart"/>
      <w:r w:rsidRPr="007D4733">
        <w:rPr>
          <w:rFonts w:ascii="Arial" w:hAnsi="Arial" w:cs="Arial"/>
          <w:lang w:val="en-US"/>
        </w:rPr>
        <w:t>The</w:t>
      </w:r>
      <w:proofErr w:type="gramEnd"/>
      <w:r w:rsidRPr="007D4733">
        <w:rPr>
          <w:rFonts w:ascii="Arial" w:hAnsi="Arial" w:cs="Arial"/>
          <w:lang w:val="en-US"/>
        </w:rPr>
        <w:t xml:space="preserve"> immune system in atherosclerosis. Nat. </w:t>
      </w:r>
      <w:proofErr w:type="spellStart"/>
      <w:r w:rsidRPr="007D4733">
        <w:rPr>
          <w:rFonts w:ascii="Arial" w:hAnsi="Arial" w:cs="Arial"/>
          <w:lang w:val="en-US"/>
        </w:rPr>
        <w:t>Immunol</w:t>
      </w:r>
      <w:proofErr w:type="spellEnd"/>
      <w:r w:rsidRPr="007D4733">
        <w:rPr>
          <w:rFonts w:ascii="Arial" w:hAnsi="Arial" w:cs="Arial"/>
          <w:lang w:val="en-US"/>
        </w:rPr>
        <w:t>., 12, 204-212.</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Ferrari</w:t>
      </w:r>
      <w:r w:rsidR="007811FB"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Vitiello</w:t>
      </w:r>
      <w:proofErr w:type="spellEnd"/>
      <w:r w:rsidR="007811FB" w:rsidRPr="007D4733">
        <w:rPr>
          <w:rFonts w:ascii="Arial" w:hAnsi="Arial" w:cs="Arial"/>
          <w:lang w:val="en-US"/>
        </w:rPr>
        <w:t xml:space="preserve"> L</w:t>
      </w:r>
      <w:r w:rsidRPr="007D4733">
        <w:rPr>
          <w:rFonts w:ascii="Arial" w:hAnsi="Arial" w:cs="Arial"/>
          <w:lang w:val="en-US"/>
        </w:rPr>
        <w:t xml:space="preserve">, </w:t>
      </w:r>
      <w:proofErr w:type="spellStart"/>
      <w:r w:rsidRPr="007D4733">
        <w:rPr>
          <w:rFonts w:ascii="Arial" w:hAnsi="Arial" w:cs="Arial"/>
          <w:lang w:val="en-US"/>
        </w:rPr>
        <w:t>Idzko</w:t>
      </w:r>
      <w:proofErr w:type="spellEnd"/>
      <w:r w:rsidR="007811FB" w:rsidRPr="007D4733">
        <w:rPr>
          <w:rFonts w:ascii="Arial" w:hAnsi="Arial" w:cs="Arial"/>
          <w:lang w:val="en-US"/>
        </w:rPr>
        <w:t xml:space="preserve"> M</w:t>
      </w:r>
      <w:r w:rsidRPr="007D4733">
        <w:rPr>
          <w:rFonts w:ascii="Arial" w:hAnsi="Arial" w:cs="Arial"/>
          <w:lang w:val="en-US"/>
        </w:rPr>
        <w:t xml:space="preserve">, la </w:t>
      </w:r>
      <w:proofErr w:type="spellStart"/>
      <w:r w:rsidRPr="007D4733">
        <w:rPr>
          <w:rFonts w:ascii="Arial" w:hAnsi="Arial" w:cs="Arial"/>
          <w:lang w:val="en-US"/>
        </w:rPr>
        <w:t>Sala</w:t>
      </w:r>
      <w:proofErr w:type="spellEnd"/>
      <w:r w:rsidR="007811FB" w:rsidRPr="007D4733">
        <w:rPr>
          <w:rFonts w:ascii="Arial" w:hAnsi="Arial" w:cs="Arial"/>
          <w:lang w:val="en-US"/>
        </w:rPr>
        <w:t xml:space="preserve"> A (2015)</w:t>
      </w:r>
      <w:r w:rsidRPr="007D4733">
        <w:rPr>
          <w:rFonts w:ascii="Arial" w:hAnsi="Arial" w:cs="Arial"/>
          <w:lang w:val="en-US"/>
        </w:rPr>
        <w:t xml:space="preserve"> </w:t>
      </w:r>
      <w:proofErr w:type="spellStart"/>
      <w:r w:rsidRPr="007D4733">
        <w:rPr>
          <w:rFonts w:ascii="Arial" w:hAnsi="Arial" w:cs="Arial"/>
          <w:lang w:val="en-US"/>
        </w:rPr>
        <w:t>Purinergic</w:t>
      </w:r>
      <w:proofErr w:type="spellEnd"/>
      <w:r w:rsidRPr="007D4733">
        <w:rPr>
          <w:rFonts w:ascii="Arial" w:hAnsi="Arial" w:cs="Arial"/>
          <w:lang w:val="en-US"/>
        </w:rPr>
        <w:t xml:space="preserve"> signaling in atherosclerosis. Trends Mol. Med., 21, 184-192.</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Jarre</w:t>
      </w:r>
      <w:proofErr w:type="spellEnd"/>
      <w:r w:rsidR="007811FB" w:rsidRPr="007D4733">
        <w:rPr>
          <w:rFonts w:ascii="Arial" w:hAnsi="Arial" w:cs="Arial"/>
          <w:lang w:val="en-US"/>
        </w:rPr>
        <w:t xml:space="preserve"> A</w:t>
      </w:r>
      <w:r w:rsidRPr="007D4733">
        <w:rPr>
          <w:rFonts w:ascii="Arial" w:hAnsi="Arial" w:cs="Arial"/>
          <w:lang w:val="en-US"/>
        </w:rPr>
        <w:t xml:space="preserve">, </w:t>
      </w:r>
      <w:proofErr w:type="spellStart"/>
      <w:r w:rsidRPr="007D4733">
        <w:rPr>
          <w:rFonts w:ascii="Arial" w:hAnsi="Arial" w:cs="Arial"/>
          <w:lang w:val="en-US"/>
        </w:rPr>
        <w:t>Gowert</w:t>
      </w:r>
      <w:proofErr w:type="spellEnd"/>
      <w:r w:rsidR="007811FB" w:rsidRPr="007D4733">
        <w:rPr>
          <w:rFonts w:ascii="Arial" w:hAnsi="Arial" w:cs="Arial"/>
          <w:lang w:val="en-US"/>
        </w:rPr>
        <w:t xml:space="preserve"> NS</w:t>
      </w:r>
      <w:r w:rsidRPr="007D4733">
        <w:rPr>
          <w:rFonts w:ascii="Arial" w:hAnsi="Arial" w:cs="Arial"/>
          <w:lang w:val="en-US"/>
        </w:rPr>
        <w:t>, Donner</w:t>
      </w:r>
      <w:r w:rsidR="007811FB" w:rsidRPr="007D4733">
        <w:rPr>
          <w:rFonts w:ascii="Arial" w:hAnsi="Arial" w:cs="Arial"/>
          <w:lang w:val="en-US"/>
        </w:rPr>
        <w:t xml:space="preserve"> L</w:t>
      </w:r>
      <w:r w:rsidRPr="007D4733">
        <w:rPr>
          <w:rFonts w:ascii="Arial" w:hAnsi="Arial" w:cs="Arial"/>
          <w:lang w:val="en-US"/>
        </w:rPr>
        <w:t xml:space="preserve">, </w:t>
      </w:r>
      <w:proofErr w:type="spellStart"/>
      <w:r w:rsidRPr="007D4733">
        <w:rPr>
          <w:rFonts w:ascii="Arial" w:hAnsi="Arial" w:cs="Arial"/>
          <w:lang w:val="en-US"/>
        </w:rPr>
        <w:t>Münzer</w:t>
      </w:r>
      <w:proofErr w:type="spellEnd"/>
      <w:r w:rsidR="007811FB" w:rsidRPr="007D4733">
        <w:rPr>
          <w:rFonts w:ascii="Arial" w:hAnsi="Arial" w:cs="Arial"/>
          <w:lang w:val="en-US"/>
        </w:rPr>
        <w:t xml:space="preserve"> P</w:t>
      </w:r>
      <w:r w:rsidRPr="007D4733">
        <w:rPr>
          <w:rFonts w:ascii="Arial" w:hAnsi="Arial" w:cs="Arial"/>
          <w:lang w:val="en-US"/>
        </w:rPr>
        <w:t xml:space="preserve">, </w:t>
      </w:r>
      <w:proofErr w:type="spellStart"/>
      <w:r w:rsidRPr="007D4733">
        <w:rPr>
          <w:rFonts w:ascii="Arial" w:hAnsi="Arial" w:cs="Arial"/>
          <w:lang w:val="en-US"/>
        </w:rPr>
        <w:t>Klier</w:t>
      </w:r>
      <w:proofErr w:type="spellEnd"/>
      <w:r w:rsidR="007811FB" w:rsidRPr="007D4733">
        <w:rPr>
          <w:rFonts w:ascii="Arial" w:hAnsi="Arial" w:cs="Arial"/>
          <w:lang w:val="en-US"/>
        </w:rPr>
        <w:t xml:space="preserve"> M</w:t>
      </w:r>
      <w:r w:rsidRPr="007D4733">
        <w:rPr>
          <w:rFonts w:ascii="Arial" w:hAnsi="Arial" w:cs="Arial"/>
          <w:lang w:val="en-US"/>
        </w:rPr>
        <w:t xml:space="preserve">, </w:t>
      </w:r>
      <w:proofErr w:type="spellStart"/>
      <w:r w:rsidRPr="007D4733">
        <w:rPr>
          <w:rFonts w:ascii="Arial" w:hAnsi="Arial" w:cs="Arial"/>
          <w:lang w:val="en-US"/>
        </w:rPr>
        <w:t>Borst</w:t>
      </w:r>
      <w:proofErr w:type="spellEnd"/>
      <w:r w:rsidR="007811FB" w:rsidRPr="007D4733">
        <w:rPr>
          <w:rFonts w:ascii="Arial" w:hAnsi="Arial" w:cs="Arial"/>
          <w:lang w:val="en-US"/>
        </w:rPr>
        <w:t xml:space="preserve"> O</w:t>
      </w:r>
      <w:r w:rsidRPr="007D4733">
        <w:rPr>
          <w:rFonts w:ascii="Arial" w:hAnsi="Arial" w:cs="Arial"/>
          <w:lang w:val="en-US"/>
        </w:rPr>
        <w:t>, Schaller</w:t>
      </w:r>
      <w:r w:rsidR="007811FB" w:rsidRPr="007D4733">
        <w:rPr>
          <w:rFonts w:ascii="Arial" w:hAnsi="Arial" w:cs="Arial"/>
          <w:lang w:val="en-US"/>
        </w:rPr>
        <w:t xml:space="preserve"> M</w:t>
      </w:r>
      <w:r w:rsidRPr="007D4733">
        <w:rPr>
          <w:rFonts w:ascii="Arial" w:hAnsi="Arial" w:cs="Arial"/>
          <w:lang w:val="en-US"/>
        </w:rPr>
        <w:t>, Lang</w:t>
      </w:r>
      <w:r w:rsidR="007811FB" w:rsidRPr="007D4733">
        <w:rPr>
          <w:rFonts w:ascii="Arial" w:hAnsi="Arial" w:cs="Arial"/>
          <w:lang w:val="en-US"/>
        </w:rPr>
        <w:t xml:space="preserve"> F</w:t>
      </w:r>
      <w:r w:rsidRPr="007D4733">
        <w:rPr>
          <w:rFonts w:ascii="Arial" w:hAnsi="Arial" w:cs="Arial"/>
          <w:lang w:val="en-US"/>
        </w:rPr>
        <w:t xml:space="preserve">, </w:t>
      </w:r>
      <w:proofErr w:type="spellStart"/>
      <w:r w:rsidRPr="007D4733">
        <w:rPr>
          <w:rFonts w:ascii="Arial" w:hAnsi="Arial" w:cs="Arial"/>
          <w:lang w:val="en-US"/>
        </w:rPr>
        <w:t>Korth</w:t>
      </w:r>
      <w:proofErr w:type="spellEnd"/>
      <w:r w:rsidR="007811FB" w:rsidRPr="007D4733">
        <w:rPr>
          <w:rFonts w:ascii="Arial" w:hAnsi="Arial" w:cs="Arial"/>
          <w:lang w:val="en-US"/>
        </w:rPr>
        <w:t xml:space="preserve"> C</w:t>
      </w:r>
      <w:r w:rsidRPr="007D4733">
        <w:rPr>
          <w:rFonts w:ascii="Arial" w:hAnsi="Arial" w:cs="Arial"/>
          <w:lang w:val="en-US"/>
        </w:rPr>
        <w:t xml:space="preserve">, </w:t>
      </w:r>
      <w:proofErr w:type="spellStart"/>
      <w:r w:rsidRPr="007D4733">
        <w:rPr>
          <w:rFonts w:ascii="Arial" w:hAnsi="Arial" w:cs="Arial"/>
          <w:lang w:val="en-US"/>
        </w:rPr>
        <w:t>Elvers</w:t>
      </w:r>
      <w:proofErr w:type="spellEnd"/>
      <w:r w:rsidR="007811FB" w:rsidRPr="007D4733">
        <w:rPr>
          <w:rFonts w:ascii="Arial" w:hAnsi="Arial" w:cs="Arial"/>
          <w:lang w:val="en-US"/>
        </w:rPr>
        <w:t xml:space="preserve"> M (2014)</w:t>
      </w:r>
      <w:r w:rsidRPr="007D4733">
        <w:rPr>
          <w:rFonts w:ascii="Arial" w:hAnsi="Arial" w:cs="Arial"/>
          <w:lang w:val="en-US"/>
        </w:rPr>
        <w:t xml:space="preserve"> Pre-activated blood platelets and a pro-thrombotic phenotype in APP23 mice modeling Alzheimer’s disease. Cell. </w:t>
      </w:r>
      <w:proofErr w:type="gramStart"/>
      <w:r w:rsidRPr="007D4733">
        <w:rPr>
          <w:rFonts w:ascii="Arial" w:hAnsi="Arial" w:cs="Arial"/>
          <w:lang w:val="en-US"/>
        </w:rPr>
        <w:t>Signal.,</w:t>
      </w:r>
      <w:proofErr w:type="gramEnd"/>
      <w:r w:rsidRPr="007D4733">
        <w:rPr>
          <w:rFonts w:ascii="Arial" w:hAnsi="Arial" w:cs="Arial"/>
          <w:lang w:val="en-US"/>
        </w:rPr>
        <w:t xml:space="preserve"> 26, 2040-2050.</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Burger</w:t>
      </w:r>
      <w:r w:rsidR="00D35709" w:rsidRPr="007D4733">
        <w:rPr>
          <w:rFonts w:ascii="Arial" w:hAnsi="Arial" w:cs="Arial"/>
          <w:lang w:val="en-US"/>
        </w:rPr>
        <w:t xml:space="preserve"> PC</w:t>
      </w:r>
      <w:r w:rsidRPr="007D4733">
        <w:rPr>
          <w:rFonts w:ascii="Arial" w:hAnsi="Arial" w:cs="Arial"/>
          <w:lang w:val="en-US"/>
        </w:rPr>
        <w:t>, Wagner</w:t>
      </w:r>
      <w:r w:rsidR="00D35709" w:rsidRPr="007D4733">
        <w:rPr>
          <w:rFonts w:ascii="Arial" w:hAnsi="Arial" w:cs="Arial"/>
          <w:lang w:val="en-US"/>
        </w:rPr>
        <w:t xml:space="preserve"> DD (2003)</w:t>
      </w:r>
      <w:r w:rsidRPr="007D4733">
        <w:rPr>
          <w:rFonts w:ascii="Arial" w:hAnsi="Arial" w:cs="Arial"/>
          <w:lang w:val="en-US"/>
        </w:rPr>
        <w:t xml:space="preserve"> Platelet P-</w:t>
      </w:r>
      <w:proofErr w:type="spellStart"/>
      <w:r w:rsidRPr="007D4733">
        <w:rPr>
          <w:rFonts w:ascii="Arial" w:hAnsi="Arial" w:cs="Arial"/>
          <w:lang w:val="en-US"/>
        </w:rPr>
        <w:t>selectin</w:t>
      </w:r>
      <w:proofErr w:type="spellEnd"/>
      <w:r w:rsidRPr="007D4733">
        <w:rPr>
          <w:rFonts w:ascii="Arial" w:hAnsi="Arial" w:cs="Arial"/>
          <w:lang w:val="en-US"/>
        </w:rPr>
        <w:t xml:space="preserve"> facilitates atherosclerotic lesion development. </w:t>
      </w:r>
      <w:proofErr w:type="gramStart"/>
      <w:r w:rsidRPr="007D4733">
        <w:rPr>
          <w:rFonts w:ascii="Arial" w:hAnsi="Arial" w:cs="Arial"/>
          <w:lang w:val="en-US"/>
        </w:rPr>
        <w:t>Blood.,</w:t>
      </w:r>
      <w:proofErr w:type="gramEnd"/>
      <w:r w:rsidRPr="007D4733">
        <w:rPr>
          <w:rFonts w:ascii="Arial" w:hAnsi="Arial" w:cs="Arial"/>
          <w:lang w:val="en-US"/>
        </w:rPr>
        <w:t xml:space="preserve"> 101, 2661-2666.</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Bergmeier</w:t>
      </w:r>
      <w:proofErr w:type="spellEnd"/>
      <w:r w:rsidR="00D35709" w:rsidRPr="007D4733">
        <w:rPr>
          <w:rFonts w:ascii="Arial" w:hAnsi="Arial" w:cs="Arial"/>
          <w:lang w:val="en-US"/>
        </w:rPr>
        <w:t xml:space="preserve"> W</w:t>
      </w:r>
      <w:r w:rsidRPr="007D4733">
        <w:rPr>
          <w:rFonts w:ascii="Arial" w:hAnsi="Arial" w:cs="Arial"/>
          <w:lang w:val="en-US"/>
        </w:rPr>
        <w:t>, Wagner</w:t>
      </w:r>
      <w:r w:rsidR="00D35709" w:rsidRPr="007D4733">
        <w:rPr>
          <w:rFonts w:ascii="Arial" w:hAnsi="Arial" w:cs="Arial"/>
          <w:lang w:val="en-US"/>
        </w:rPr>
        <w:t xml:space="preserve"> DD (2007)</w:t>
      </w:r>
      <w:r w:rsidRPr="007D4733">
        <w:rPr>
          <w:rFonts w:ascii="Arial" w:hAnsi="Arial" w:cs="Arial"/>
          <w:lang w:val="en-US"/>
        </w:rPr>
        <w:t xml:space="preserve">, Inflammation, in: Platelets (Second Edition), pp., </w:t>
      </w:r>
      <w:proofErr w:type="gramStart"/>
      <w:r w:rsidRPr="007D4733">
        <w:rPr>
          <w:rFonts w:ascii="Arial" w:hAnsi="Arial" w:cs="Arial"/>
          <w:lang w:val="en-US"/>
        </w:rPr>
        <w:t>713</w:t>
      </w:r>
      <w:proofErr w:type="gramEnd"/>
      <w:r w:rsidRPr="007D4733">
        <w:rPr>
          <w:rFonts w:ascii="Arial" w:hAnsi="Arial" w:cs="Arial"/>
          <w:lang w:val="en-US"/>
        </w:rPr>
        <w:t>-725.</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Mezouar</w:t>
      </w:r>
      <w:proofErr w:type="spellEnd"/>
      <w:r w:rsidR="00D35709" w:rsidRPr="007D4733">
        <w:rPr>
          <w:rFonts w:ascii="Arial" w:hAnsi="Arial" w:cs="Arial"/>
          <w:lang w:val="en-US"/>
        </w:rPr>
        <w:t xml:space="preserve"> S</w:t>
      </w:r>
      <w:r w:rsidRPr="007D4733">
        <w:rPr>
          <w:rFonts w:ascii="Arial" w:hAnsi="Arial" w:cs="Arial"/>
          <w:lang w:val="en-US"/>
        </w:rPr>
        <w:t>, Frère</w:t>
      </w:r>
      <w:r w:rsidR="00D35709" w:rsidRPr="007D4733">
        <w:rPr>
          <w:rFonts w:ascii="Arial" w:hAnsi="Arial" w:cs="Arial"/>
          <w:lang w:val="en-US"/>
        </w:rPr>
        <w:t xml:space="preserve"> C</w:t>
      </w:r>
      <w:r w:rsidRPr="007D4733">
        <w:rPr>
          <w:rFonts w:ascii="Arial" w:hAnsi="Arial" w:cs="Arial"/>
          <w:lang w:val="en-US"/>
        </w:rPr>
        <w:t xml:space="preserve">, </w:t>
      </w:r>
      <w:proofErr w:type="spellStart"/>
      <w:r w:rsidRPr="007D4733">
        <w:rPr>
          <w:rFonts w:ascii="Arial" w:hAnsi="Arial" w:cs="Arial"/>
          <w:lang w:val="en-US"/>
        </w:rPr>
        <w:t>Darbousset</w:t>
      </w:r>
      <w:proofErr w:type="spellEnd"/>
      <w:r w:rsidR="00D35709" w:rsidRPr="007D4733">
        <w:rPr>
          <w:rFonts w:ascii="Arial" w:hAnsi="Arial" w:cs="Arial"/>
          <w:lang w:val="en-US"/>
        </w:rPr>
        <w:t xml:space="preserve"> R</w:t>
      </w:r>
      <w:r w:rsidRPr="007D4733">
        <w:rPr>
          <w:rFonts w:ascii="Arial" w:hAnsi="Arial" w:cs="Arial"/>
          <w:lang w:val="en-US"/>
        </w:rPr>
        <w:t xml:space="preserve">, </w:t>
      </w:r>
      <w:proofErr w:type="spellStart"/>
      <w:r w:rsidRPr="007D4733">
        <w:rPr>
          <w:rFonts w:ascii="Arial" w:hAnsi="Arial" w:cs="Arial"/>
          <w:lang w:val="en-US"/>
        </w:rPr>
        <w:t>Mege</w:t>
      </w:r>
      <w:proofErr w:type="spellEnd"/>
      <w:r w:rsidR="00D35709"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Crescence</w:t>
      </w:r>
      <w:proofErr w:type="spellEnd"/>
      <w:r w:rsidR="00D35709" w:rsidRPr="007D4733">
        <w:rPr>
          <w:rFonts w:ascii="Arial" w:hAnsi="Arial" w:cs="Arial"/>
          <w:lang w:val="en-US"/>
        </w:rPr>
        <w:t xml:space="preserve"> L</w:t>
      </w:r>
      <w:r w:rsidRPr="007D4733">
        <w:rPr>
          <w:rFonts w:ascii="Arial" w:hAnsi="Arial" w:cs="Arial"/>
          <w:lang w:val="en-US"/>
        </w:rPr>
        <w:t xml:space="preserve">, </w:t>
      </w:r>
      <w:proofErr w:type="spellStart"/>
      <w:r w:rsidRPr="007D4733">
        <w:rPr>
          <w:rFonts w:ascii="Arial" w:hAnsi="Arial" w:cs="Arial"/>
          <w:lang w:val="en-US"/>
        </w:rPr>
        <w:t>Dignat</w:t>
      </w:r>
      <w:proofErr w:type="spellEnd"/>
      <w:r w:rsidRPr="007D4733">
        <w:rPr>
          <w:rFonts w:ascii="Arial" w:hAnsi="Arial" w:cs="Arial"/>
          <w:lang w:val="en-US"/>
        </w:rPr>
        <w:t>-George</w:t>
      </w:r>
      <w:r w:rsidR="00D35709" w:rsidRPr="007D4733">
        <w:rPr>
          <w:rFonts w:ascii="Arial" w:hAnsi="Arial" w:cs="Arial"/>
          <w:lang w:val="en-US"/>
        </w:rPr>
        <w:t xml:space="preserve"> F</w:t>
      </w:r>
      <w:r w:rsidRPr="007D4733">
        <w:rPr>
          <w:rFonts w:ascii="Arial" w:hAnsi="Arial" w:cs="Arial"/>
          <w:lang w:val="en-US"/>
        </w:rPr>
        <w:t xml:space="preserve">, </w:t>
      </w:r>
      <w:proofErr w:type="spellStart"/>
      <w:r w:rsidRPr="007D4733">
        <w:rPr>
          <w:rFonts w:ascii="Arial" w:hAnsi="Arial" w:cs="Arial"/>
          <w:lang w:val="en-US"/>
        </w:rPr>
        <w:t>Panicot</w:t>
      </w:r>
      <w:proofErr w:type="spellEnd"/>
      <w:r w:rsidRPr="007D4733">
        <w:rPr>
          <w:rFonts w:ascii="Arial" w:hAnsi="Arial" w:cs="Arial"/>
          <w:lang w:val="en-US"/>
        </w:rPr>
        <w:t>-Dubois</w:t>
      </w:r>
      <w:r w:rsidR="00D35709" w:rsidRPr="007D4733">
        <w:rPr>
          <w:rFonts w:ascii="Arial" w:hAnsi="Arial" w:cs="Arial"/>
          <w:lang w:val="en-US"/>
        </w:rPr>
        <w:t xml:space="preserve"> L</w:t>
      </w:r>
      <w:r w:rsidRPr="007D4733">
        <w:rPr>
          <w:rFonts w:ascii="Arial" w:hAnsi="Arial" w:cs="Arial"/>
          <w:lang w:val="en-US"/>
        </w:rPr>
        <w:t>, Dubois</w:t>
      </w:r>
      <w:r w:rsidR="00D35709" w:rsidRPr="007D4733">
        <w:rPr>
          <w:rFonts w:ascii="Arial" w:hAnsi="Arial" w:cs="Arial"/>
          <w:lang w:val="en-US"/>
        </w:rPr>
        <w:t xml:space="preserve"> C (2016)</w:t>
      </w:r>
      <w:r w:rsidRPr="007D4733">
        <w:rPr>
          <w:rFonts w:ascii="Arial" w:hAnsi="Arial" w:cs="Arial"/>
          <w:lang w:val="en-US"/>
        </w:rPr>
        <w:t xml:space="preserve"> Role of platelets in cancer and cancer-</w:t>
      </w:r>
      <w:r w:rsidRPr="007D4733">
        <w:rPr>
          <w:rFonts w:ascii="Arial" w:hAnsi="Arial" w:cs="Arial"/>
          <w:lang w:val="en-US"/>
        </w:rPr>
        <w:lastRenderedPageBreak/>
        <w:t xml:space="preserve">associated thrombosis: Experimental and clinical evidences. </w:t>
      </w:r>
      <w:proofErr w:type="spellStart"/>
      <w:r w:rsidRPr="007D4733">
        <w:rPr>
          <w:rFonts w:ascii="Arial" w:hAnsi="Arial" w:cs="Arial"/>
          <w:lang w:val="en-US"/>
        </w:rPr>
        <w:t>Thromb</w:t>
      </w:r>
      <w:proofErr w:type="spellEnd"/>
      <w:r w:rsidRPr="007D4733">
        <w:rPr>
          <w:rFonts w:ascii="Arial" w:hAnsi="Arial" w:cs="Arial"/>
          <w:lang w:val="en-US"/>
        </w:rPr>
        <w:t>. Res., 139, 65-76.</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Meiklejohn</w:t>
      </w:r>
      <w:proofErr w:type="spellEnd"/>
      <w:r w:rsidR="0052699E" w:rsidRPr="007D4733">
        <w:rPr>
          <w:rFonts w:ascii="Arial" w:hAnsi="Arial" w:cs="Arial"/>
          <w:lang w:val="en-US"/>
        </w:rPr>
        <w:t xml:space="preserve"> DJ</w:t>
      </w:r>
      <w:r w:rsidRPr="007D4733">
        <w:rPr>
          <w:rFonts w:ascii="Arial" w:hAnsi="Arial" w:cs="Arial"/>
          <w:lang w:val="en-US"/>
        </w:rPr>
        <w:t>, Vickers</w:t>
      </w:r>
      <w:r w:rsidR="0052699E" w:rsidRPr="007D4733">
        <w:rPr>
          <w:rFonts w:ascii="Arial" w:hAnsi="Arial" w:cs="Arial"/>
          <w:lang w:val="en-US"/>
        </w:rPr>
        <w:t xml:space="preserve"> MA</w:t>
      </w:r>
      <w:r w:rsidRPr="007D4733">
        <w:rPr>
          <w:rFonts w:ascii="Arial" w:hAnsi="Arial" w:cs="Arial"/>
          <w:lang w:val="en-US"/>
        </w:rPr>
        <w:t>, Morrison</w:t>
      </w:r>
      <w:r w:rsidR="0052699E" w:rsidRPr="007D4733">
        <w:rPr>
          <w:rFonts w:ascii="Arial" w:hAnsi="Arial" w:cs="Arial"/>
          <w:lang w:val="en-US"/>
        </w:rPr>
        <w:t xml:space="preserve"> ER</w:t>
      </w:r>
      <w:r w:rsidRPr="007D4733">
        <w:rPr>
          <w:rFonts w:ascii="Arial" w:hAnsi="Arial" w:cs="Arial"/>
          <w:lang w:val="en-US"/>
        </w:rPr>
        <w:t xml:space="preserve">, </w:t>
      </w:r>
      <w:proofErr w:type="spellStart"/>
      <w:r w:rsidRPr="007D4733">
        <w:rPr>
          <w:rFonts w:ascii="Arial" w:hAnsi="Arial" w:cs="Arial"/>
          <w:lang w:val="en-US"/>
        </w:rPr>
        <w:t>Dijkhuisen</w:t>
      </w:r>
      <w:proofErr w:type="spellEnd"/>
      <w:r w:rsidR="0052699E" w:rsidRPr="007D4733">
        <w:rPr>
          <w:rFonts w:ascii="Arial" w:hAnsi="Arial" w:cs="Arial"/>
          <w:lang w:val="en-US"/>
        </w:rPr>
        <w:t xml:space="preserve"> R</w:t>
      </w:r>
      <w:r w:rsidRPr="007D4733">
        <w:rPr>
          <w:rFonts w:ascii="Arial" w:hAnsi="Arial" w:cs="Arial"/>
          <w:lang w:val="en-US"/>
        </w:rPr>
        <w:t>, Moore</w:t>
      </w:r>
      <w:r w:rsidR="0052699E" w:rsidRPr="007D4733">
        <w:rPr>
          <w:rFonts w:ascii="Arial" w:hAnsi="Arial" w:cs="Arial"/>
          <w:lang w:val="en-US"/>
        </w:rPr>
        <w:t xml:space="preserve"> I</w:t>
      </w:r>
      <w:r w:rsidRPr="007D4733">
        <w:rPr>
          <w:rFonts w:ascii="Arial" w:hAnsi="Arial" w:cs="Arial"/>
          <w:lang w:val="en-US"/>
        </w:rPr>
        <w:t xml:space="preserve">, </w:t>
      </w:r>
      <w:proofErr w:type="spellStart"/>
      <w:r w:rsidRPr="007D4733">
        <w:rPr>
          <w:rFonts w:ascii="Arial" w:hAnsi="Arial" w:cs="Arial"/>
          <w:lang w:val="en-US"/>
        </w:rPr>
        <w:t>Urbaniak</w:t>
      </w:r>
      <w:proofErr w:type="spellEnd"/>
      <w:r w:rsidR="0052699E" w:rsidRPr="007D4733">
        <w:rPr>
          <w:rFonts w:ascii="Arial" w:hAnsi="Arial" w:cs="Arial"/>
          <w:lang w:val="en-US"/>
        </w:rPr>
        <w:t xml:space="preserve"> SJ</w:t>
      </w:r>
      <w:r w:rsidRPr="007D4733">
        <w:rPr>
          <w:rFonts w:ascii="Arial" w:hAnsi="Arial" w:cs="Arial"/>
          <w:lang w:val="en-US"/>
        </w:rPr>
        <w:t>, Greaves</w:t>
      </w:r>
      <w:r w:rsidR="0052699E" w:rsidRPr="007D4733">
        <w:rPr>
          <w:rFonts w:ascii="Arial" w:hAnsi="Arial" w:cs="Arial"/>
          <w:lang w:val="en-US"/>
        </w:rPr>
        <w:t xml:space="preserve"> M (2001)</w:t>
      </w:r>
      <w:r w:rsidRPr="007D4733">
        <w:rPr>
          <w:rFonts w:ascii="Arial" w:hAnsi="Arial" w:cs="Arial"/>
          <w:lang w:val="en-US"/>
        </w:rPr>
        <w:t xml:space="preserve"> In vivo platelet activation in </w:t>
      </w:r>
      <w:proofErr w:type="spellStart"/>
      <w:r w:rsidRPr="007D4733">
        <w:rPr>
          <w:rFonts w:ascii="Arial" w:hAnsi="Arial" w:cs="Arial"/>
          <w:lang w:val="en-US"/>
        </w:rPr>
        <w:t>atherothrombotic</w:t>
      </w:r>
      <w:proofErr w:type="spellEnd"/>
      <w:r w:rsidRPr="007D4733">
        <w:rPr>
          <w:rFonts w:ascii="Arial" w:hAnsi="Arial" w:cs="Arial"/>
          <w:lang w:val="en-US"/>
        </w:rPr>
        <w:t xml:space="preserve"> stroke is not determined by polymorphisms of human platelet glycoprotein </w:t>
      </w:r>
      <w:proofErr w:type="spellStart"/>
      <w:r w:rsidRPr="007D4733">
        <w:rPr>
          <w:rFonts w:ascii="Arial" w:hAnsi="Arial" w:cs="Arial"/>
          <w:lang w:val="en-US"/>
        </w:rPr>
        <w:t>IIIa</w:t>
      </w:r>
      <w:proofErr w:type="spellEnd"/>
      <w:r w:rsidRPr="007D4733">
        <w:rPr>
          <w:rFonts w:ascii="Arial" w:hAnsi="Arial" w:cs="Arial"/>
          <w:lang w:val="en-US"/>
        </w:rPr>
        <w:t xml:space="preserve"> or Ib. Br. J. </w:t>
      </w:r>
      <w:proofErr w:type="spellStart"/>
      <w:r w:rsidRPr="007D4733">
        <w:rPr>
          <w:rFonts w:ascii="Arial" w:hAnsi="Arial" w:cs="Arial"/>
          <w:lang w:val="en-US"/>
        </w:rPr>
        <w:t>Haematol</w:t>
      </w:r>
      <w:proofErr w:type="spellEnd"/>
      <w:r w:rsidRPr="007D4733">
        <w:rPr>
          <w:rFonts w:ascii="Arial" w:hAnsi="Arial" w:cs="Arial"/>
          <w:lang w:val="en-US"/>
        </w:rPr>
        <w:t>., 112, 621–631.</w:t>
      </w:r>
    </w:p>
    <w:p w:rsidR="00BD583D" w:rsidRPr="007D4733" w:rsidRDefault="00867955" w:rsidP="00BB68E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Birk</w:t>
      </w:r>
      <w:proofErr w:type="spellEnd"/>
      <w:r w:rsidR="002E6D9C" w:rsidRPr="007D4733">
        <w:rPr>
          <w:rFonts w:ascii="Arial" w:hAnsi="Arial" w:cs="Arial"/>
          <w:lang w:val="en-US"/>
        </w:rPr>
        <w:t xml:space="preserve"> AV</w:t>
      </w:r>
      <w:r w:rsidRPr="007D4733">
        <w:rPr>
          <w:rFonts w:ascii="Arial" w:hAnsi="Arial" w:cs="Arial"/>
          <w:lang w:val="en-US"/>
        </w:rPr>
        <w:t xml:space="preserve">, </w:t>
      </w:r>
      <w:proofErr w:type="spellStart"/>
      <w:r w:rsidRPr="007D4733">
        <w:rPr>
          <w:rFonts w:ascii="Arial" w:hAnsi="Arial" w:cs="Arial"/>
          <w:lang w:val="en-US"/>
        </w:rPr>
        <w:t>Bubman</w:t>
      </w:r>
      <w:proofErr w:type="spellEnd"/>
      <w:r w:rsidR="002E6D9C"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Broekman</w:t>
      </w:r>
      <w:proofErr w:type="spellEnd"/>
      <w:r w:rsidR="002E6D9C" w:rsidRPr="007D4733">
        <w:rPr>
          <w:rFonts w:ascii="Arial" w:hAnsi="Arial" w:cs="Arial"/>
          <w:lang w:val="en-US"/>
        </w:rPr>
        <w:t xml:space="preserve"> MJ</w:t>
      </w:r>
      <w:r w:rsidRPr="007D4733">
        <w:rPr>
          <w:rFonts w:ascii="Arial" w:hAnsi="Arial" w:cs="Arial"/>
          <w:lang w:val="en-US"/>
        </w:rPr>
        <w:t xml:space="preserve">, </w:t>
      </w:r>
      <w:r w:rsidR="002E6D9C" w:rsidRPr="007D4733">
        <w:rPr>
          <w:rFonts w:ascii="Arial" w:hAnsi="Arial" w:cs="Arial"/>
          <w:lang w:val="en-US"/>
        </w:rPr>
        <w:t>Robertson HD,</w:t>
      </w:r>
      <w:r w:rsidRPr="007D4733">
        <w:rPr>
          <w:rFonts w:ascii="Arial" w:hAnsi="Arial" w:cs="Arial"/>
          <w:lang w:val="en-US"/>
        </w:rPr>
        <w:t xml:space="preserve"> </w:t>
      </w:r>
      <w:proofErr w:type="spellStart"/>
      <w:r w:rsidRPr="007D4733">
        <w:rPr>
          <w:rFonts w:ascii="Arial" w:hAnsi="Arial" w:cs="Arial"/>
          <w:lang w:val="en-US"/>
        </w:rPr>
        <w:t>Drosopoulos</w:t>
      </w:r>
      <w:proofErr w:type="spellEnd"/>
      <w:r w:rsidR="002E6D9C" w:rsidRPr="007D4733">
        <w:rPr>
          <w:rFonts w:ascii="Arial" w:hAnsi="Arial" w:cs="Arial"/>
          <w:lang w:val="en-US"/>
        </w:rPr>
        <w:t xml:space="preserve"> FHF</w:t>
      </w:r>
      <w:r w:rsidRPr="007D4733">
        <w:rPr>
          <w:rFonts w:ascii="Arial" w:hAnsi="Arial" w:cs="Arial"/>
          <w:lang w:val="en-US"/>
        </w:rPr>
        <w:t>, Marcus</w:t>
      </w:r>
      <w:r w:rsidR="002E6D9C" w:rsidRPr="007D4733">
        <w:rPr>
          <w:rFonts w:ascii="Arial" w:hAnsi="Arial" w:cs="Arial"/>
          <w:lang w:val="en-US"/>
        </w:rPr>
        <w:t xml:space="preserve"> AJ</w:t>
      </w:r>
      <w:r w:rsidRPr="007D4733">
        <w:rPr>
          <w:rFonts w:ascii="Arial" w:hAnsi="Arial" w:cs="Arial"/>
          <w:lang w:val="en-US"/>
        </w:rPr>
        <w:t xml:space="preserve">, </w:t>
      </w:r>
      <w:proofErr w:type="spellStart"/>
      <w:r w:rsidRPr="007D4733">
        <w:rPr>
          <w:rFonts w:ascii="Arial" w:hAnsi="Arial" w:cs="Arial"/>
          <w:lang w:val="en-US"/>
        </w:rPr>
        <w:t>Szeto</w:t>
      </w:r>
      <w:proofErr w:type="spellEnd"/>
      <w:r w:rsidR="002E6D9C" w:rsidRPr="007D4733">
        <w:rPr>
          <w:rFonts w:ascii="Arial" w:hAnsi="Arial" w:cs="Arial"/>
          <w:lang w:val="en-US"/>
        </w:rPr>
        <w:t xml:space="preserve"> HH (2002)</w:t>
      </w:r>
      <w:r w:rsidRPr="007D4733">
        <w:rPr>
          <w:rFonts w:ascii="Arial" w:hAnsi="Arial" w:cs="Arial"/>
          <w:lang w:val="en-US"/>
        </w:rPr>
        <w:t xml:space="preserve"> Role of a novel soluble nucleotide </w:t>
      </w:r>
      <w:proofErr w:type="spellStart"/>
      <w:r w:rsidRPr="007D4733">
        <w:rPr>
          <w:rFonts w:ascii="Arial" w:hAnsi="Arial" w:cs="Arial"/>
          <w:lang w:val="en-US"/>
        </w:rPr>
        <w:t>phophohydrolase</w:t>
      </w:r>
      <w:proofErr w:type="spellEnd"/>
      <w:r w:rsidRPr="007D4733">
        <w:rPr>
          <w:rFonts w:ascii="Arial" w:hAnsi="Arial" w:cs="Arial"/>
          <w:lang w:val="en-US"/>
        </w:rPr>
        <w:t xml:space="preserve"> from sheep plasma in inhibition of platelet reactivity.,</w:t>
      </w:r>
      <w:r w:rsidR="00BB68E5" w:rsidRPr="007D4733">
        <w:rPr>
          <w:rFonts w:ascii="Arial" w:hAnsi="Arial" w:cs="Arial"/>
          <w:lang w:val="en-US"/>
        </w:rPr>
        <w:t xml:space="preserve"> J Lab </w:t>
      </w:r>
      <w:proofErr w:type="spellStart"/>
      <w:r w:rsidR="00BB68E5" w:rsidRPr="007D4733">
        <w:rPr>
          <w:rFonts w:ascii="Arial" w:hAnsi="Arial" w:cs="Arial"/>
          <w:lang w:val="en-US"/>
        </w:rPr>
        <w:t>Clin</w:t>
      </w:r>
      <w:proofErr w:type="spellEnd"/>
      <w:r w:rsidR="00BB68E5" w:rsidRPr="007D4733">
        <w:rPr>
          <w:rFonts w:ascii="Arial" w:hAnsi="Arial" w:cs="Arial"/>
          <w:lang w:val="en-US"/>
        </w:rPr>
        <w:t xml:space="preserve"> Med.</w:t>
      </w:r>
      <w:r w:rsidR="00F33326" w:rsidRPr="007D4733">
        <w:rPr>
          <w:rFonts w:ascii="Arial" w:hAnsi="Arial" w:cs="Arial"/>
          <w:lang w:val="en-US"/>
        </w:rPr>
        <w:t>,</w:t>
      </w:r>
      <w:r w:rsidR="00BB68E5" w:rsidRPr="007D4733">
        <w:rPr>
          <w:rFonts w:ascii="Arial" w:hAnsi="Arial" w:cs="Arial"/>
          <w:lang w:val="en-US"/>
        </w:rPr>
        <w:t xml:space="preserve"> 1</w:t>
      </w:r>
      <w:r w:rsidRPr="007D4733">
        <w:rPr>
          <w:rFonts w:ascii="Arial" w:hAnsi="Arial" w:cs="Arial"/>
          <w:lang w:val="en-US"/>
        </w:rPr>
        <w:t>39, 116-124.</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Zimmermann</w:t>
      </w:r>
      <w:r w:rsidR="002E6D9C" w:rsidRPr="007D4733">
        <w:rPr>
          <w:rFonts w:ascii="Arial" w:hAnsi="Arial" w:cs="Arial"/>
          <w:lang w:val="en-US"/>
        </w:rPr>
        <w:t xml:space="preserve"> H (2000)</w:t>
      </w:r>
      <w:r w:rsidRPr="007D4733">
        <w:rPr>
          <w:rFonts w:ascii="Arial" w:hAnsi="Arial" w:cs="Arial"/>
          <w:lang w:val="en-US"/>
        </w:rPr>
        <w:t xml:space="preserve"> Extracellular metabolism of ATP and other nucleotide</w:t>
      </w:r>
      <w:r w:rsidR="0047747A" w:rsidRPr="007D4733">
        <w:rPr>
          <w:rFonts w:ascii="Arial" w:hAnsi="Arial" w:cs="Arial"/>
          <w:lang w:val="en-US"/>
        </w:rPr>
        <w:t xml:space="preserve">s. </w:t>
      </w:r>
      <w:proofErr w:type="spellStart"/>
      <w:r w:rsidR="0047747A" w:rsidRPr="007D4733">
        <w:rPr>
          <w:rFonts w:ascii="Arial" w:hAnsi="Arial" w:cs="Arial"/>
          <w:lang w:val="en-US"/>
        </w:rPr>
        <w:t>Naunyn-Schmeidebergs</w:t>
      </w:r>
      <w:proofErr w:type="spellEnd"/>
      <w:r w:rsidR="0047747A" w:rsidRPr="007D4733">
        <w:rPr>
          <w:rFonts w:ascii="Arial" w:hAnsi="Arial" w:cs="Arial"/>
          <w:lang w:val="en-US"/>
        </w:rPr>
        <w:t xml:space="preserve"> Arch. </w:t>
      </w:r>
      <w:proofErr w:type="spellStart"/>
      <w:r w:rsidR="0047747A" w:rsidRPr="007D4733">
        <w:rPr>
          <w:rFonts w:ascii="Arial" w:hAnsi="Arial" w:cs="Arial"/>
          <w:lang w:val="en-US"/>
        </w:rPr>
        <w:t>Pharmacol</w:t>
      </w:r>
      <w:proofErr w:type="spellEnd"/>
      <w:r w:rsidRPr="007D4733">
        <w:rPr>
          <w:rFonts w:ascii="Arial" w:hAnsi="Arial" w:cs="Arial"/>
          <w:lang w:val="en-US"/>
        </w:rPr>
        <w:t>., 362, 299-309.</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Sato</w:t>
      </w:r>
      <w:r w:rsidR="00915552" w:rsidRPr="007D4733">
        <w:rPr>
          <w:rFonts w:ascii="Arial" w:hAnsi="Arial" w:cs="Arial"/>
          <w:lang w:val="en-US"/>
        </w:rPr>
        <w:t xml:space="preserve"> A</w:t>
      </w:r>
      <w:r w:rsidRPr="007D4733">
        <w:rPr>
          <w:rFonts w:ascii="Arial" w:hAnsi="Arial" w:cs="Arial"/>
          <w:lang w:val="en-US"/>
        </w:rPr>
        <w:t>, Sato</w:t>
      </w:r>
      <w:r w:rsidR="00915552" w:rsidRPr="007D4733">
        <w:rPr>
          <w:rFonts w:ascii="Arial" w:hAnsi="Arial" w:cs="Arial"/>
          <w:lang w:val="en-US"/>
        </w:rPr>
        <w:t xml:space="preserve"> Y</w:t>
      </w:r>
      <w:r w:rsidRPr="007D4733">
        <w:rPr>
          <w:rFonts w:ascii="Arial" w:hAnsi="Arial" w:cs="Arial"/>
          <w:lang w:val="en-US"/>
        </w:rPr>
        <w:t>, Uchida</w:t>
      </w:r>
      <w:r w:rsidR="00915552" w:rsidRPr="007D4733">
        <w:rPr>
          <w:rFonts w:ascii="Arial" w:hAnsi="Arial" w:cs="Arial"/>
          <w:lang w:val="en-US"/>
        </w:rPr>
        <w:t xml:space="preserve"> S (2001)</w:t>
      </w:r>
      <w:r w:rsidRPr="007D4733">
        <w:rPr>
          <w:rFonts w:ascii="Arial" w:hAnsi="Arial" w:cs="Arial"/>
          <w:lang w:val="en-US"/>
        </w:rPr>
        <w:t xml:space="preserve"> Regulation of regional cerebral blood flow by cholinergic fibers originating in the basal forebrain. Int. J. Dev. </w:t>
      </w:r>
      <w:proofErr w:type="spellStart"/>
      <w:r w:rsidRPr="007D4733">
        <w:rPr>
          <w:rFonts w:ascii="Arial" w:hAnsi="Arial" w:cs="Arial"/>
          <w:lang w:val="en-US"/>
        </w:rPr>
        <w:t>Neurosci</w:t>
      </w:r>
      <w:proofErr w:type="spellEnd"/>
      <w:r w:rsidRPr="007D4733">
        <w:rPr>
          <w:rFonts w:ascii="Arial" w:hAnsi="Arial" w:cs="Arial"/>
          <w:lang w:val="en-US"/>
        </w:rPr>
        <w:t>., 19, 327-337.</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Appleyard</w:t>
      </w:r>
      <w:proofErr w:type="spellEnd"/>
      <w:r w:rsidR="009B782F" w:rsidRPr="007D4733">
        <w:rPr>
          <w:rFonts w:ascii="Arial" w:hAnsi="Arial" w:cs="Arial"/>
          <w:lang w:val="en-US"/>
        </w:rPr>
        <w:t xml:space="preserve"> ME (1992)</w:t>
      </w:r>
      <w:r w:rsidRPr="007D4733">
        <w:rPr>
          <w:rFonts w:ascii="Arial" w:hAnsi="Arial" w:cs="Arial"/>
          <w:lang w:val="en-US"/>
        </w:rPr>
        <w:t xml:space="preserve"> Secreted </w:t>
      </w:r>
      <w:proofErr w:type="spellStart"/>
      <w:r w:rsidRPr="007D4733">
        <w:rPr>
          <w:rFonts w:ascii="Arial" w:hAnsi="Arial" w:cs="Arial"/>
          <w:lang w:val="en-US"/>
        </w:rPr>
        <w:t>acetylcholinesterase</w:t>
      </w:r>
      <w:proofErr w:type="spellEnd"/>
      <w:r w:rsidRPr="007D4733">
        <w:rPr>
          <w:rFonts w:ascii="Arial" w:hAnsi="Arial" w:cs="Arial"/>
          <w:lang w:val="en-US"/>
        </w:rPr>
        <w:t xml:space="preserve">: non-classical aspects of a classical enzyme. Trends </w:t>
      </w:r>
      <w:proofErr w:type="spellStart"/>
      <w:proofErr w:type="gramStart"/>
      <w:r w:rsidRPr="007D4733">
        <w:rPr>
          <w:rFonts w:ascii="Arial" w:hAnsi="Arial" w:cs="Arial"/>
          <w:lang w:val="en-US"/>
        </w:rPr>
        <w:t>Neurosci</w:t>
      </w:r>
      <w:proofErr w:type="spellEnd"/>
      <w:r w:rsidRPr="007D4733">
        <w:rPr>
          <w:rFonts w:ascii="Arial" w:hAnsi="Arial" w:cs="Arial"/>
          <w:lang w:val="en-US"/>
        </w:rPr>
        <w:t>.,</w:t>
      </w:r>
      <w:proofErr w:type="gramEnd"/>
      <w:r w:rsidRPr="007D4733">
        <w:rPr>
          <w:rFonts w:ascii="Arial" w:hAnsi="Arial" w:cs="Arial"/>
          <w:lang w:val="en-US"/>
        </w:rPr>
        <w:t xml:space="preserve"> 15, 485–90.</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Tayebati</w:t>
      </w:r>
      <w:proofErr w:type="spellEnd"/>
      <w:r w:rsidR="00807607" w:rsidRPr="007D4733">
        <w:rPr>
          <w:rFonts w:ascii="Arial" w:hAnsi="Arial" w:cs="Arial"/>
          <w:lang w:val="en-US"/>
        </w:rPr>
        <w:t xml:space="preserve"> SK</w:t>
      </w:r>
      <w:r w:rsidRPr="007D4733">
        <w:rPr>
          <w:rFonts w:ascii="Arial" w:hAnsi="Arial" w:cs="Arial"/>
          <w:lang w:val="en-US"/>
        </w:rPr>
        <w:t>, El-</w:t>
      </w:r>
      <w:proofErr w:type="spellStart"/>
      <w:r w:rsidRPr="007D4733">
        <w:rPr>
          <w:rFonts w:ascii="Arial" w:hAnsi="Arial" w:cs="Arial"/>
          <w:lang w:val="en-US"/>
        </w:rPr>
        <w:t>Assouad</w:t>
      </w:r>
      <w:proofErr w:type="spellEnd"/>
      <w:r w:rsidR="00807607" w:rsidRPr="007D4733">
        <w:rPr>
          <w:rFonts w:ascii="Arial" w:hAnsi="Arial" w:cs="Arial"/>
          <w:lang w:val="en-US"/>
        </w:rPr>
        <w:t xml:space="preserve"> D</w:t>
      </w:r>
      <w:r w:rsidRPr="007D4733">
        <w:rPr>
          <w:rFonts w:ascii="Arial" w:hAnsi="Arial" w:cs="Arial"/>
          <w:lang w:val="en-US"/>
        </w:rPr>
        <w:t>, Ricci</w:t>
      </w:r>
      <w:r w:rsidR="00807607" w:rsidRPr="007D4733">
        <w:rPr>
          <w:rFonts w:ascii="Arial" w:hAnsi="Arial" w:cs="Arial"/>
          <w:lang w:val="en-US"/>
        </w:rPr>
        <w:t xml:space="preserve"> A</w:t>
      </w:r>
      <w:r w:rsidRPr="007D4733">
        <w:rPr>
          <w:rFonts w:ascii="Arial" w:hAnsi="Arial" w:cs="Arial"/>
          <w:lang w:val="en-US"/>
        </w:rPr>
        <w:t xml:space="preserve">, </w:t>
      </w:r>
      <w:proofErr w:type="spellStart"/>
      <w:r w:rsidRPr="007D4733">
        <w:rPr>
          <w:rFonts w:ascii="Arial" w:hAnsi="Arial" w:cs="Arial"/>
          <w:lang w:val="en-US"/>
        </w:rPr>
        <w:t>Amenta</w:t>
      </w:r>
      <w:proofErr w:type="spellEnd"/>
      <w:r w:rsidR="00807607" w:rsidRPr="007D4733">
        <w:rPr>
          <w:rFonts w:ascii="Arial" w:hAnsi="Arial" w:cs="Arial"/>
          <w:lang w:val="en-US"/>
        </w:rPr>
        <w:t xml:space="preserve"> F (2002)</w:t>
      </w:r>
      <w:r w:rsidRPr="007D4733">
        <w:rPr>
          <w:rFonts w:ascii="Arial" w:hAnsi="Arial" w:cs="Arial"/>
          <w:lang w:val="en-US"/>
        </w:rPr>
        <w:t xml:space="preserve"> Immunological and </w:t>
      </w:r>
      <w:proofErr w:type="spellStart"/>
      <w:r w:rsidRPr="007D4733">
        <w:rPr>
          <w:rFonts w:ascii="Arial" w:hAnsi="Arial" w:cs="Arial"/>
          <w:lang w:val="en-US"/>
        </w:rPr>
        <w:t>immunocytochemical</w:t>
      </w:r>
      <w:proofErr w:type="spellEnd"/>
      <w:r w:rsidRPr="007D4733">
        <w:rPr>
          <w:rFonts w:ascii="Arial" w:hAnsi="Arial" w:cs="Arial"/>
          <w:lang w:val="en-US"/>
        </w:rPr>
        <w:t xml:space="preserve"> characterization of cholinergic markers in human peripheral blood lymphocytes, J. </w:t>
      </w:r>
      <w:proofErr w:type="spellStart"/>
      <w:r w:rsidRPr="007D4733">
        <w:rPr>
          <w:rFonts w:ascii="Arial" w:hAnsi="Arial" w:cs="Arial"/>
          <w:lang w:val="en-US"/>
        </w:rPr>
        <w:t>Neuroimmunol</w:t>
      </w:r>
      <w:proofErr w:type="spellEnd"/>
      <w:r w:rsidRPr="007D4733">
        <w:rPr>
          <w:rFonts w:ascii="Arial" w:hAnsi="Arial" w:cs="Arial"/>
          <w:lang w:val="en-US"/>
        </w:rPr>
        <w:t>., 132,147–155.</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Paleari</w:t>
      </w:r>
      <w:proofErr w:type="spellEnd"/>
      <w:r w:rsidR="000E7528" w:rsidRPr="007D4733">
        <w:rPr>
          <w:rFonts w:ascii="Arial" w:hAnsi="Arial" w:cs="Arial"/>
          <w:lang w:val="en-US"/>
        </w:rPr>
        <w:t xml:space="preserve"> L</w:t>
      </w:r>
      <w:r w:rsidRPr="007D4733">
        <w:rPr>
          <w:rFonts w:ascii="Arial" w:hAnsi="Arial" w:cs="Arial"/>
          <w:lang w:val="en-US"/>
        </w:rPr>
        <w:t xml:space="preserve">, </w:t>
      </w:r>
      <w:proofErr w:type="spellStart"/>
      <w:r w:rsidRPr="007D4733">
        <w:rPr>
          <w:rFonts w:ascii="Arial" w:hAnsi="Arial" w:cs="Arial"/>
          <w:lang w:val="en-US"/>
        </w:rPr>
        <w:t>Grozio</w:t>
      </w:r>
      <w:proofErr w:type="spellEnd"/>
      <w:r w:rsidR="000E7528" w:rsidRPr="007D4733">
        <w:rPr>
          <w:rFonts w:ascii="Arial" w:hAnsi="Arial" w:cs="Arial"/>
          <w:lang w:val="en-US"/>
        </w:rPr>
        <w:t xml:space="preserve"> A</w:t>
      </w:r>
      <w:r w:rsidRPr="007D4733">
        <w:rPr>
          <w:rFonts w:ascii="Arial" w:hAnsi="Arial" w:cs="Arial"/>
          <w:lang w:val="en-US"/>
        </w:rPr>
        <w:t xml:space="preserve">, </w:t>
      </w:r>
      <w:proofErr w:type="spellStart"/>
      <w:r w:rsidRPr="007D4733">
        <w:rPr>
          <w:rFonts w:ascii="Arial" w:hAnsi="Arial" w:cs="Arial"/>
          <w:lang w:val="en-US"/>
        </w:rPr>
        <w:t>Cesario</w:t>
      </w:r>
      <w:proofErr w:type="spellEnd"/>
      <w:r w:rsidR="000E7528" w:rsidRPr="007D4733">
        <w:rPr>
          <w:rFonts w:ascii="Arial" w:hAnsi="Arial" w:cs="Arial"/>
          <w:lang w:val="en-US"/>
        </w:rPr>
        <w:t xml:space="preserve"> A</w:t>
      </w:r>
      <w:r w:rsidRPr="007D4733">
        <w:rPr>
          <w:rFonts w:ascii="Arial" w:hAnsi="Arial" w:cs="Arial"/>
          <w:lang w:val="en-US"/>
        </w:rPr>
        <w:t>, Russo</w:t>
      </w:r>
      <w:r w:rsidR="000E7528" w:rsidRPr="007D4733">
        <w:rPr>
          <w:rFonts w:ascii="Arial" w:hAnsi="Arial" w:cs="Arial"/>
          <w:lang w:val="en-US"/>
        </w:rPr>
        <w:t xml:space="preserve"> P (2008)</w:t>
      </w:r>
      <w:r w:rsidRPr="007D4733">
        <w:rPr>
          <w:rFonts w:ascii="Arial" w:hAnsi="Arial" w:cs="Arial"/>
          <w:lang w:val="en-US"/>
        </w:rPr>
        <w:t xml:space="preserve"> </w:t>
      </w:r>
      <w:proofErr w:type="gramStart"/>
      <w:r w:rsidRPr="007D4733">
        <w:rPr>
          <w:rFonts w:ascii="Arial" w:hAnsi="Arial" w:cs="Arial"/>
          <w:lang w:val="en-US"/>
        </w:rPr>
        <w:t>The</w:t>
      </w:r>
      <w:proofErr w:type="gramEnd"/>
      <w:r w:rsidRPr="007D4733">
        <w:rPr>
          <w:rFonts w:ascii="Arial" w:hAnsi="Arial" w:cs="Arial"/>
          <w:lang w:val="en-US"/>
        </w:rPr>
        <w:t xml:space="preserve"> cholinergic system and cancer. </w:t>
      </w:r>
      <w:proofErr w:type="spellStart"/>
      <w:r w:rsidRPr="007D4733">
        <w:rPr>
          <w:rFonts w:ascii="Arial" w:hAnsi="Arial" w:cs="Arial"/>
          <w:lang w:val="en-US"/>
        </w:rPr>
        <w:t>Semin</w:t>
      </w:r>
      <w:proofErr w:type="spellEnd"/>
      <w:r w:rsidRPr="007D4733">
        <w:rPr>
          <w:rFonts w:ascii="Arial" w:hAnsi="Arial" w:cs="Arial"/>
          <w:lang w:val="en-US"/>
        </w:rPr>
        <w:t>. Cancer Biol., 18, 211–7.</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Brenner</w:t>
      </w:r>
      <w:r w:rsidR="00765FE8" w:rsidRPr="007D4733">
        <w:rPr>
          <w:rFonts w:ascii="Arial" w:hAnsi="Arial" w:cs="Arial"/>
          <w:lang w:val="en-US"/>
        </w:rPr>
        <w:t xml:space="preserve"> T</w:t>
      </w:r>
      <w:r w:rsidRPr="007D4733">
        <w:rPr>
          <w:rFonts w:ascii="Arial" w:hAnsi="Arial" w:cs="Arial"/>
          <w:lang w:val="en-US"/>
        </w:rPr>
        <w:t xml:space="preserve">, </w:t>
      </w:r>
      <w:proofErr w:type="spellStart"/>
      <w:r w:rsidRPr="007D4733">
        <w:rPr>
          <w:rFonts w:ascii="Arial" w:hAnsi="Arial" w:cs="Arial"/>
          <w:lang w:val="en-US"/>
        </w:rPr>
        <w:t>Nizri</w:t>
      </w:r>
      <w:proofErr w:type="spellEnd"/>
      <w:r w:rsidR="00765FE8" w:rsidRPr="007D4733">
        <w:rPr>
          <w:rFonts w:ascii="Arial" w:hAnsi="Arial" w:cs="Arial"/>
          <w:lang w:val="en-US"/>
        </w:rPr>
        <w:t xml:space="preserve"> E</w:t>
      </w:r>
      <w:r w:rsidRPr="007D4733">
        <w:rPr>
          <w:rFonts w:ascii="Arial" w:hAnsi="Arial" w:cs="Arial"/>
          <w:lang w:val="en-US"/>
        </w:rPr>
        <w:t>, Irony-</w:t>
      </w:r>
      <w:proofErr w:type="spellStart"/>
      <w:r w:rsidRPr="007D4733">
        <w:rPr>
          <w:rFonts w:ascii="Arial" w:hAnsi="Arial" w:cs="Arial"/>
          <w:lang w:val="en-US"/>
        </w:rPr>
        <w:t>Tur</w:t>
      </w:r>
      <w:proofErr w:type="spellEnd"/>
      <w:r w:rsidRPr="007D4733">
        <w:rPr>
          <w:rFonts w:ascii="Arial" w:hAnsi="Arial" w:cs="Arial"/>
          <w:lang w:val="en-US"/>
        </w:rPr>
        <w:t>-Sinai</w:t>
      </w:r>
      <w:r w:rsidR="00765FE8" w:rsidRPr="007D4733">
        <w:rPr>
          <w:rFonts w:ascii="Arial" w:hAnsi="Arial" w:cs="Arial"/>
          <w:lang w:val="en-US"/>
        </w:rPr>
        <w:t xml:space="preserve"> M</w:t>
      </w:r>
      <w:r w:rsidRPr="007D4733">
        <w:rPr>
          <w:rFonts w:ascii="Arial" w:hAnsi="Arial" w:cs="Arial"/>
          <w:lang w:val="en-US"/>
        </w:rPr>
        <w:t xml:space="preserve">, </w:t>
      </w:r>
      <w:proofErr w:type="spellStart"/>
      <w:r w:rsidRPr="007D4733">
        <w:rPr>
          <w:rFonts w:ascii="Arial" w:hAnsi="Arial" w:cs="Arial"/>
          <w:lang w:val="en-US"/>
        </w:rPr>
        <w:t>Hamra-Amitay</w:t>
      </w:r>
      <w:proofErr w:type="spellEnd"/>
      <w:r w:rsidR="00765FE8" w:rsidRPr="007D4733">
        <w:rPr>
          <w:rFonts w:ascii="Arial" w:hAnsi="Arial" w:cs="Arial"/>
          <w:lang w:val="en-US"/>
        </w:rPr>
        <w:t xml:space="preserve"> Y</w:t>
      </w:r>
      <w:r w:rsidRPr="007D4733">
        <w:rPr>
          <w:rFonts w:ascii="Arial" w:hAnsi="Arial" w:cs="Arial"/>
          <w:lang w:val="en-US"/>
        </w:rPr>
        <w:t xml:space="preserve">, </w:t>
      </w:r>
      <w:proofErr w:type="spellStart"/>
      <w:r w:rsidRPr="007D4733">
        <w:rPr>
          <w:rFonts w:ascii="Arial" w:hAnsi="Arial" w:cs="Arial"/>
          <w:lang w:val="en-US"/>
        </w:rPr>
        <w:t>Wirguin</w:t>
      </w:r>
      <w:proofErr w:type="spellEnd"/>
      <w:r w:rsidR="00765FE8" w:rsidRPr="007D4733">
        <w:rPr>
          <w:rFonts w:ascii="Arial" w:hAnsi="Arial" w:cs="Arial"/>
          <w:lang w:val="en-US"/>
        </w:rPr>
        <w:t xml:space="preserve"> I (2008)</w:t>
      </w:r>
      <w:r w:rsidRPr="007D4733">
        <w:rPr>
          <w:rFonts w:ascii="Arial" w:hAnsi="Arial" w:cs="Arial"/>
          <w:lang w:val="en-US"/>
        </w:rPr>
        <w:t xml:space="preserve"> </w:t>
      </w:r>
      <w:proofErr w:type="spellStart"/>
      <w:r w:rsidRPr="007D4733">
        <w:rPr>
          <w:rFonts w:ascii="Arial" w:hAnsi="Arial" w:cs="Arial"/>
          <w:lang w:val="en-US"/>
        </w:rPr>
        <w:t>Acetylcholinesterase</w:t>
      </w:r>
      <w:proofErr w:type="spellEnd"/>
      <w:r w:rsidRPr="007D4733">
        <w:rPr>
          <w:rFonts w:ascii="Arial" w:hAnsi="Arial" w:cs="Arial"/>
          <w:lang w:val="en-US"/>
        </w:rPr>
        <w:t xml:space="preserve"> inhibitors and cholinergic modulation in Myasthenia Gravis and </w:t>
      </w:r>
      <w:proofErr w:type="spellStart"/>
      <w:r w:rsidRPr="007D4733">
        <w:rPr>
          <w:rFonts w:ascii="Arial" w:hAnsi="Arial" w:cs="Arial"/>
          <w:lang w:val="en-US"/>
        </w:rPr>
        <w:t>neuroin</w:t>
      </w:r>
      <w:proofErr w:type="spellEnd"/>
      <w:r w:rsidRPr="007D4733">
        <w:rPr>
          <w:rFonts w:ascii="Arial" w:hAnsi="Arial" w:cs="Arial"/>
          <w:lang w:val="en-US"/>
        </w:rPr>
        <w:t xml:space="preserve">- </w:t>
      </w:r>
      <w:proofErr w:type="spellStart"/>
      <w:r w:rsidRPr="007D4733">
        <w:rPr>
          <w:rFonts w:ascii="Arial" w:hAnsi="Arial" w:cs="Arial"/>
          <w:lang w:val="en-US"/>
        </w:rPr>
        <w:t>flam</w:t>
      </w:r>
      <w:r w:rsidR="00765FE8" w:rsidRPr="007D4733">
        <w:rPr>
          <w:rFonts w:ascii="Arial" w:hAnsi="Arial" w:cs="Arial"/>
          <w:lang w:val="en-US"/>
        </w:rPr>
        <w:t>mation</w:t>
      </w:r>
      <w:proofErr w:type="spellEnd"/>
      <w:r w:rsidR="00765FE8" w:rsidRPr="007D4733">
        <w:rPr>
          <w:rFonts w:ascii="Arial" w:hAnsi="Arial" w:cs="Arial"/>
          <w:lang w:val="en-US"/>
        </w:rPr>
        <w:t xml:space="preserve">. J. </w:t>
      </w:r>
      <w:proofErr w:type="spellStart"/>
      <w:r w:rsidR="00765FE8" w:rsidRPr="007D4733">
        <w:rPr>
          <w:rFonts w:ascii="Arial" w:hAnsi="Arial" w:cs="Arial"/>
          <w:lang w:val="en-US"/>
        </w:rPr>
        <w:t>Neuroimmunol</w:t>
      </w:r>
      <w:proofErr w:type="spellEnd"/>
      <w:r w:rsidR="00765FE8" w:rsidRPr="007D4733">
        <w:rPr>
          <w:rFonts w:ascii="Arial" w:hAnsi="Arial" w:cs="Arial"/>
          <w:lang w:val="en-US"/>
        </w:rPr>
        <w:t xml:space="preserve">., </w:t>
      </w:r>
      <w:r w:rsidRPr="007D4733">
        <w:rPr>
          <w:rFonts w:ascii="Arial" w:hAnsi="Arial" w:cs="Arial"/>
          <w:lang w:val="en-US"/>
        </w:rPr>
        <w:t>201–202:121–127.</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Pilla</w:t>
      </w:r>
      <w:proofErr w:type="spellEnd"/>
      <w:r w:rsidR="0015248F" w:rsidRPr="007D4733">
        <w:rPr>
          <w:rFonts w:ascii="Arial" w:hAnsi="Arial" w:cs="Arial"/>
          <w:lang w:val="en-US"/>
        </w:rPr>
        <w:t xml:space="preserve"> C</w:t>
      </w:r>
      <w:r w:rsidRPr="007D4733">
        <w:rPr>
          <w:rFonts w:ascii="Arial" w:hAnsi="Arial" w:cs="Arial"/>
          <w:lang w:val="en-US"/>
        </w:rPr>
        <w:t xml:space="preserve">, </w:t>
      </w:r>
      <w:proofErr w:type="spellStart"/>
      <w:r w:rsidRPr="007D4733">
        <w:rPr>
          <w:rFonts w:ascii="Arial" w:hAnsi="Arial" w:cs="Arial"/>
          <w:lang w:val="en-US"/>
        </w:rPr>
        <w:t>Emanuelli</w:t>
      </w:r>
      <w:proofErr w:type="spellEnd"/>
      <w:r w:rsidR="0015248F" w:rsidRPr="007D4733">
        <w:rPr>
          <w:rFonts w:ascii="Arial" w:hAnsi="Arial" w:cs="Arial"/>
          <w:lang w:val="en-US"/>
        </w:rPr>
        <w:t xml:space="preserve"> T</w:t>
      </w:r>
      <w:r w:rsidRPr="007D4733">
        <w:rPr>
          <w:rFonts w:ascii="Arial" w:hAnsi="Arial" w:cs="Arial"/>
          <w:lang w:val="en-US"/>
        </w:rPr>
        <w:t xml:space="preserve">, </w:t>
      </w:r>
      <w:proofErr w:type="spellStart"/>
      <w:r w:rsidRPr="007D4733">
        <w:rPr>
          <w:rFonts w:ascii="Arial" w:hAnsi="Arial" w:cs="Arial"/>
          <w:lang w:val="en-US"/>
        </w:rPr>
        <w:t>Frasetto</w:t>
      </w:r>
      <w:proofErr w:type="spellEnd"/>
      <w:r w:rsidR="0015248F" w:rsidRPr="007D4733">
        <w:rPr>
          <w:rFonts w:ascii="Arial" w:hAnsi="Arial" w:cs="Arial"/>
          <w:lang w:val="en-US"/>
        </w:rPr>
        <w:t xml:space="preserve"> SS</w:t>
      </w:r>
      <w:r w:rsidRPr="007D4733">
        <w:rPr>
          <w:rFonts w:ascii="Arial" w:hAnsi="Arial" w:cs="Arial"/>
          <w:lang w:val="en-US"/>
        </w:rPr>
        <w:t xml:space="preserve">, </w:t>
      </w:r>
      <w:proofErr w:type="spellStart"/>
      <w:r w:rsidRPr="007D4733">
        <w:rPr>
          <w:rFonts w:ascii="Arial" w:hAnsi="Arial" w:cs="Arial"/>
          <w:lang w:val="en-US"/>
        </w:rPr>
        <w:t>Battastini</w:t>
      </w:r>
      <w:proofErr w:type="spellEnd"/>
      <w:r w:rsidR="0015248F" w:rsidRPr="007D4733">
        <w:rPr>
          <w:rFonts w:ascii="Arial" w:hAnsi="Arial" w:cs="Arial"/>
          <w:lang w:val="en-US"/>
        </w:rPr>
        <w:t xml:space="preserve"> AMO</w:t>
      </w:r>
      <w:r w:rsidRPr="007D4733">
        <w:rPr>
          <w:rFonts w:ascii="Arial" w:hAnsi="Arial" w:cs="Arial"/>
          <w:lang w:val="en-US"/>
        </w:rPr>
        <w:t>, Dias</w:t>
      </w:r>
      <w:r w:rsidR="0015248F" w:rsidRPr="007D4733">
        <w:rPr>
          <w:rFonts w:ascii="Arial" w:hAnsi="Arial" w:cs="Arial"/>
          <w:lang w:val="en-US"/>
        </w:rPr>
        <w:t xml:space="preserve"> RD</w:t>
      </w:r>
      <w:r w:rsidRPr="007D4733">
        <w:rPr>
          <w:rFonts w:ascii="Arial" w:hAnsi="Arial" w:cs="Arial"/>
          <w:lang w:val="en-US"/>
        </w:rPr>
        <w:t xml:space="preserve">, </w:t>
      </w:r>
      <w:proofErr w:type="spellStart"/>
      <w:r w:rsidRPr="007D4733">
        <w:rPr>
          <w:rFonts w:ascii="Arial" w:hAnsi="Arial" w:cs="Arial"/>
          <w:lang w:val="en-US"/>
        </w:rPr>
        <w:t>Sarkis</w:t>
      </w:r>
      <w:proofErr w:type="spellEnd"/>
      <w:r w:rsidR="0015248F" w:rsidRPr="007D4733">
        <w:rPr>
          <w:rFonts w:ascii="Arial" w:hAnsi="Arial" w:cs="Arial"/>
          <w:lang w:val="en-US"/>
        </w:rPr>
        <w:t xml:space="preserve"> JJF (1996)</w:t>
      </w:r>
      <w:r w:rsidRPr="007D4733">
        <w:rPr>
          <w:rFonts w:ascii="Arial" w:hAnsi="Arial" w:cs="Arial"/>
          <w:lang w:val="en-US"/>
        </w:rPr>
        <w:t xml:space="preserve"> ATP </w:t>
      </w:r>
      <w:proofErr w:type="spellStart"/>
      <w:r w:rsidRPr="007D4733">
        <w:rPr>
          <w:rFonts w:ascii="Arial" w:hAnsi="Arial" w:cs="Arial"/>
          <w:lang w:val="en-US"/>
        </w:rPr>
        <w:t>diphosphohydrolase</w:t>
      </w:r>
      <w:proofErr w:type="spellEnd"/>
      <w:r w:rsidRPr="007D4733">
        <w:rPr>
          <w:rFonts w:ascii="Arial" w:hAnsi="Arial" w:cs="Arial"/>
          <w:lang w:val="en-US"/>
        </w:rPr>
        <w:t xml:space="preserve"> activity (</w:t>
      </w:r>
      <w:proofErr w:type="spellStart"/>
      <w:r w:rsidRPr="007D4733">
        <w:rPr>
          <w:rFonts w:ascii="Arial" w:hAnsi="Arial" w:cs="Arial"/>
          <w:lang w:val="en-US"/>
        </w:rPr>
        <w:t>apyrase</w:t>
      </w:r>
      <w:proofErr w:type="spellEnd"/>
      <w:r w:rsidRPr="007D4733">
        <w:rPr>
          <w:rFonts w:ascii="Arial" w:hAnsi="Arial" w:cs="Arial"/>
          <w:lang w:val="en-US"/>
        </w:rPr>
        <w:t xml:space="preserve"> E.C. 3.6.1.5) in human blood platelets. </w:t>
      </w:r>
      <w:proofErr w:type="gramStart"/>
      <w:r w:rsidRPr="007D4733">
        <w:rPr>
          <w:rFonts w:ascii="Arial" w:hAnsi="Arial" w:cs="Arial"/>
          <w:lang w:val="en-US"/>
        </w:rPr>
        <w:t>Platelets.,</w:t>
      </w:r>
      <w:proofErr w:type="gramEnd"/>
      <w:r w:rsidRPr="007D4733">
        <w:rPr>
          <w:rFonts w:ascii="Arial" w:hAnsi="Arial" w:cs="Arial"/>
          <w:lang w:val="en-US"/>
        </w:rPr>
        <w:t xml:space="preserve"> 7, 225-230.</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lastRenderedPageBreak/>
        <w:t>Lunkes</w:t>
      </w:r>
      <w:proofErr w:type="spellEnd"/>
      <w:r w:rsidR="002815F1" w:rsidRPr="007D4733">
        <w:rPr>
          <w:rFonts w:ascii="Arial" w:hAnsi="Arial" w:cs="Arial"/>
          <w:lang w:val="en-US"/>
        </w:rPr>
        <w:t xml:space="preserve"> GIL</w:t>
      </w:r>
      <w:r w:rsidRPr="007D4733">
        <w:rPr>
          <w:rFonts w:ascii="Arial" w:hAnsi="Arial" w:cs="Arial"/>
          <w:lang w:val="en-US"/>
        </w:rPr>
        <w:t xml:space="preserve">, </w:t>
      </w:r>
      <w:proofErr w:type="spellStart"/>
      <w:r w:rsidRPr="007D4733">
        <w:rPr>
          <w:rFonts w:ascii="Arial" w:hAnsi="Arial" w:cs="Arial"/>
          <w:lang w:val="en-US"/>
        </w:rPr>
        <w:t>Lunkes</w:t>
      </w:r>
      <w:proofErr w:type="spellEnd"/>
      <w:r w:rsidR="002815F1" w:rsidRPr="007D4733">
        <w:rPr>
          <w:rFonts w:ascii="Arial" w:hAnsi="Arial" w:cs="Arial"/>
          <w:lang w:val="en-US"/>
        </w:rPr>
        <w:t xml:space="preserve"> DS</w:t>
      </w:r>
      <w:r w:rsidRPr="007D4733">
        <w:rPr>
          <w:rFonts w:ascii="Arial" w:hAnsi="Arial" w:cs="Arial"/>
          <w:lang w:val="en-US"/>
        </w:rPr>
        <w:t xml:space="preserve">, </w:t>
      </w:r>
      <w:proofErr w:type="spellStart"/>
      <w:r w:rsidRPr="007D4733">
        <w:rPr>
          <w:rFonts w:ascii="Arial" w:hAnsi="Arial" w:cs="Arial"/>
          <w:lang w:val="en-US"/>
        </w:rPr>
        <w:t>Morsch</w:t>
      </w:r>
      <w:proofErr w:type="spellEnd"/>
      <w:r w:rsidR="002815F1" w:rsidRPr="007D4733">
        <w:rPr>
          <w:rFonts w:ascii="Arial" w:hAnsi="Arial" w:cs="Arial"/>
          <w:lang w:val="en-US"/>
        </w:rPr>
        <w:t xml:space="preserve"> VM</w:t>
      </w:r>
      <w:r w:rsidRPr="007D4733">
        <w:rPr>
          <w:rFonts w:ascii="Arial" w:hAnsi="Arial" w:cs="Arial"/>
          <w:lang w:val="en-US"/>
        </w:rPr>
        <w:t xml:space="preserve">, </w:t>
      </w:r>
      <w:proofErr w:type="spellStart"/>
      <w:r w:rsidRPr="007D4733">
        <w:rPr>
          <w:rFonts w:ascii="Arial" w:hAnsi="Arial" w:cs="Arial"/>
          <w:lang w:val="en-US"/>
        </w:rPr>
        <w:t>Mazzanti</w:t>
      </w:r>
      <w:proofErr w:type="spellEnd"/>
      <w:r w:rsidR="002815F1" w:rsidRPr="007D4733">
        <w:rPr>
          <w:rFonts w:ascii="Arial" w:hAnsi="Arial" w:cs="Arial"/>
          <w:lang w:val="en-US"/>
        </w:rPr>
        <w:t xml:space="preserve"> CM</w:t>
      </w:r>
      <w:r w:rsidRPr="007D4733">
        <w:rPr>
          <w:rFonts w:ascii="Arial" w:hAnsi="Arial" w:cs="Arial"/>
          <w:lang w:val="en-US"/>
        </w:rPr>
        <w:t xml:space="preserve">, </w:t>
      </w:r>
      <w:proofErr w:type="spellStart"/>
      <w:r w:rsidRPr="007D4733">
        <w:rPr>
          <w:rFonts w:ascii="Arial" w:hAnsi="Arial" w:cs="Arial"/>
          <w:lang w:val="en-US"/>
        </w:rPr>
        <w:t>Morsch</w:t>
      </w:r>
      <w:proofErr w:type="spellEnd"/>
      <w:r w:rsidR="002815F1" w:rsidRPr="007D4733">
        <w:rPr>
          <w:rFonts w:ascii="Arial" w:hAnsi="Arial" w:cs="Arial"/>
          <w:lang w:val="en-US"/>
        </w:rPr>
        <w:t xml:space="preserve"> ALB</w:t>
      </w:r>
      <w:r w:rsidRPr="007D4733">
        <w:rPr>
          <w:rFonts w:ascii="Arial" w:hAnsi="Arial" w:cs="Arial"/>
          <w:lang w:val="en-US"/>
        </w:rPr>
        <w:t xml:space="preserve">, </w:t>
      </w:r>
      <w:proofErr w:type="spellStart"/>
      <w:r w:rsidRPr="007D4733">
        <w:rPr>
          <w:rFonts w:ascii="Arial" w:hAnsi="Arial" w:cs="Arial"/>
          <w:lang w:val="en-US"/>
        </w:rPr>
        <w:t>Miron</w:t>
      </w:r>
      <w:proofErr w:type="spellEnd"/>
      <w:r w:rsidR="002815F1" w:rsidRPr="007D4733">
        <w:rPr>
          <w:rFonts w:ascii="Arial" w:hAnsi="Arial" w:cs="Arial"/>
          <w:lang w:val="en-US"/>
        </w:rPr>
        <w:t xml:space="preserve"> VR</w:t>
      </w:r>
      <w:r w:rsidRPr="007D4733">
        <w:rPr>
          <w:rFonts w:ascii="Arial" w:hAnsi="Arial" w:cs="Arial"/>
          <w:lang w:val="en-US"/>
        </w:rPr>
        <w:t xml:space="preserve">, </w:t>
      </w:r>
      <w:proofErr w:type="spellStart"/>
      <w:r w:rsidRPr="007D4733">
        <w:rPr>
          <w:rFonts w:ascii="Arial" w:hAnsi="Arial" w:cs="Arial"/>
          <w:lang w:val="en-US"/>
        </w:rPr>
        <w:t>Schetinger</w:t>
      </w:r>
      <w:proofErr w:type="spellEnd"/>
      <w:r w:rsidR="002815F1" w:rsidRPr="007D4733">
        <w:rPr>
          <w:rFonts w:ascii="Arial" w:hAnsi="Arial" w:cs="Arial"/>
          <w:lang w:val="en-US"/>
        </w:rPr>
        <w:t xml:space="preserve"> MRC (2004)</w:t>
      </w:r>
      <w:r w:rsidRPr="007D4733">
        <w:rPr>
          <w:rFonts w:ascii="Arial" w:hAnsi="Arial" w:cs="Arial"/>
          <w:lang w:val="en-US"/>
        </w:rPr>
        <w:t xml:space="preserve"> </w:t>
      </w:r>
      <w:proofErr w:type="spellStart"/>
      <w:r w:rsidRPr="007D4733">
        <w:rPr>
          <w:rFonts w:ascii="Arial" w:hAnsi="Arial" w:cs="Arial"/>
          <w:lang w:val="en-US"/>
        </w:rPr>
        <w:t>NTPDase</w:t>
      </w:r>
      <w:proofErr w:type="spellEnd"/>
      <w:r w:rsidRPr="007D4733">
        <w:rPr>
          <w:rFonts w:ascii="Arial" w:hAnsi="Arial" w:cs="Arial"/>
          <w:lang w:val="en-US"/>
        </w:rPr>
        <w:t xml:space="preserve"> and 5’-nucleotidase activities in rats with </w:t>
      </w:r>
      <w:proofErr w:type="spellStart"/>
      <w:r w:rsidRPr="007D4733">
        <w:rPr>
          <w:rFonts w:ascii="Arial" w:hAnsi="Arial" w:cs="Arial"/>
          <w:lang w:val="en-US"/>
        </w:rPr>
        <w:t>allozan</w:t>
      </w:r>
      <w:proofErr w:type="spellEnd"/>
      <w:r w:rsidRPr="007D4733">
        <w:rPr>
          <w:rFonts w:ascii="Arial" w:hAnsi="Arial" w:cs="Arial"/>
          <w:lang w:val="en-US"/>
        </w:rPr>
        <w:t xml:space="preserve">-induced diabetes. Diabetes Res. </w:t>
      </w:r>
      <w:proofErr w:type="spellStart"/>
      <w:r w:rsidRPr="007D4733">
        <w:rPr>
          <w:rFonts w:ascii="Arial" w:hAnsi="Arial" w:cs="Arial"/>
          <w:lang w:val="en-US"/>
        </w:rPr>
        <w:t>Clin</w:t>
      </w:r>
      <w:proofErr w:type="spellEnd"/>
      <w:r w:rsidRPr="007D4733">
        <w:rPr>
          <w:rFonts w:ascii="Arial" w:hAnsi="Arial" w:cs="Arial"/>
          <w:lang w:val="en-US"/>
        </w:rPr>
        <w:t xml:space="preserve">. </w:t>
      </w:r>
      <w:proofErr w:type="spellStart"/>
      <w:proofErr w:type="gramStart"/>
      <w:r w:rsidRPr="007D4733">
        <w:rPr>
          <w:rFonts w:ascii="Arial" w:hAnsi="Arial" w:cs="Arial"/>
          <w:lang w:val="en-US"/>
        </w:rPr>
        <w:t>Pract</w:t>
      </w:r>
      <w:proofErr w:type="spellEnd"/>
      <w:r w:rsidRPr="007D4733">
        <w:rPr>
          <w:rFonts w:ascii="Arial" w:hAnsi="Arial" w:cs="Arial"/>
          <w:lang w:val="en-US"/>
        </w:rPr>
        <w:t>.,</w:t>
      </w:r>
      <w:proofErr w:type="gramEnd"/>
      <w:r w:rsidRPr="007D4733">
        <w:rPr>
          <w:rFonts w:ascii="Arial" w:hAnsi="Arial" w:cs="Arial"/>
          <w:lang w:val="en-US"/>
        </w:rPr>
        <w:t xml:space="preserve"> 65, 1-6.</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Chan</w:t>
      </w:r>
      <w:r w:rsidR="00CA094F" w:rsidRPr="007D4733">
        <w:rPr>
          <w:rFonts w:ascii="Arial" w:hAnsi="Arial" w:cs="Arial"/>
          <w:lang w:val="en-US"/>
        </w:rPr>
        <w:t xml:space="preserve"> K</w:t>
      </w:r>
      <w:r w:rsidRPr="007D4733">
        <w:rPr>
          <w:rFonts w:ascii="Arial" w:hAnsi="Arial" w:cs="Arial"/>
          <w:lang w:val="en-US"/>
        </w:rPr>
        <w:t xml:space="preserve">, </w:t>
      </w:r>
      <w:proofErr w:type="spellStart"/>
      <w:r w:rsidRPr="007D4733">
        <w:rPr>
          <w:rFonts w:ascii="Arial" w:hAnsi="Arial" w:cs="Arial"/>
          <w:lang w:val="en-US"/>
        </w:rPr>
        <w:t>Delfert</w:t>
      </w:r>
      <w:proofErr w:type="spellEnd"/>
      <w:r w:rsidR="00CA094F" w:rsidRPr="007D4733">
        <w:rPr>
          <w:rFonts w:ascii="Arial" w:hAnsi="Arial" w:cs="Arial"/>
          <w:lang w:val="en-US"/>
        </w:rPr>
        <w:t xml:space="preserve"> D</w:t>
      </w:r>
      <w:proofErr w:type="gramStart"/>
      <w:r w:rsidRPr="007D4733">
        <w:rPr>
          <w:rFonts w:ascii="Arial" w:hAnsi="Arial" w:cs="Arial"/>
          <w:lang w:val="en-US"/>
        </w:rPr>
        <w:t xml:space="preserve">,  </w:t>
      </w:r>
      <w:proofErr w:type="spellStart"/>
      <w:r w:rsidRPr="007D4733">
        <w:rPr>
          <w:rFonts w:ascii="Arial" w:hAnsi="Arial" w:cs="Arial"/>
          <w:lang w:val="en-US"/>
        </w:rPr>
        <w:t>Junger</w:t>
      </w:r>
      <w:proofErr w:type="spellEnd"/>
      <w:proofErr w:type="gramEnd"/>
      <w:r w:rsidR="00CA094F" w:rsidRPr="007D4733">
        <w:rPr>
          <w:rFonts w:ascii="Arial" w:hAnsi="Arial" w:cs="Arial"/>
          <w:lang w:val="en-US"/>
        </w:rPr>
        <w:t xml:space="preserve"> KD (1986)</w:t>
      </w:r>
      <w:r w:rsidRPr="007D4733">
        <w:rPr>
          <w:rFonts w:ascii="Arial" w:hAnsi="Arial" w:cs="Arial"/>
          <w:lang w:val="en-US"/>
        </w:rPr>
        <w:t xml:space="preserve"> A direct colorimetric  assay  for  Ca</w:t>
      </w:r>
      <w:r w:rsidRPr="007D4733">
        <w:rPr>
          <w:rFonts w:ascii="Arial" w:hAnsi="Arial" w:cs="Arial"/>
          <w:vertAlign w:val="superscript"/>
          <w:lang w:val="en-US"/>
        </w:rPr>
        <w:t>2+</w:t>
      </w:r>
      <w:r w:rsidRPr="007D4733">
        <w:rPr>
          <w:rFonts w:ascii="Arial" w:hAnsi="Arial" w:cs="Arial"/>
          <w:lang w:val="en-US"/>
        </w:rPr>
        <w:t xml:space="preserve">-ATPase activity. Anal. </w:t>
      </w:r>
      <w:proofErr w:type="spellStart"/>
      <w:proofErr w:type="gramStart"/>
      <w:r w:rsidRPr="007D4733">
        <w:rPr>
          <w:rFonts w:ascii="Arial" w:hAnsi="Arial" w:cs="Arial"/>
          <w:lang w:val="en-US"/>
        </w:rPr>
        <w:t>Biochem</w:t>
      </w:r>
      <w:proofErr w:type="spellEnd"/>
      <w:r w:rsidRPr="007D4733">
        <w:rPr>
          <w:rFonts w:ascii="Arial" w:hAnsi="Arial" w:cs="Arial"/>
          <w:lang w:val="en-US"/>
        </w:rPr>
        <w:t>.,</w:t>
      </w:r>
      <w:proofErr w:type="gramEnd"/>
      <w:r w:rsidRPr="007D4733">
        <w:rPr>
          <w:rFonts w:ascii="Arial" w:hAnsi="Arial" w:cs="Arial"/>
          <w:lang w:val="en-US"/>
        </w:rPr>
        <w:t xml:space="preserve"> 157, 375-380.</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Ellman</w:t>
      </w:r>
      <w:proofErr w:type="spellEnd"/>
      <w:r w:rsidR="00DD1717" w:rsidRPr="007D4733">
        <w:rPr>
          <w:rFonts w:ascii="Arial" w:hAnsi="Arial" w:cs="Arial"/>
          <w:lang w:val="en-US"/>
        </w:rPr>
        <w:t xml:space="preserve"> GL</w:t>
      </w:r>
      <w:r w:rsidRPr="007D4733">
        <w:rPr>
          <w:rFonts w:ascii="Arial" w:hAnsi="Arial" w:cs="Arial"/>
          <w:lang w:val="en-US"/>
        </w:rPr>
        <w:t>, Courtney</w:t>
      </w:r>
      <w:r w:rsidR="00DD1717" w:rsidRPr="007D4733">
        <w:rPr>
          <w:rFonts w:ascii="Arial" w:hAnsi="Arial" w:cs="Arial"/>
          <w:lang w:val="en-US"/>
        </w:rPr>
        <w:t xml:space="preserve"> DK</w:t>
      </w:r>
      <w:r w:rsidRPr="007D4733">
        <w:rPr>
          <w:rFonts w:ascii="Arial" w:hAnsi="Arial" w:cs="Arial"/>
          <w:lang w:val="en-US"/>
        </w:rPr>
        <w:t>, Andres</w:t>
      </w:r>
      <w:r w:rsidR="00DD1717" w:rsidRPr="007D4733">
        <w:rPr>
          <w:rFonts w:ascii="Arial" w:hAnsi="Arial" w:cs="Arial"/>
          <w:lang w:val="en-US"/>
        </w:rPr>
        <w:t xml:space="preserve"> V</w:t>
      </w:r>
      <w:r w:rsidRPr="007D4733">
        <w:rPr>
          <w:rFonts w:ascii="Arial" w:hAnsi="Arial" w:cs="Arial"/>
          <w:lang w:val="en-US"/>
        </w:rPr>
        <w:t>, Feather-Stone</w:t>
      </w:r>
      <w:r w:rsidR="00DD1717" w:rsidRPr="007D4733">
        <w:rPr>
          <w:rFonts w:ascii="Arial" w:hAnsi="Arial" w:cs="Arial"/>
          <w:lang w:val="en-US"/>
        </w:rPr>
        <w:t xml:space="preserve"> RM (1961)</w:t>
      </w:r>
      <w:r w:rsidRPr="007D4733">
        <w:rPr>
          <w:rFonts w:ascii="Arial" w:hAnsi="Arial" w:cs="Arial"/>
          <w:lang w:val="en-US"/>
        </w:rPr>
        <w:t xml:space="preserve"> A new </w:t>
      </w:r>
      <w:proofErr w:type="gramStart"/>
      <w:r w:rsidRPr="007D4733">
        <w:rPr>
          <w:rFonts w:ascii="Arial" w:hAnsi="Arial" w:cs="Arial"/>
          <w:lang w:val="en-US"/>
        </w:rPr>
        <w:t>and  rapid</w:t>
      </w:r>
      <w:proofErr w:type="gramEnd"/>
      <w:r w:rsidRPr="007D4733">
        <w:rPr>
          <w:rFonts w:ascii="Arial" w:hAnsi="Arial" w:cs="Arial"/>
          <w:lang w:val="en-US"/>
        </w:rPr>
        <w:t xml:space="preserve">  colorimetric determination of </w:t>
      </w:r>
      <w:proofErr w:type="spellStart"/>
      <w:r w:rsidRPr="007D4733">
        <w:rPr>
          <w:rFonts w:ascii="Arial" w:hAnsi="Arial" w:cs="Arial"/>
          <w:lang w:val="en-US"/>
        </w:rPr>
        <w:t>acetylcholinesterase</w:t>
      </w:r>
      <w:proofErr w:type="spellEnd"/>
      <w:r w:rsidRPr="007D4733">
        <w:rPr>
          <w:rFonts w:ascii="Arial" w:hAnsi="Arial" w:cs="Arial"/>
          <w:lang w:val="en-US"/>
        </w:rPr>
        <w:t xml:space="preserve"> activity. </w:t>
      </w:r>
      <w:proofErr w:type="spellStart"/>
      <w:r w:rsidRPr="007D4733">
        <w:rPr>
          <w:rFonts w:ascii="Arial" w:hAnsi="Arial" w:cs="Arial"/>
          <w:lang w:val="en-US"/>
        </w:rPr>
        <w:t>Biochem</w:t>
      </w:r>
      <w:proofErr w:type="spellEnd"/>
      <w:r w:rsidRPr="007D4733">
        <w:rPr>
          <w:rFonts w:ascii="Arial" w:hAnsi="Arial" w:cs="Arial"/>
          <w:lang w:val="en-US"/>
        </w:rPr>
        <w:t xml:space="preserve">. </w:t>
      </w:r>
      <w:proofErr w:type="spellStart"/>
      <w:proofErr w:type="gramStart"/>
      <w:r w:rsidRPr="007D4733">
        <w:rPr>
          <w:rFonts w:ascii="Arial" w:hAnsi="Arial" w:cs="Arial"/>
          <w:lang w:val="en-US"/>
        </w:rPr>
        <w:t>Pharmacol</w:t>
      </w:r>
      <w:proofErr w:type="spellEnd"/>
      <w:r w:rsidRPr="007D4733">
        <w:rPr>
          <w:rFonts w:ascii="Arial" w:hAnsi="Arial" w:cs="Arial"/>
          <w:lang w:val="en-US"/>
        </w:rPr>
        <w:t>.,</w:t>
      </w:r>
      <w:proofErr w:type="gramEnd"/>
      <w:r w:rsidRPr="007D4733">
        <w:rPr>
          <w:rFonts w:ascii="Arial" w:hAnsi="Arial" w:cs="Arial"/>
          <w:lang w:val="en-US"/>
        </w:rPr>
        <w:t xml:space="preserve"> 7, 88-95.</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Worek</w:t>
      </w:r>
      <w:proofErr w:type="spellEnd"/>
      <w:r w:rsidR="004E3B37" w:rsidRPr="007D4733">
        <w:rPr>
          <w:rFonts w:ascii="Arial" w:hAnsi="Arial" w:cs="Arial"/>
          <w:lang w:val="en-US"/>
        </w:rPr>
        <w:t xml:space="preserve"> F</w:t>
      </w:r>
      <w:r w:rsidRPr="007D4733">
        <w:rPr>
          <w:rFonts w:ascii="Arial" w:hAnsi="Arial" w:cs="Arial"/>
          <w:lang w:val="en-US"/>
        </w:rPr>
        <w:t>, Mast</w:t>
      </w:r>
      <w:r w:rsidR="004E3B37" w:rsidRPr="007D4733">
        <w:rPr>
          <w:rFonts w:ascii="Arial" w:hAnsi="Arial" w:cs="Arial"/>
          <w:lang w:val="en-US"/>
        </w:rPr>
        <w:t xml:space="preserve"> U</w:t>
      </w:r>
      <w:r w:rsidRPr="007D4733">
        <w:rPr>
          <w:rFonts w:ascii="Arial" w:hAnsi="Arial" w:cs="Arial"/>
          <w:lang w:val="en-US"/>
        </w:rPr>
        <w:t xml:space="preserve">, </w:t>
      </w:r>
      <w:proofErr w:type="spellStart"/>
      <w:r w:rsidRPr="007D4733">
        <w:rPr>
          <w:rFonts w:ascii="Arial" w:hAnsi="Arial" w:cs="Arial"/>
          <w:lang w:val="en-US"/>
        </w:rPr>
        <w:t>Kiderlen</w:t>
      </w:r>
      <w:proofErr w:type="spellEnd"/>
      <w:r w:rsidR="004E3B37"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Diepold</w:t>
      </w:r>
      <w:proofErr w:type="spellEnd"/>
      <w:r w:rsidR="004E3B37" w:rsidRPr="007D4733">
        <w:rPr>
          <w:rFonts w:ascii="Arial" w:hAnsi="Arial" w:cs="Arial"/>
          <w:lang w:val="en-US"/>
        </w:rPr>
        <w:t xml:space="preserve"> C</w:t>
      </w:r>
      <w:r w:rsidRPr="007D4733">
        <w:rPr>
          <w:rFonts w:ascii="Arial" w:hAnsi="Arial" w:cs="Arial"/>
          <w:lang w:val="en-US"/>
        </w:rPr>
        <w:t xml:space="preserve">, </w:t>
      </w:r>
      <w:proofErr w:type="spellStart"/>
      <w:r w:rsidRPr="007D4733">
        <w:rPr>
          <w:rFonts w:ascii="Arial" w:hAnsi="Arial" w:cs="Arial"/>
          <w:lang w:val="en-US"/>
        </w:rPr>
        <w:t>Eyer</w:t>
      </w:r>
      <w:proofErr w:type="spellEnd"/>
      <w:r w:rsidR="004E3B37" w:rsidRPr="007D4733">
        <w:rPr>
          <w:rFonts w:ascii="Arial" w:hAnsi="Arial" w:cs="Arial"/>
          <w:lang w:val="en-US"/>
        </w:rPr>
        <w:t xml:space="preserve"> P (1999)</w:t>
      </w:r>
      <w:r w:rsidRPr="007D4733">
        <w:rPr>
          <w:rFonts w:ascii="Arial" w:hAnsi="Arial" w:cs="Arial"/>
          <w:lang w:val="en-US"/>
        </w:rPr>
        <w:t xml:space="preserve"> Improved determination of </w:t>
      </w:r>
      <w:proofErr w:type="spellStart"/>
      <w:r w:rsidRPr="007D4733">
        <w:rPr>
          <w:rFonts w:ascii="Arial" w:hAnsi="Arial" w:cs="Arial"/>
          <w:lang w:val="en-US"/>
        </w:rPr>
        <w:t>acetylcholinesterase</w:t>
      </w:r>
      <w:proofErr w:type="spellEnd"/>
      <w:r w:rsidRPr="007D4733">
        <w:rPr>
          <w:rFonts w:ascii="Arial" w:hAnsi="Arial" w:cs="Arial"/>
          <w:lang w:val="en-US"/>
        </w:rPr>
        <w:t xml:space="preserve"> activity in human whole blood. </w:t>
      </w:r>
      <w:proofErr w:type="spellStart"/>
      <w:r w:rsidRPr="007D4733">
        <w:rPr>
          <w:rFonts w:ascii="Arial" w:hAnsi="Arial" w:cs="Arial"/>
          <w:lang w:val="en-US"/>
        </w:rPr>
        <w:t>Clin</w:t>
      </w:r>
      <w:proofErr w:type="spellEnd"/>
      <w:r w:rsidRPr="007D4733">
        <w:rPr>
          <w:rFonts w:ascii="Arial" w:hAnsi="Arial" w:cs="Arial"/>
          <w:lang w:val="en-US"/>
        </w:rPr>
        <w:t xml:space="preserve">. </w:t>
      </w:r>
      <w:proofErr w:type="spellStart"/>
      <w:r w:rsidRPr="007D4733">
        <w:rPr>
          <w:rFonts w:ascii="Arial" w:hAnsi="Arial" w:cs="Arial"/>
          <w:lang w:val="en-US"/>
        </w:rPr>
        <w:t>Chim</w:t>
      </w:r>
      <w:proofErr w:type="spellEnd"/>
      <w:r w:rsidRPr="007D4733">
        <w:rPr>
          <w:rFonts w:ascii="Arial" w:hAnsi="Arial" w:cs="Arial"/>
          <w:lang w:val="en-US"/>
        </w:rPr>
        <w:t xml:space="preserve">. </w:t>
      </w:r>
      <w:proofErr w:type="spellStart"/>
      <w:r w:rsidRPr="007D4733">
        <w:rPr>
          <w:rFonts w:ascii="Arial" w:hAnsi="Arial" w:cs="Arial"/>
          <w:lang w:val="en-US"/>
        </w:rPr>
        <w:t>Acta</w:t>
      </w:r>
      <w:proofErr w:type="spellEnd"/>
      <w:r w:rsidRPr="007D4733">
        <w:rPr>
          <w:rFonts w:ascii="Arial" w:hAnsi="Arial" w:cs="Arial"/>
          <w:lang w:val="en-US"/>
        </w:rPr>
        <w:t>, 288, 73-90.</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Bradford</w:t>
      </w:r>
      <w:r w:rsidR="00EF08EB" w:rsidRPr="007D4733">
        <w:rPr>
          <w:rFonts w:ascii="Arial" w:hAnsi="Arial" w:cs="Arial"/>
          <w:lang w:val="en-US"/>
        </w:rPr>
        <w:t xml:space="preserve"> MM (1976)</w:t>
      </w:r>
      <w:r w:rsidRPr="007D4733">
        <w:rPr>
          <w:rFonts w:ascii="Arial" w:hAnsi="Arial" w:cs="Arial"/>
          <w:lang w:val="en-US"/>
        </w:rPr>
        <w:t xml:space="preserve"> A rapid and sensitive </w:t>
      </w:r>
      <w:proofErr w:type="spellStart"/>
      <w:r w:rsidRPr="007D4733">
        <w:rPr>
          <w:rFonts w:ascii="Arial" w:hAnsi="Arial" w:cs="Arial"/>
          <w:lang w:val="en-US"/>
        </w:rPr>
        <w:t>methodfor</w:t>
      </w:r>
      <w:proofErr w:type="spellEnd"/>
      <w:r w:rsidRPr="007D4733">
        <w:rPr>
          <w:rFonts w:ascii="Arial" w:hAnsi="Arial" w:cs="Arial"/>
          <w:lang w:val="en-US"/>
        </w:rPr>
        <w:t xml:space="preserve"> the quantification of microgram quantities of protein utilizing the principle of protein-dye binding. Anal. </w:t>
      </w:r>
      <w:proofErr w:type="spellStart"/>
      <w:proofErr w:type="gramStart"/>
      <w:r w:rsidRPr="007D4733">
        <w:rPr>
          <w:rFonts w:ascii="Arial" w:hAnsi="Arial" w:cs="Arial"/>
          <w:lang w:val="en-US"/>
        </w:rPr>
        <w:t>Biochem</w:t>
      </w:r>
      <w:proofErr w:type="spellEnd"/>
      <w:r w:rsidRPr="007D4733">
        <w:rPr>
          <w:rFonts w:ascii="Arial" w:hAnsi="Arial" w:cs="Arial"/>
          <w:lang w:val="en-US"/>
        </w:rPr>
        <w:t>.,</w:t>
      </w:r>
      <w:proofErr w:type="gramEnd"/>
      <w:r w:rsidRPr="007D4733">
        <w:rPr>
          <w:rFonts w:ascii="Arial" w:hAnsi="Arial" w:cs="Arial"/>
          <w:lang w:val="en-US"/>
        </w:rPr>
        <w:t xml:space="preserve"> 72, 218-254.</w:t>
      </w:r>
    </w:p>
    <w:p w:rsidR="00B92FDF" w:rsidRPr="007D4733" w:rsidRDefault="00B92FDF" w:rsidP="00B92FDF">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 xml:space="preserve">Husain I, Akhtar M, </w:t>
      </w:r>
      <w:proofErr w:type="spellStart"/>
      <w:r w:rsidRPr="007D4733">
        <w:rPr>
          <w:rFonts w:ascii="Arial" w:hAnsi="Arial" w:cs="Arial"/>
          <w:lang w:val="en-US"/>
        </w:rPr>
        <w:t>Vohora</w:t>
      </w:r>
      <w:proofErr w:type="spellEnd"/>
      <w:r w:rsidRPr="007D4733">
        <w:rPr>
          <w:rFonts w:ascii="Arial" w:hAnsi="Arial" w:cs="Arial"/>
          <w:lang w:val="en-US"/>
        </w:rPr>
        <w:t xml:space="preserve"> D, </w:t>
      </w:r>
      <w:proofErr w:type="spellStart"/>
      <w:r w:rsidRPr="007D4733">
        <w:rPr>
          <w:rFonts w:ascii="Arial" w:hAnsi="Arial" w:cs="Arial"/>
          <w:lang w:val="en-US"/>
        </w:rPr>
        <w:t>Abdin</w:t>
      </w:r>
      <w:proofErr w:type="spellEnd"/>
      <w:r w:rsidRPr="007D4733">
        <w:rPr>
          <w:rFonts w:ascii="Arial" w:hAnsi="Arial" w:cs="Arial"/>
          <w:lang w:val="en-US"/>
        </w:rPr>
        <w:t xml:space="preserve"> MZ, </w:t>
      </w:r>
      <w:proofErr w:type="spellStart"/>
      <w:r w:rsidRPr="007D4733">
        <w:rPr>
          <w:rFonts w:ascii="Arial" w:hAnsi="Arial" w:cs="Arial"/>
          <w:lang w:val="en-US"/>
        </w:rPr>
        <w:t>Islamuddin</w:t>
      </w:r>
      <w:proofErr w:type="spellEnd"/>
      <w:r w:rsidRPr="007D4733">
        <w:rPr>
          <w:rFonts w:ascii="Arial" w:hAnsi="Arial" w:cs="Arial"/>
          <w:lang w:val="en-US"/>
        </w:rPr>
        <w:t xml:space="preserve"> M, Akhtar MJ, </w:t>
      </w:r>
      <w:proofErr w:type="spellStart"/>
      <w:r w:rsidRPr="007D4733">
        <w:rPr>
          <w:rFonts w:ascii="Arial" w:hAnsi="Arial" w:cs="Arial"/>
          <w:lang w:val="en-US"/>
        </w:rPr>
        <w:t>Najmi</w:t>
      </w:r>
      <w:proofErr w:type="spellEnd"/>
      <w:r w:rsidRPr="007D4733">
        <w:rPr>
          <w:rFonts w:ascii="Arial" w:hAnsi="Arial" w:cs="Arial"/>
          <w:lang w:val="en-US"/>
        </w:rPr>
        <w:t xml:space="preserve"> AK (2017) </w:t>
      </w:r>
      <w:proofErr w:type="spellStart"/>
      <w:r w:rsidRPr="007D4733">
        <w:rPr>
          <w:rFonts w:ascii="Arial" w:hAnsi="Arial" w:cs="Arial"/>
          <w:lang w:val="en-US"/>
        </w:rPr>
        <w:t>Rosuvastatin</w:t>
      </w:r>
      <w:proofErr w:type="spellEnd"/>
      <w:r w:rsidRPr="007D4733">
        <w:rPr>
          <w:rFonts w:ascii="Arial" w:hAnsi="Arial" w:cs="Arial"/>
          <w:lang w:val="en-US"/>
        </w:rPr>
        <w:t xml:space="preserve"> attenuates high-salt and cholesterol diet induced </w:t>
      </w:r>
      <w:proofErr w:type="spellStart"/>
      <w:r w:rsidRPr="007D4733">
        <w:rPr>
          <w:rFonts w:ascii="Arial" w:hAnsi="Arial" w:cs="Arial"/>
          <w:lang w:val="en-US"/>
        </w:rPr>
        <w:t>neuroinflammation</w:t>
      </w:r>
      <w:proofErr w:type="spellEnd"/>
      <w:r w:rsidRPr="007D4733">
        <w:rPr>
          <w:rFonts w:ascii="Arial" w:hAnsi="Arial" w:cs="Arial"/>
          <w:lang w:val="en-US"/>
        </w:rPr>
        <w:t xml:space="preserve"> and cognitive impairment via preventing nuclear factor </w:t>
      </w:r>
      <w:proofErr w:type="spellStart"/>
      <w:r w:rsidRPr="007D4733">
        <w:rPr>
          <w:rFonts w:ascii="Arial" w:hAnsi="Arial" w:cs="Arial"/>
          <w:lang w:val="en-US"/>
        </w:rPr>
        <w:t>KappaB</w:t>
      </w:r>
      <w:proofErr w:type="spellEnd"/>
      <w:r w:rsidRPr="007D4733">
        <w:rPr>
          <w:rFonts w:ascii="Arial" w:hAnsi="Arial" w:cs="Arial"/>
          <w:lang w:val="en-US"/>
        </w:rPr>
        <w:t xml:space="preserve"> pathway. </w:t>
      </w:r>
      <w:proofErr w:type="spellStart"/>
      <w:r w:rsidRPr="007D4733">
        <w:rPr>
          <w:rFonts w:ascii="Arial" w:hAnsi="Arial" w:cs="Arial"/>
          <w:lang w:val="en-US"/>
        </w:rPr>
        <w:t>Neurochem</w:t>
      </w:r>
      <w:proofErr w:type="spellEnd"/>
      <w:r w:rsidRPr="007D4733">
        <w:rPr>
          <w:rFonts w:ascii="Arial" w:hAnsi="Arial" w:cs="Arial"/>
          <w:lang w:val="en-US"/>
        </w:rPr>
        <w:t xml:space="preserve">. Res. </w:t>
      </w:r>
      <w:proofErr w:type="spellStart"/>
      <w:r w:rsidR="002656CC" w:rsidRPr="007D4733">
        <w:rPr>
          <w:rFonts w:ascii="Arial" w:hAnsi="Arial" w:cs="Arial"/>
          <w:lang w:val="en-US"/>
        </w:rPr>
        <w:t>d</w:t>
      </w:r>
      <w:r w:rsidRPr="007D4733">
        <w:rPr>
          <w:rFonts w:ascii="Arial" w:hAnsi="Arial" w:cs="Arial"/>
          <w:lang w:val="en-US"/>
        </w:rPr>
        <w:t>oi</w:t>
      </w:r>
      <w:proofErr w:type="spellEnd"/>
      <w:r w:rsidRPr="007D4733">
        <w:rPr>
          <w:rFonts w:ascii="Arial" w:hAnsi="Arial" w:cs="Arial"/>
          <w:lang w:val="en-US"/>
        </w:rPr>
        <w:t>: 10.1007/s11064-017-2264-2</w:t>
      </w:r>
      <w:r w:rsidR="002656CC" w:rsidRPr="007D4733">
        <w:rPr>
          <w:rFonts w:ascii="Arial" w:hAnsi="Arial" w:cs="Arial"/>
          <w:lang w:val="en-US"/>
        </w:rPr>
        <w:t>.</w:t>
      </w:r>
    </w:p>
    <w:p w:rsidR="002A3471" w:rsidRPr="007D4733" w:rsidRDefault="002A3471" w:rsidP="002A3471">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Kaizer</w:t>
      </w:r>
      <w:proofErr w:type="spellEnd"/>
      <w:r w:rsidRPr="007D4733">
        <w:rPr>
          <w:rFonts w:ascii="Arial" w:hAnsi="Arial" w:cs="Arial"/>
          <w:lang w:val="en-US"/>
        </w:rPr>
        <w:t xml:space="preserve"> RR, </w:t>
      </w:r>
      <w:proofErr w:type="spellStart"/>
      <w:r w:rsidRPr="007D4733">
        <w:rPr>
          <w:rFonts w:ascii="Arial" w:hAnsi="Arial" w:cs="Arial"/>
          <w:lang w:val="en-US"/>
        </w:rPr>
        <w:t>Spanevello</w:t>
      </w:r>
      <w:proofErr w:type="spellEnd"/>
      <w:r w:rsidRPr="007D4733">
        <w:rPr>
          <w:rFonts w:ascii="Arial" w:hAnsi="Arial" w:cs="Arial"/>
          <w:lang w:val="en-US"/>
        </w:rPr>
        <w:t xml:space="preserve"> RM, Costa E, </w:t>
      </w:r>
      <w:proofErr w:type="spellStart"/>
      <w:r w:rsidRPr="007D4733">
        <w:rPr>
          <w:rFonts w:ascii="Arial" w:hAnsi="Arial" w:cs="Arial"/>
          <w:lang w:val="en-US"/>
        </w:rPr>
        <w:t>Morsch</w:t>
      </w:r>
      <w:proofErr w:type="spellEnd"/>
      <w:r w:rsidRPr="007D4733">
        <w:rPr>
          <w:rFonts w:ascii="Arial" w:hAnsi="Arial" w:cs="Arial"/>
          <w:lang w:val="en-US"/>
        </w:rPr>
        <w:t xml:space="preserve"> VM, </w:t>
      </w:r>
      <w:proofErr w:type="spellStart"/>
      <w:r w:rsidRPr="007D4733">
        <w:rPr>
          <w:rFonts w:ascii="Arial" w:hAnsi="Arial" w:cs="Arial"/>
          <w:lang w:val="en-US"/>
        </w:rPr>
        <w:t>Schetinger</w:t>
      </w:r>
      <w:proofErr w:type="spellEnd"/>
      <w:r w:rsidRPr="007D4733">
        <w:rPr>
          <w:rFonts w:ascii="Arial" w:hAnsi="Arial" w:cs="Arial"/>
          <w:lang w:val="en-US"/>
        </w:rPr>
        <w:t xml:space="preserve"> MRC (2017) Effect of high fat diets on the </w:t>
      </w:r>
      <w:proofErr w:type="spellStart"/>
      <w:r w:rsidRPr="007D4733">
        <w:rPr>
          <w:rFonts w:ascii="Arial" w:hAnsi="Arial" w:cs="Arial"/>
          <w:lang w:val="en-US"/>
        </w:rPr>
        <w:t>NTPDase</w:t>
      </w:r>
      <w:proofErr w:type="spellEnd"/>
      <w:r w:rsidRPr="007D4733">
        <w:rPr>
          <w:rFonts w:ascii="Arial" w:hAnsi="Arial" w:cs="Arial"/>
          <w:lang w:val="en-US"/>
        </w:rPr>
        <w:t xml:space="preserve">, 5’-nucleotidase and </w:t>
      </w:r>
      <w:proofErr w:type="spellStart"/>
      <w:r w:rsidRPr="007D4733">
        <w:rPr>
          <w:rFonts w:ascii="Arial" w:hAnsi="Arial" w:cs="Arial"/>
          <w:lang w:val="en-US"/>
        </w:rPr>
        <w:t>acetylcholinesterase</w:t>
      </w:r>
      <w:proofErr w:type="spellEnd"/>
      <w:r w:rsidRPr="007D4733">
        <w:rPr>
          <w:rFonts w:ascii="Arial" w:hAnsi="Arial" w:cs="Arial"/>
          <w:lang w:val="en-US"/>
        </w:rPr>
        <w:t xml:space="preserve"> activities in the central nervous system. Int. J. Dev. </w:t>
      </w:r>
      <w:proofErr w:type="spellStart"/>
      <w:r w:rsidRPr="007D4733">
        <w:rPr>
          <w:rFonts w:ascii="Arial" w:hAnsi="Arial" w:cs="Arial"/>
          <w:lang w:val="en-US"/>
        </w:rPr>
        <w:t>Neurosci</w:t>
      </w:r>
      <w:proofErr w:type="spellEnd"/>
      <w:r w:rsidRPr="007D4733">
        <w:rPr>
          <w:rFonts w:ascii="Arial" w:hAnsi="Arial" w:cs="Arial"/>
          <w:lang w:val="en-US"/>
        </w:rPr>
        <w:t xml:space="preserve">. </w:t>
      </w:r>
      <w:proofErr w:type="spellStart"/>
      <w:proofErr w:type="gramStart"/>
      <w:r w:rsidRPr="007D4733">
        <w:rPr>
          <w:rFonts w:ascii="Arial" w:hAnsi="Arial" w:cs="Arial"/>
          <w:lang w:val="en-US"/>
        </w:rPr>
        <w:t>doi</w:t>
      </w:r>
      <w:proofErr w:type="spellEnd"/>
      <w:proofErr w:type="gramEnd"/>
      <w:r w:rsidRPr="007D4733">
        <w:rPr>
          <w:rFonts w:ascii="Arial" w:hAnsi="Arial" w:cs="Arial"/>
          <w:lang w:val="en-US"/>
        </w:rPr>
        <w:t>: 10.1016/j.ijdevneu.2017.02.007.</w:t>
      </w:r>
    </w:p>
    <w:p w:rsidR="00C12AE4" w:rsidRPr="007D4733" w:rsidRDefault="00262A65" w:rsidP="00C12AE4">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Kaizer</w:t>
      </w:r>
      <w:proofErr w:type="spellEnd"/>
      <w:r w:rsidR="003A24E8" w:rsidRPr="007D4733">
        <w:rPr>
          <w:rFonts w:ascii="Arial" w:hAnsi="Arial" w:cs="Arial"/>
          <w:lang w:val="en-US"/>
        </w:rPr>
        <w:t xml:space="preserve"> RR</w:t>
      </w:r>
      <w:r w:rsidRPr="007D4733">
        <w:rPr>
          <w:rFonts w:ascii="Arial" w:hAnsi="Arial" w:cs="Arial"/>
          <w:lang w:val="en-US"/>
        </w:rPr>
        <w:t>,</w:t>
      </w:r>
      <w:r w:rsidR="00C12AE4" w:rsidRPr="007D4733">
        <w:rPr>
          <w:rFonts w:ascii="Arial" w:hAnsi="Arial" w:cs="Arial"/>
          <w:lang w:val="en-US"/>
        </w:rPr>
        <w:t xml:space="preserve"> </w:t>
      </w:r>
      <w:proofErr w:type="spellStart"/>
      <w:r w:rsidR="00C12AE4" w:rsidRPr="007D4733">
        <w:rPr>
          <w:rFonts w:ascii="Arial" w:hAnsi="Arial" w:cs="Arial"/>
          <w:lang w:val="en-US"/>
        </w:rPr>
        <w:t>Corrêa</w:t>
      </w:r>
      <w:proofErr w:type="spellEnd"/>
      <w:r w:rsidR="003A24E8" w:rsidRPr="007D4733">
        <w:rPr>
          <w:rFonts w:ascii="Arial" w:hAnsi="Arial" w:cs="Arial"/>
          <w:lang w:val="en-US"/>
        </w:rPr>
        <w:t xml:space="preserve"> MC</w:t>
      </w:r>
      <w:r w:rsidR="00C12AE4" w:rsidRPr="007D4733">
        <w:rPr>
          <w:rFonts w:ascii="Arial" w:hAnsi="Arial" w:cs="Arial"/>
          <w:lang w:val="en-US"/>
        </w:rPr>
        <w:t>, Gris</w:t>
      </w:r>
      <w:r w:rsidR="003A24E8" w:rsidRPr="007D4733">
        <w:rPr>
          <w:rFonts w:ascii="Arial" w:hAnsi="Arial" w:cs="Arial"/>
          <w:lang w:val="en-US"/>
        </w:rPr>
        <w:t xml:space="preserve"> LRS</w:t>
      </w:r>
      <w:r w:rsidR="00C12AE4" w:rsidRPr="007D4733">
        <w:rPr>
          <w:rFonts w:ascii="Arial" w:hAnsi="Arial" w:cs="Arial"/>
          <w:lang w:val="en-US"/>
        </w:rPr>
        <w:t>, da Rosa</w:t>
      </w:r>
      <w:r w:rsidR="003A24E8" w:rsidRPr="007D4733">
        <w:rPr>
          <w:rFonts w:ascii="Arial" w:hAnsi="Arial" w:cs="Arial"/>
          <w:lang w:val="en-US"/>
        </w:rPr>
        <w:t xml:space="preserve"> CS</w:t>
      </w:r>
      <w:r w:rsidR="00C12AE4" w:rsidRPr="007D4733">
        <w:rPr>
          <w:rFonts w:ascii="Arial" w:hAnsi="Arial" w:cs="Arial"/>
          <w:lang w:val="en-US"/>
        </w:rPr>
        <w:t xml:space="preserve">, </w:t>
      </w:r>
      <w:proofErr w:type="spellStart"/>
      <w:r w:rsidR="00C12AE4" w:rsidRPr="007D4733">
        <w:rPr>
          <w:rFonts w:ascii="Arial" w:hAnsi="Arial" w:cs="Arial"/>
          <w:lang w:val="en-US"/>
        </w:rPr>
        <w:t>Bohrer</w:t>
      </w:r>
      <w:proofErr w:type="spellEnd"/>
      <w:r w:rsidR="003A24E8" w:rsidRPr="007D4733">
        <w:rPr>
          <w:rFonts w:ascii="Arial" w:hAnsi="Arial" w:cs="Arial"/>
          <w:lang w:val="en-US"/>
        </w:rPr>
        <w:t xml:space="preserve"> D</w:t>
      </w:r>
      <w:r w:rsidR="00C12AE4" w:rsidRPr="007D4733">
        <w:rPr>
          <w:rFonts w:ascii="Arial" w:hAnsi="Arial" w:cs="Arial"/>
          <w:lang w:val="en-US"/>
        </w:rPr>
        <w:t xml:space="preserve">, </w:t>
      </w:r>
      <w:proofErr w:type="spellStart"/>
      <w:r w:rsidR="00C12AE4" w:rsidRPr="007D4733">
        <w:rPr>
          <w:rFonts w:ascii="Arial" w:hAnsi="Arial" w:cs="Arial"/>
          <w:lang w:val="en-US"/>
        </w:rPr>
        <w:t>Morsch</w:t>
      </w:r>
      <w:proofErr w:type="spellEnd"/>
      <w:r w:rsidR="003A24E8" w:rsidRPr="007D4733">
        <w:rPr>
          <w:rFonts w:ascii="Arial" w:hAnsi="Arial" w:cs="Arial"/>
          <w:lang w:val="en-US"/>
        </w:rPr>
        <w:t xml:space="preserve"> VM</w:t>
      </w:r>
      <w:r w:rsidR="00C12AE4" w:rsidRPr="007D4733">
        <w:rPr>
          <w:rFonts w:ascii="Arial" w:hAnsi="Arial" w:cs="Arial"/>
          <w:lang w:val="en-US"/>
        </w:rPr>
        <w:t xml:space="preserve">, </w:t>
      </w:r>
      <w:proofErr w:type="spellStart"/>
      <w:r w:rsidR="00C12AE4" w:rsidRPr="007D4733">
        <w:rPr>
          <w:rFonts w:ascii="Arial" w:hAnsi="Arial" w:cs="Arial"/>
          <w:lang w:val="en-US"/>
        </w:rPr>
        <w:t>Schetinger</w:t>
      </w:r>
      <w:proofErr w:type="spellEnd"/>
      <w:r w:rsidR="003A24E8" w:rsidRPr="007D4733">
        <w:rPr>
          <w:rFonts w:ascii="Arial" w:hAnsi="Arial" w:cs="Arial"/>
          <w:lang w:val="en-US"/>
        </w:rPr>
        <w:t xml:space="preserve"> MRC (2008)</w:t>
      </w:r>
      <w:r w:rsidR="00C12AE4" w:rsidRPr="007D4733">
        <w:rPr>
          <w:rFonts w:ascii="Arial" w:hAnsi="Arial" w:cs="Arial"/>
          <w:lang w:val="en-US"/>
        </w:rPr>
        <w:t xml:space="preserve"> Effect of Long-Term Exposure to Aluminum on the </w:t>
      </w:r>
      <w:proofErr w:type="spellStart"/>
      <w:r w:rsidR="00C12AE4" w:rsidRPr="007D4733">
        <w:rPr>
          <w:rFonts w:ascii="Arial" w:hAnsi="Arial" w:cs="Arial"/>
          <w:lang w:val="en-US"/>
        </w:rPr>
        <w:t>Acetylcholinesterase</w:t>
      </w:r>
      <w:proofErr w:type="spellEnd"/>
      <w:r w:rsidR="00C12AE4" w:rsidRPr="007D4733">
        <w:rPr>
          <w:rFonts w:ascii="Arial" w:hAnsi="Arial" w:cs="Arial"/>
          <w:lang w:val="en-US"/>
        </w:rPr>
        <w:t xml:space="preserve"> Activity in the Central Nervous System and Erythrocytes. </w:t>
      </w:r>
      <w:proofErr w:type="spellStart"/>
      <w:r w:rsidR="00C12AE4" w:rsidRPr="007D4733">
        <w:rPr>
          <w:rFonts w:ascii="Arial" w:hAnsi="Arial" w:cs="Arial"/>
          <w:lang w:val="en-US"/>
        </w:rPr>
        <w:t>Neurochem</w:t>
      </w:r>
      <w:proofErr w:type="spellEnd"/>
      <w:r w:rsidR="00C12AE4" w:rsidRPr="007D4733">
        <w:rPr>
          <w:rFonts w:ascii="Arial" w:hAnsi="Arial" w:cs="Arial"/>
          <w:lang w:val="en-US"/>
        </w:rPr>
        <w:t>. Res., 33, 2294-2301.</w:t>
      </w:r>
    </w:p>
    <w:p w:rsidR="00BD583D" w:rsidRPr="007D4733" w:rsidRDefault="00867955" w:rsidP="00C12AE4">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lastRenderedPageBreak/>
        <w:t>Schetinger</w:t>
      </w:r>
      <w:proofErr w:type="spellEnd"/>
      <w:r w:rsidR="00FB3838" w:rsidRPr="007D4733">
        <w:rPr>
          <w:rFonts w:ascii="Arial" w:hAnsi="Arial" w:cs="Arial"/>
          <w:lang w:val="en-US"/>
        </w:rPr>
        <w:t xml:space="preserve"> MRC</w:t>
      </w:r>
      <w:r w:rsidRPr="007D4733">
        <w:rPr>
          <w:rFonts w:ascii="Arial" w:hAnsi="Arial" w:cs="Arial"/>
          <w:lang w:val="en-US"/>
        </w:rPr>
        <w:t xml:space="preserve">, </w:t>
      </w:r>
      <w:proofErr w:type="spellStart"/>
      <w:r w:rsidRPr="007D4733">
        <w:rPr>
          <w:rFonts w:ascii="Arial" w:hAnsi="Arial" w:cs="Arial"/>
          <w:lang w:val="en-US"/>
        </w:rPr>
        <w:t>Morsch</w:t>
      </w:r>
      <w:proofErr w:type="spellEnd"/>
      <w:r w:rsidR="00FB3838" w:rsidRPr="007D4733">
        <w:rPr>
          <w:rFonts w:ascii="Arial" w:hAnsi="Arial" w:cs="Arial"/>
          <w:lang w:val="en-US"/>
        </w:rPr>
        <w:t xml:space="preserve"> VM</w:t>
      </w:r>
      <w:r w:rsidRPr="007D4733">
        <w:rPr>
          <w:rFonts w:ascii="Arial" w:hAnsi="Arial" w:cs="Arial"/>
          <w:lang w:val="en-US"/>
        </w:rPr>
        <w:t xml:space="preserve">, </w:t>
      </w:r>
      <w:proofErr w:type="spellStart"/>
      <w:r w:rsidRPr="007D4733">
        <w:rPr>
          <w:rFonts w:ascii="Arial" w:hAnsi="Arial" w:cs="Arial"/>
          <w:lang w:val="en-US"/>
        </w:rPr>
        <w:t>Bonan</w:t>
      </w:r>
      <w:proofErr w:type="spellEnd"/>
      <w:r w:rsidR="00FB3838" w:rsidRPr="007D4733">
        <w:rPr>
          <w:rFonts w:ascii="Arial" w:hAnsi="Arial" w:cs="Arial"/>
          <w:lang w:val="en-US"/>
        </w:rPr>
        <w:t xml:space="preserve"> CD</w:t>
      </w:r>
      <w:r w:rsidRPr="007D4733">
        <w:rPr>
          <w:rFonts w:ascii="Arial" w:hAnsi="Arial" w:cs="Arial"/>
          <w:lang w:val="en-US"/>
        </w:rPr>
        <w:t>, Wyse</w:t>
      </w:r>
      <w:r w:rsidR="00FB3838" w:rsidRPr="007D4733">
        <w:rPr>
          <w:rFonts w:ascii="Arial" w:hAnsi="Arial" w:cs="Arial"/>
          <w:lang w:val="en-US"/>
        </w:rPr>
        <w:t xml:space="preserve"> ATS (2007)</w:t>
      </w:r>
      <w:r w:rsidRPr="007D4733">
        <w:rPr>
          <w:rFonts w:ascii="Arial" w:hAnsi="Arial" w:cs="Arial"/>
          <w:lang w:val="en-US"/>
        </w:rPr>
        <w:t xml:space="preserve"> </w:t>
      </w:r>
      <w:proofErr w:type="spellStart"/>
      <w:r w:rsidRPr="007D4733">
        <w:rPr>
          <w:rFonts w:ascii="Arial" w:hAnsi="Arial" w:cs="Arial"/>
          <w:lang w:val="en-US"/>
        </w:rPr>
        <w:t>NTPDase</w:t>
      </w:r>
      <w:proofErr w:type="spellEnd"/>
      <w:r w:rsidRPr="007D4733">
        <w:rPr>
          <w:rFonts w:ascii="Arial" w:hAnsi="Arial" w:cs="Arial"/>
          <w:lang w:val="en-US"/>
        </w:rPr>
        <w:t xml:space="preserve"> and 5’-nucleotidase activities in physiological and disease conditions: New perspectives for human health. </w:t>
      </w:r>
      <w:proofErr w:type="spellStart"/>
      <w:r w:rsidRPr="007D4733">
        <w:rPr>
          <w:rFonts w:ascii="Arial" w:hAnsi="Arial" w:cs="Arial"/>
          <w:lang w:val="en-US"/>
        </w:rPr>
        <w:t>BioFactors</w:t>
      </w:r>
      <w:proofErr w:type="spellEnd"/>
      <w:r w:rsidRPr="007D4733">
        <w:rPr>
          <w:rFonts w:ascii="Arial" w:hAnsi="Arial" w:cs="Arial"/>
          <w:lang w:val="en-US"/>
        </w:rPr>
        <w:t xml:space="preserve"> 31, 77-98.</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Varga-Szabo</w:t>
      </w:r>
      <w:proofErr w:type="spellEnd"/>
      <w:r w:rsidR="005171AE"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Pleines</w:t>
      </w:r>
      <w:proofErr w:type="spellEnd"/>
      <w:r w:rsidR="005171AE" w:rsidRPr="007D4733">
        <w:rPr>
          <w:rFonts w:ascii="Arial" w:hAnsi="Arial" w:cs="Arial"/>
          <w:lang w:val="en-US"/>
        </w:rPr>
        <w:t xml:space="preserve"> I</w:t>
      </w:r>
      <w:r w:rsidRPr="007D4733">
        <w:rPr>
          <w:rFonts w:ascii="Arial" w:hAnsi="Arial" w:cs="Arial"/>
          <w:lang w:val="en-US"/>
        </w:rPr>
        <w:t xml:space="preserve">, </w:t>
      </w:r>
      <w:proofErr w:type="spellStart"/>
      <w:r w:rsidRPr="007D4733">
        <w:rPr>
          <w:rFonts w:ascii="Arial" w:hAnsi="Arial" w:cs="Arial"/>
          <w:lang w:val="en-US"/>
        </w:rPr>
        <w:t>Nieswandt</w:t>
      </w:r>
      <w:proofErr w:type="spellEnd"/>
      <w:r w:rsidR="005171AE" w:rsidRPr="007D4733">
        <w:rPr>
          <w:rFonts w:ascii="Arial" w:hAnsi="Arial" w:cs="Arial"/>
          <w:lang w:val="en-US"/>
        </w:rPr>
        <w:t xml:space="preserve"> B (2008)</w:t>
      </w:r>
      <w:r w:rsidRPr="007D4733">
        <w:rPr>
          <w:rFonts w:ascii="Arial" w:hAnsi="Arial" w:cs="Arial"/>
          <w:lang w:val="en-US"/>
        </w:rPr>
        <w:t xml:space="preserve"> Cell adhesion mechanisms in platelets. </w:t>
      </w:r>
      <w:proofErr w:type="spellStart"/>
      <w:r w:rsidRPr="007D4733">
        <w:rPr>
          <w:rFonts w:ascii="Arial" w:hAnsi="Arial" w:cs="Arial"/>
          <w:lang w:val="en-US"/>
        </w:rPr>
        <w:t>Atherioscler</w:t>
      </w:r>
      <w:proofErr w:type="spellEnd"/>
      <w:r w:rsidRPr="007D4733">
        <w:rPr>
          <w:rFonts w:ascii="Arial" w:hAnsi="Arial" w:cs="Arial"/>
          <w:lang w:val="en-US"/>
        </w:rPr>
        <w:t xml:space="preserve">. </w:t>
      </w:r>
      <w:proofErr w:type="spellStart"/>
      <w:r w:rsidRPr="007D4733">
        <w:rPr>
          <w:rFonts w:ascii="Arial" w:hAnsi="Arial" w:cs="Arial"/>
          <w:lang w:val="en-US"/>
        </w:rPr>
        <w:t>Thromb</w:t>
      </w:r>
      <w:proofErr w:type="spellEnd"/>
      <w:r w:rsidRPr="007D4733">
        <w:rPr>
          <w:rFonts w:ascii="Arial" w:hAnsi="Arial" w:cs="Arial"/>
          <w:lang w:val="en-US"/>
        </w:rPr>
        <w:t xml:space="preserve">. </w:t>
      </w:r>
      <w:proofErr w:type="spellStart"/>
      <w:r w:rsidRPr="007D4733">
        <w:rPr>
          <w:rFonts w:ascii="Arial" w:hAnsi="Arial" w:cs="Arial"/>
          <w:lang w:val="en-US"/>
        </w:rPr>
        <w:t>Vasc</w:t>
      </w:r>
      <w:proofErr w:type="spellEnd"/>
      <w:r w:rsidRPr="007D4733">
        <w:rPr>
          <w:rFonts w:ascii="Arial" w:hAnsi="Arial" w:cs="Arial"/>
          <w:lang w:val="en-US"/>
        </w:rPr>
        <w:t>. Biol., 28, 403-412.</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Marcus</w:t>
      </w:r>
      <w:r w:rsidR="005171AE" w:rsidRPr="007D4733">
        <w:rPr>
          <w:rFonts w:ascii="Arial" w:hAnsi="Arial" w:cs="Arial"/>
          <w:lang w:val="en-US"/>
        </w:rPr>
        <w:t xml:space="preserve"> AJ</w:t>
      </w:r>
      <w:r w:rsidRPr="007D4733">
        <w:rPr>
          <w:rFonts w:ascii="Arial" w:hAnsi="Arial" w:cs="Arial"/>
          <w:lang w:val="en-US"/>
        </w:rPr>
        <w:t xml:space="preserve">, </w:t>
      </w:r>
      <w:proofErr w:type="spellStart"/>
      <w:r w:rsidRPr="007D4733">
        <w:rPr>
          <w:rFonts w:ascii="Arial" w:hAnsi="Arial" w:cs="Arial"/>
          <w:lang w:val="en-US"/>
        </w:rPr>
        <w:t>Broekman</w:t>
      </w:r>
      <w:proofErr w:type="spellEnd"/>
      <w:r w:rsidR="005171AE" w:rsidRPr="007D4733">
        <w:rPr>
          <w:rFonts w:ascii="Arial" w:hAnsi="Arial" w:cs="Arial"/>
          <w:lang w:val="en-US"/>
        </w:rPr>
        <w:t xml:space="preserve"> MJ</w:t>
      </w:r>
      <w:r w:rsidRPr="007D4733">
        <w:rPr>
          <w:rFonts w:ascii="Arial" w:hAnsi="Arial" w:cs="Arial"/>
          <w:lang w:val="en-US"/>
        </w:rPr>
        <w:t xml:space="preserve">, </w:t>
      </w:r>
      <w:proofErr w:type="spellStart"/>
      <w:r w:rsidRPr="007D4733">
        <w:rPr>
          <w:rFonts w:ascii="Arial" w:hAnsi="Arial" w:cs="Arial"/>
          <w:lang w:val="en-US"/>
        </w:rPr>
        <w:t>Pinsky</w:t>
      </w:r>
      <w:proofErr w:type="spellEnd"/>
      <w:r w:rsidR="005171AE" w:rsidRPr="007D4733">
        <w:rPr>
          <w:rFonts w:ascii="Arial" w:hAnsi="Arial" w:cs="Arial"/>
          <w:lang w:val="en-US"/>
        </w:rPr>
        <w:t xml:space="preserve"> DJ (2002)</w:t>
      </w:r>
      <w:r w:rsidRPr="007D4733">
        <w:rPr>
          <w:rFonts w:ascii="Arial" w:hAnsi="Arial" w:cs="Arial"/>
          <w:lang w:val="en-US"/>
        </w:rPr>
        <w:t xml:space="preserve"> COX inhibitors and </w:t>
      </w:r>
      <w:proofErr w:type="spellStart"/>
      <w:r w:rsidRPr="007D4733">
        <w:rPr>
          <w:rFonts w:ascii="Arial" w:hAnsi="Arial" w:cs="Arial"/>
          <w:lang w:val="en-US"/>
        </w:rPr>
        <w:t>thrombo</w:t>
      </w:r>
      <w:proofErr w:type="spellEnd"/>
      <w:r w:rsidRPr="007D4733">
        <w:rPr>
          <w:rFonts w:ascii="Arial" w:hAnsi="Arial" w:cs="Arial"/>
          <w:lang w:val="en-US"/>
        </w:rPr>
        <w:t>-regulation. N. Engl. J. Med. 347, 1025-6.</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Marcus</w:t>
      </w:r>
      <w:r w:rsidR="0054212D" w:rsidRPr="007D4733">
        <w:rPr>
          <w:rFonts w:ascii="Arial" w:hAnsi="Arial" w:cs="Arial"/>
          <w:lang w:val="en-US"/>
        </w:rPr>
        <w:t xml:space="preserve"> AJ</w:t>
      </w:r>
      <w:r w:rsidRPr="007D4733">
        <w:rPr>
          <w:rFonts w:ascii="Arial" w:hAnsi="Arial" w:cs="Arial"/>
          <w:lang w:val="en-US"/>
        </w:rPr>
        <w:t xml:space="preserve">, </w:t>
      </w:r>
      <w:proofErr w:type="spellStart"/>
      <w:r w:rsidRPr="007D4733">
        <w:rPr>
          <w:rFonts w:ascii="Arial" w:hAnsi="Arial" w:cs="Arial"/>
          <w:lang w:val="en-US"/>
        </w:rPr>
        <w:t>Broekman</w:t>
      </w:r>
      <w:proofErr w:type="spellEnd"/>
      <w:r w:rsidR="0054212D" w:rsidRPr="007D4733">
        <w:rPr>
          <w:rFonts w:ascii="Arial" w:hAnsi="Arial" w:cs="Arial"/>
          <w:lang w:val="en-US"/>
        </w:rPr>
        <w:t xml:space="preserve"> MJ</w:t>
      </w:r>
      <w:r w:rsidRPr="007D4733">
        <w:rPr>
          <w:rFonts w:ascii="Arial" w:hAnsi="Arial" w:cs="Arial"/>
          <w:lang w:val="en-US"/>
        </w:rPr>
        <w:t xml:space="preserve">, </w:t>
      </w:r>
      <w:proofErr w:type="spellStart"/>
      <w:r w:rsidRPr="007D4733">
        <w:rPr>
          <w:rFonts w:ascii="Arial" w:hAnsi="Arial" w:cs="Arial"/>
          <w:lang w:val="en-US"/>
        </w:rPr>
        <w:t>Drosopoulos</w:t>
      </w:r>
      <w:proofErr w:type="spellEnd"/>
      <w:r w:rsidR="0054212D" w:rsidRPr="007D4733">
        <w:rPr>
          <w:rFonts w:ascii="Arial" w:hAnsi="Arial" w:cs="Arial"/>
          <w:lang w:val="en-US"/>
        </w:rPr>
        <w:t xml:space="preserve"> JHF</w:t>
      </w:r>
      <w:r w:rsidRPr="007D4733">
        <w:rPr>
          <w:rFonts w:ascii="Arial" w:hAnsi="Arial" w:cs="Arial"/>
          <w:lang w:val="en-US"/>
        </w:rPr>
        <w:t>, Islam</w:t>
      </w:r>
      <w:r w:rsidR="0054212D" w:rsidRPr="007D4733">
        <w:rPr>
          <w:rFonts w:ascii="Arial" w:hAnsi="Arial" w:cs="Arial"/>
          <w:lang w:val="en-US"/>
        </w:rPr>
        <w:t xml:space="preserve"> N</w:t>
      </w:r>
      <w:r w:rsidRPr="007D4733">
        <w:rPr>
          <w:rFonts w:ascii="Arial" w:hAnsi="Arial" w:cs="Arial"/>
          <w:lang w:val="en-US"/>
        </w:rPr>
        <w:t xml:space="preserve">, </w:t>
      </w:r>
      <w:proofErr w:type="spellStart"/>
      <w:r w:rsidRPr="007D4733">
        <w:rPr>
          <w:rFonts w:ascii="Arial" w:hAnsi="Arial" w:cs="Arial"/>
          <w:lang w:val="en-US"/>
        </w:rPr>
        <w:t>Pinsky</w:t>
      </w:r>
      <w:proofErr w:type="spellEnd"/>
      <w:r w:rsidR="0054212D" w:rsidRPr="007D4733">
        <w:rPr>
          <w:rFonts w:ascii="Arial" w:hAnsi="Arial" w:cs="Arial"/>
          <w:lang w:val="en-US"/>
        </w:rPr>
        <w:t xml:space="preserve"> DJ</w:t>
      </w:r>
      <w:r w:rsidRPr="007D4733">
        <w:rPr>
          <w:rFonts w:ascii="Arial" w:hAnsi="Arial" w:cs="Arial"/>
          <w:lang w:val="en-US"/>
        </w:rPr>
        <w:t xml:space="preserve">, </w:t>
      </w:r>
      <w:proofErr w:type="spellStart"/>
      <w:r w:rsidRPr="007D4733">
        <w:rPr>
          <w:rFonts w:ascii="Arial" w:hAnsi="Arial" w:cs="Arial"/>
          <w:lang w:val="en-US"/>
        </w:rPr>
        <w:t>Sesti</w:t>
      </w:r>
      <w:proofErr w:type="spellEnd"/>
      <w:r w:rsidR="0054212D" w:rsidRPr="007D4733">
        <w:rPr>
          <w:rFonts w:ascii="Arial" w:hAnsi="Arial" w:cs="Arial"/>
          <w:lang w:val="en-US"/>
        </w:rPr>
        <w:t xml:space="preserve"> C</w:t>
      </w:r>
      <w:r w:rsidRPr="007D4733">
        <w:rPr>
          <w:rFonts w:ascii="Arial" w:hAnsi="Arial" w:cs="Arial"/>
          <w:lang w:val="en-US"/>
        </w:rPr>
        <w:t>, Levi</w:t>
      </w:r>
      <w:r w:rsidR="0054212D" w:rsidRPr="007D4733">
        <w:rPr>
          <w:rFonts w:ascii="Arial" w:hAnsi="Arial" w:cs="Arial"/>
          <w:lang w:val="en-US"/>
        </w:rPr>
        <w:t xml:space="preserve"> R (2003) </w:t>
      </w:r>
      <w:r w:rsidRPr="007D4733">
        <w:rPr>
          <w:rFonts w:ascii="Arial" w:hAnsi="Arial" w:cs="Arial"/>
          <w:lang w:val="en-US"/>
        </w:rPr>
        <w:t xml:space="preserve">Heterologous cell-cell interactions: </w:t>
      </w:r>
      <w:proofErr w:type="spellStart"/>
      <w:r w:rsidRPr="007D4733">
        <w:rPr>
          <w:rFonts w:ascii="Arial" w:hAnsi="Arial" w:cs="Arial"/>
          <w:lang w:val="en-US"/>
        </w:rPr>
        <w:t>thromboregulation</w:t>
      </w:r>
      <w:proofErr w:type="spellEnd"/>
      <w:r w:rsidRPr="007D4733">
        <w:rPr>
          <w:rFonts w:ascii="Arial" w:hAnsi="Arial" w:cs="Arial"/>
          <w:lang w:val="en-US"/>
        </w:rPr>
        <w:t xml:space="preserve">, </w:t>
      </w:r>
      <w:proofErr w:type="spellStart"/>
      <w:r w:rsidRPr="007D4733">
        <w:rPr>
          <w:rFonts w:ascii="Arial" w:hAnsi="Arial" w:cs="Arial"/>
          <w:lang w:val="en-US"/>
        </w:rPr>
        <w:t>cerebroprotection</w:t>
      </w:r>
      <w:proofErr w:type="spellEnd"/>
      <w:r w:rsidRPr="007D4733">
        <w:rPr>
          <w:rFonts w:ascii="Arial" w:hAnsi="Arial" w:cs="Arial"/>
          <w:lang w:val="en-US"/>
        </w:rPr>
        <w:t xml:space="preserve"> and </w:t>
      </w:r>
      <w:proofErr w:type="spellStart"/>
      <w:r w:rsidRPr="007D4733">
        <w:rPr>
          <w:rFonts w:ascii="Arial" w:hAnsi="Arial" w:cs="Arial"/>
          <w:lang w:val="en-US"/>
        </w:rPr>
        <w:t>cardioprotection</w:t>
      </w:r>
      <w:proofErr w:type="spellEnd"/>
      <w:r w:rsidRPr="007D4733">
        <w:rPr>
          <w:rFonts w:ascii="Arial" w:hAnsi="Arial" w:cs="Arial"/>
          <w:lang w:val="en-US"/>
        </w:rPr>
        <w:t xml:space="preserve"> by CD39 (NTPDase-1). J </w:t>
      </w:r>
      <w:proofErr w:type="spellStart"/>
      <w:r w:rsidRPr="007D4733">
        <w:rPr>
          <w:rFonts w:ascii="Arial" w:hAnsi="Arial" w:cs="Arial"/>
          <w:lang w:val="en-US"/>
        </w:rPr>
        <w:t>Thromb</w:t>
      </w:r>
      <w:proofErr w:type="spellEnd"/>
      <w:r w:rsidRPr="007D4733">
        <w:rPr>
          <w:rFonts w:ascii="Arial" w:hAnsi="Arial" w:cs="Arial"/>
          <w:lang w:val="en-US"/>
        </w:rPr>
        <w:t xml:space="preserve"> </w:t>
      </w:r>
      <w:proofErr w:type="spellStart"/>
      <w:r w:rsidRPr="007D4733">
        <w:rPr>
          <w:rFonts w:ascii="Arial" w:hAnsi="Arial" w:cs="Arial"/>
          <w:lang w:val="en-US"/>
        </w:rPr>
        <w:t>Haemost</w:t>
      </w:r>
      <w:proofErr w:type="spellEnd"/>
      <w:r w:rsidRPr="007D4733">
        <w:rPr>
          <w:rFonts w:ascii="Arial" w:hAnsi="Arial" w:cs="Arial"/>
          <w:lang w:val="en-US"/>
        </w:rPr>
        <w:t>., 1, 2497-2509.</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Horvat</w:t>
      </w:r>
      <w:proofErr w:type="spellEnd"/>
      <w:r w:rsidR="008E2EBA" w:rsidRPr="007D4733">
        <w:rPr>
          <w:rFonts w:ascii="Arial" w:hAnsi="Arial" w:cs="Arial"/>
          <w:lang w:val="en-US"/>
        </w:rPr>
        <w:t xml:space="preserve"> A</w:t>
      </w:r>
      <w:r w:rsidRPr="007D4733">
        <w:rPr>
          <w:rFonts w:ascii="Arial" w:hAnsi="Arial" w:cs="Arial"/>
          <w:lang w:val="en-US"/>
        </w:rPr>
        <w:t xml:space="preserve">, </w:t>
      </w:r>
      <w:proofErr w:type="spellStart"/>
      <w:r w:rsidRPr="007D4733">
        <w:rPr>
          <w:rFonts w:ascii="Arial" w:hAnsi="Arial" w:cs="Arial"/>
          <w:lang w:val="en-US"/>
        </w:rPr>
        <w:t>Stanojevic</w:t>
      </w:r>
      <w:proofErr w:type="spellEnd"/>
      <w:r w:rsidR="008E2EBA" w:rsidRPr="007D4733">
        <w:rPr>
          <w:rFonts w:ascii="Arial" w:hAnsi="Arial" w:cs="Arial"/>
          <w:lang w:val="en-US"/>
        </w:rPr>
        <w:t xml:space="preserve"> I</w:t>
      </w:r>
      <w:r w:rsidRPr="007D4733">
        <w:rPr>
          <w:rFonts w:ascii="Arial" w:hAnsi="Arial" w:cs="Arial"/>
          <w:lang w:val="en-US"/>
        </w:rPr>
        <w:t xml:space="preserve">, </w:t>
      </w:r>
      <w:proofErr w:type="spellStart"/>
      <w:r w:rsidRPr="007D4733">
        <w:rPr>
          <w:rFonts w:ascii="Arial" w:hAnsi="Arial" w:cs="Arial"/>
          <w:lang w:val="en-US"/>
        </w:rPr>
        <w:t>Drakulic</w:t>
      </w:r>
      <w:proofErr w:type="spellEnd"/>
      <w:r w:rsidR="008E2EBA"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Velickovic</w:t>
      </w:r>
      <w:proofErr w:type="spellEnd"/>
      <w:r w:rsidR="008E2EBA" w:rsidRPr="007D4733">
        <w:rPr>
          <w:rFonts w:ascii="Arial" w:hAnsi="Arial" w:cs="Arial"/>
          <w:lang w:val="en-US"/>
        </w:rPr>
        <w:t xml:space="preserve"> N</w:t>
      </w:r>
      <w:r w:rsidRPr="007D4733">
        <w:rPr>
          <w:rFonts w:ascii="Arial" w:hAnsi="Arial" w:cs="Arial"/>
          <w:lang w:val="en-US"/>
        </w:rPr>
        <w:t xml:space="preserve">, </w:t>
      </w:r>
      <w:proofErr w:type="spellStart"/>
      <w:r w:rsidRPr="007D4733">
        <w:rPr>
          <w:rFonts w:ascii="Arial" w:hAnsi="Arial" w:cs="Arial"/>
          <w:lang w:val="en-US"/>
        </w:rPr>
        <w:t>Petrovic</w:t>
      </w:r>
      <w:proofErr w:type="spellEnd"/>
      <w:r w:rsidR="008E2EBA" w:rsidRPr="007D4733">
        <w:rPr>
          <w:rFonts w:ascii="Arial" w:hAnsi="Arial" w:cs="Arial"/>
          <w:lang w:val="en-US"/>
        </w:rPr>
        <w:t xml:space="preserve"> S</w:t>
      </w:r>
      <w:r w:rsidRPr="007D4733">
        <w:rPr>
          <w:rFonts w:ascii="Arial" w:hAnsi="Arial" w:cs="Arial"/>
          <w:lang w:val="en-US"/>
        </w:rPr>
        <w:t>, Milosevic</w:t>
      </w:r>
      <w:r w:rsidR="008E2EBA" w:rsidRPr="007D4733">
        <w:rPr>
          <w:rFonts w:ascii="Arial" w:hAnsi="Arial" w:cs="Arial"/>
          <w:lang w:val="en-US"/>
        </w:rPr>
        <w:t xml:space="preserve"> M (2010)</w:t>
      </w:r>
      <w:r w:rsidRPr="007D4733">
        <w:rPr>
          <w:rFonts w:ascii="Arial" w:hAnsi="Arial" w:cs="Arial"/>
          <w:lang w:val="en-US"/>
        </w:rPr>
        <w:t xml:space="preserve"> Effect of acute stress on </w:t>
      </w:r>
      <w:proofErr w:type="spellStart"/>
      <w:r w:rsidRPr="007D4733">
        <w:rPr>
          <w:rFonts w:ascii="Arial" w:hAnsi="Arial" w:cs="Arial"/>
          <w:lang w:val="en-US"/>
        </w:rPr>
        <w:t>NTPDase</w:t>
      </w:r>
      <w:proofErr w:type="spellEnd"/>
      <w:r w:rsidRPr="007D4733">
        <w:rPr>
          <w:rFonts w:ascii="Arial" w:hAnsi="Arial" w:cs="Arial"/>
          <w:lang w:val="en-US"/>
        </w:rPr>
        <w:t xml:space="preserve"> and 5’-nucleotidase activities in brain </w:t>
      </w:r>
      <w:proofErr w:type="spellStart"/>
      <w:r w:rsidRPr="007D4733">
        <w:rPr>
          <w:rFonts w:ascii="Arial" w:hAnsi="Arial" w:cs="Arial"/>
          <w:lang w:val="en-US"/>
        </w:rPr>
        <w:t>synaptosomes</w:t>
      </w:r>
      <w:proofErr w:type="spellEnd"/>
      <w:r w:rsidRPr="007D4733">
        <w:rPr>
          <w:rFonts w:ascii="Arial" w:hAnsi="Arial" w:cs="Arial"/>
          <w:lang w:val="en-US"/>
        </w:rPr>
        <w:t xml:space="preserve"> in different stages of development. Int. J. </w:t>
      </w:r>
      <w:proofErr w:type="spellStart"/>
      <w:r w:rsidRPr="007D4733">
        <w:rPr>
          <w:rFonts w:ascii="Arial" w:hAnsi="Arial" w:cs="Arial"/>
          <w:lang w:val="en-US"/>
        </w:rPr>
        <w:t>Devel</w:t>
      </w:r>
      <w:proofErr w:type="spellEnd"/>
      <w:r w:rsidRPr="007D4733">
        <w:rPr>
          <w:rFonts w:ascii="Arial" w:hAnsi="Arial" w:cs="Arial"/>
          <w:lang w:val="en-US"/>
        </w:rPr>
        <w:t xml:space="preserve">. </w:t>
      </w:r>
      <w:proofErr w:type="spellStart"/>
      <w:proofErr w:type="gramStart"/>
      <w:r w:rsidRPr="007D4733">
        <w:rPr>
          <w:rFonts w:ascii="Arial" w:hAnsi="Arial" w:cs="Arial"/>
          <w:lang w:val="en-US"/>
        </w:rPr>
        <w:t>Neurosc</w:t>
      </w:r>
      <w:proofErr w:type="spellEnd"/>
      <w:r w:rsidRPr="007D4733">
        <w:rPr>
          <w:rFonts w:ascii="Arial" w:hAnsi="Arial" w:cs="Arial"/>
          <w:lang w:val="en-US"/>
        </w:rPr>
        <w:t>.,</w:t>
      </w:r>
      <w:proofErr w:type="gramEnd"/>
      <w:r w:rsidRPr="007D4733">
        <w:rPr>
          <w:rFonts w:ascii="Arial" w:hAnsi="Arial" w:cs="Arial"/>
          <w:lang w:val="en-US"/>
        </w:rPr>
        <w:t xml:space="preserve"> 28, 175-182.</w:t>
      </w:r>
    </w:p>
    <w:p w:rsidR="00BD583D" w:rsidRPr="007D4733" w:rsidRDefault="00867955">
      <w:pPr>
        <w:pStyle w:val="ListParagraph"/>
        <w:numPr>
          <w:ilvl w:val="0"/>
          <w:numId w:val="2"/>
        </w:numPr>
        <w:spacing w:after="0" w:line="480" w:lineRule="auto"/>
        <w:jc w:val="both"/>
        <w:rPr>
          <w:rFonts w:ascii="Arial" w:hAnsi="Arial" w:cs="Arial"/>
          <w:lang w:val="en-US"/>
        </w:rPr>
      </w:pPr>
      <w:r w:rsidRPr="007D4733">
        <w:rPr>
          <w:rFonts w:ascii="Arial" w:hAnsi="Arial" w:cs="Arial"/>
          <w:lang w:val="en-US"/>
        </w:rPr>
        <w:t>Ross</w:t>
      </w:r>
      <w:r w:rsidR="00822DBB" w:rsidRPr="007D4733">
        <w:rPr>
          <w:rFonts w:ascii="Arial" w:hAnsi="Arial" w:cs="Arial"/>
          <w:lang w:val="en-US"/>
        </w:rPr>
        <w:t xml:space="preserve"> R (1999)</w:t>
      </w:r>
      <w:r w:rsidRPr="007D4733">
        <w:rPr>
          <w:rFonts w:ascii="Arial" w:hAnsi="Arial" w:cs="Arial"/>
          <w:lang w:val="en-US"/>
        </w:rPr>
        <w:t xml:space="preserve"> Mechanisms of disease: atherosclerosis – an inflammatory disease. N. Engl. J. Med., 340, 115-126.</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Nizri</w:t>
      </w:r>
      <w:proofErr w:type="spellEnd"/>
      <w:r w:rsidR="00CA0D7D" w:rsidRPr="007D4733">
        <w:rPr>
          <w:rFonts w:ascii="Arial" w:hAnsi="Arial" w:cs="Arial"/>
          <w:lang w:val="en-US"/>
        </w:rPr>
        <w:t xml:space="preserve"> E</w:t>
      </w:r>
      <w:r w:rsidRPr="007D4733">
        <w:rPr>
          <w:rFonts w:ascii="Arial" w:hAnsi="Arial" w:cs="Arial"/>
          <w:lang w:val="en-US"/>
        </w:rPr>
        <w:t xml:space="preserve">, </w:t>
      </w:r>
      <w:proofErr w:type="spellStart"/>
      <w:r w:rsidRPr="007D4733">
        <w:rPr>
          <w:rFonts w:ascii="Arial" w:hAnsi="Arial" w:cs="Arial"/>
          <w:lang w:val="en-US"/>
        </w:rPr>
        <w:t>Hamra-Amitay</w:t>
      </w:r>
      <w:proofErr w:type="spellEnd"/>
      <w:r w:rsidR="00CA0D7D" w:rsidRPr="007D4733">
        <w:rPr>
          <w:rFonts w:ascii="Arial" w:hAnsi="Arial" w:cs="Arial"/>
          <w:lang w:val="en-US"/>
        </w:rPr>
        <w:t xml:space="preserve"> Y</w:t>
      </w:r>
      <w:r w:rsidRPr="007D4733">
        <w:rPr>
          <w:rFonts w:ascii="Arial" w:hAnsi="Arial" w:cs="Arial"/>
          <w:lang w:val="en-US"/>
        </w:rPr>
        <w:t xml:space="preserve">, </w:t>
      </w:r>
      <w:proofErr w:type="spellStart"/>
      <w:r w:rsidRPr="007D4733">
        <w:rPr>
          <w:rFonts w:ascii="Arial" w:hAnsi="Arial" w:cs="Arial"/>
          <w:lang w:val="en-US"/>
        </w:rPr>
        <w:t>Sicsic</w:t>
      </w:r>
      <w:proofErr w:type="spellEnd"/>
      <w:r w:rsidR="00CA0D7D" w:rsidRPr="007D4733">
        <w:rPr>
          <w:rFonts w:ascii="Arial" w:hAnsi="Arial" w:cs="Arial"/>
          <w:lang w:val="en-US"/>
        </w:rPr>
        <w:t xml:space="preserve"> C</w:t>
      </w:r>
      <w:r w:rsidRPr="007D4733">
        <w:rPr>
          <w:rFonts w:ascii="Arial" w:hAnsi="Arial" w:cs="Arial"/>
          <w:lang w:val="en-US"/>
        </w:rPr>
        <w:t>, Lavon</w:t>
      </w:r>
      <w:r w:rsidR="00CA0D7D" w:rsidRPr="007D4733">
        <w:rPr>
          <w:rFonts w:ascii="Arial" w:hAnsi="Arial" w:cs="Arial"/>
          <w:lang w:val="en-US"/>
        </w:rPr>
        <w:t xml:space="preserve"> I</w:t>
      </w:r>
      <w:r w:rsidRPr="007D4733">
        <w:rPr>
          <w:rFonts w:ascii="Arial" w:hAnsi="Arial" w:cs="Arial"/>
          <w:lang w:val="en-US"/>
        </w:rPr>
        <w:t>, Brenner</w:t>
      </w:r>
      <w:r w:rsidR="00CA0D7D" w:rsidRPr="007D4733">
        <w:rPr>
          <w:rFonts w:ascii="Arial" w:hAnsi="Arial" w:cs="Arial"/>
          <w:lang w:val="en-US"/>
        </w:rPr>
        <w:t xml:space="preserve"> T (2006)</w:t>
      </w:r>
      <w:r w:rsidRPr="007D4733">
        <w:rPr>
          <w:rFonts w:ascii="Arial" w:hAnsi="Arial" w:cs="Arial"/>
          <w:lang w:val="en-US"/>
        </w:rPr>
        <w:t xml:space="preserve"> Anti-inflammatory properties of cholinergic up-regulation: a new role for </w:t>
      </w:r>
      <w:proofErr w:type="spellStart"/>
      <w:r w:rsidRPr="007D4733">
        <w:rPr>
          <w:rFonts w:ascii="Arial" w:hAnsi="Arial" w:cs="Arial"/>
          <w:lang w:val="en-US"/>
        </w:rPr>
        <w:t>acetylcholinesterase</w:t>
      </w:r>
      <w:proofErr w:type="spellEnd"/>
      <w:r w:rsidRPr="007D4733">
        <w:rPr>
          <w:rFonts w:ascii="Arial" w:hAnsi="Arial" w:cs="Arial"/>
          <w:lang w:val="en-US"/>
        </w:rPr>
        <w:t xml:space="preserve"> inhibitors, Neuropharmacology, 50, 540–547.</w:t>
      </w:r>
    </w:p>
    <w:p w:rsidR="00BD583D" w:rsidRPr="007D4733" w:rsidRDefault="00867955">
      <w:pPr>
        <w:pStyle w:val="ListParagraph"/>
        <w:numPr>
          <w:ilvl w:val="0"/>
          <w:numId w:val="2"/>
        </w:numPr>
        <w:spacing w:after="0" w:line="480" w:lineRule="auto"/>
        <w:jc w:val="both"/>
        <w:rPr>
          <w:rFonts w:ascii="Arial" w:hAnsi="Arial" w:cs="Arial"/>
          <w:lang w:val="en-US"/>
        </w:rPr>
      </w:pPr>
      <w:proofErr w:type="spellStart"/>
      <w:r w:rsidRPr="007D4733">
        <w:rPr>
          <w:rFonts w:ascii="Arial" w:hAnsi="Arial" w:cs="Arial"/>
          <w:lang w:val="en-US"/>
        </w:rPr>
        <w:t>Tonin</w:t>
      </w:r>
      <w:proofErr w:type="spellEnd"/>
      <w:r w:rsidR="00917116" w:rsidRPr="007D4733">
        <w:rPr>
          <w:rFonts w:ascii="Arial" w:hAnsi="Arial" w:cs="Arial"/>
          <w:lang w:val="en-US"/>
        </w:rPr>
        <w:t xml:space="preserve"> AA</w:t>
      </w:r>
      <w:r w:rsidRPr="007D4733">
        <w:rPr>
          <w:rFonts w:ascii="Arial" w:hAnsi="Arial" w:cs="Arial"/>
          <w:lang w:val="en-US"/>
        </w:rPr>
        <w:t xml:space="preserve">, </w:t>
      </w:r>
      <w:proofErr w:type="spellStart"/>
      <w:r w:rsidRPr="007D4733">
        <w:rPr>
          <w:rFonts w:ascii="Arial" w:hAnsi="Arial" w:cs="Arial"/>
          <w:lang w:val="en-US"/>
        </w:rPr>
        <w:t>Calado</w:t>
      </w:r>
      <w:proofErr w:type="spellEnd"/>
      <w:r w:rsidR="00917116" w:rsidRPr="007D4733">
        <w:rPr>
          <w:rFonts w:ascii="Arial" w:hAnsi="Arial" w:cs="Arial"/>
          <w:lang w:val="en-US"/>
        </w:rPr>
        <w:t xml:space="preserve"> AM</w:t>
      </w:r>
      <w:r w:rsidRPr="007D4733">
        <w:rPr>
          <w:rFonts w:ascii="Arial" w:hAnsi="Arial" w:cs="Arial"/>
          <w:lang w:val="en-US"/>
        </w:rPr>
        <w:t xml:space="preserve">, </w:t>
      </w:r>
      <w:proofErr w:type="spellStart"/>
      <w:r w:rsidRPr="007D4733">
        <w:rPr>
          <w:rFonts w:ascii="Arial" w:hAnsi="Arial" w:cs="Arial"/>
          <w:lang w:val="en-US"/>
        </w:rPr>
        <w:t>Bottari</w:t>
      </w:r>
      <w:proofErr w:type="spellEnd"/>
      <w:r w:rsidR="00917116" w:rsidRPr="007D4733">
        <w:rPr>
          <w:rFonts w:ascii="Arial" w:hAnsi="Arial" w:cs="Arial"/>
          <w:lang w:val="en-US"/>
        </w:rPr>
        <w:t xml:space="preserve"> NB</w:t>
      </w:r>
      <w:r w:rsidRPr="007D4733">
        <w:rPr>
          <w:rFonts w:ascii="Arial" w:hAnsi="Arial" w:cs="Arial"/>
          <w:lang w:val="en-US"/>
        </w:rPr>
        <w:t xml:space="preserve">, </w:t>
      </w:r>
      <w:proofErr w:type="spellStart"/>
      <w:r w:rsidRPr="007D4733">
        <w:rPr>
          <w:rFonts w:ascii="Arial" w:hAnsi="Arial" w:cs="Arial"/>
          <w:lang w:val="en-US"/>
        </w:rPr>
        <w:t>Dalenogare</w:t>
      </w:r>
      <w:proofErr w:type="spellEnd"/>
      <w:r w:rsidR="00917116" w:rsidRPr="007D4733">
        <w:rPr>
          <w:rFonts w:ascii="Arial" w:hAnsi="Arial" w:cs="Arial"/>
          <w:lang w:val="en-US"/>
        </w:rPr>
        <w:t xml:space="preserve"> D</w:t>
      </w:r>
      <w:r w:rsidRPr="007D4733">
        <w:rPr>
          <w:rFonts w:ascii="Arial" w:hAnsi="Arial" w:cs="Arial"/>
          <w:lang w:val="en-US"/>
        </w:rPr>
        <w:t xml:space="preserve">, </w:t>
      </w:r>
      <w:proofErr w:type="spellStart"/>
      <w:r w:rsidRPr="007D4733">
        <w:rPr>
          <w:rFonts w:ascii="Arial" w:hAnsi="Arial" w:cs="Arial"/>
          <w:lang w:val="en-US"/>
        </w:rPr>
        <w:t>Thomé</w:t>
      </w:r>
      <w:proofErr w:type="spellEnd"/>
      <w:r w:rsidR="00917116" w:rsidRPr="007D4733">
        <w:rPr>
          <w:rFonts w:ascii="Arial" w:hAnsi="Arial" w:cs="Arial"/>
          <w:lang w:val="en-US"/>
        </w:rPr>
        <w:t xml:space="preserve"> GR</w:t>
      </w:r>
      <w:r w:rsidRPr="007D4733">
        <w:rPr>
          <w:rFonts w:ascii="Arial" w:hAnsi="Arial" w:cs="Arial"/>
          <w:lang w:val="en-US"/>
        </w:rPr>
        <w:t>, Duarte</w:t>
      </w:r>
      <w:r w:rsidR="00917116" w:rsidRPr="007D4733">
        <w:rPr>
          <w:rFonts w:ascii="Arial" w:hAnsi="Arial" w:cs="Arial"/>
          <w:lang w:val="en-US"/>
        </w:rPr>
        <w:t xml:space="preserve"> T</w:t>
      </w:r>
      <w:r w:rsidRPr="007D4733">
        <w:rPr>
          <w:rFonts w:ascii="Arial" w:hAnsi="Arial" w:cs="Arial"/>
          <w:lang w:val="en-US"/>
        </w:rPr>
        <w:t>, Duarte</w:t>
      </w:r>
      <w:r w:rsidR="00917116" w:rsidRPr="007D4733">
        <w:rPr>
          <w:rFonts w:ascii="Arial" w:hAnsi="Arial" w:cs="Arial"/>
          <w:lang w:val="en-US"/>
        </w:rPr>
        <w:t xml:space="preserve"> MM</w:t>
      </w:r>
      <w:r w:rsidRPr="007D4733">
        <w:rPr>
          <w:rFonts w:ascii="Arial" w:hAnsi="Arial" w:cs="Arial"/>
          <w:lang w:val="en-US"/>
        </w:rPr>
        <w:t xml:space="preserve">, </w:t>
      </w:r>
      <w:proofErr w:type="spellStart"/>
      <w:r w:rsidRPr="007D4733">
        <w:rPr>
          <w:rFonts w:ascii="Arial" w:hAnsi="Arial" w:cs="Arial"/>
          <w:lang w:val="en-US"/>
        </w:rPr>
        <w:t>Morsch</w:t>
      </w:r>
      <w:proofErr w:type="spellEnd"/>
      <w:r w:rsidR="00917116" w:rsidRPr="007D4733">
        <w:rPr>
          <w:rFonts w:ascii="Arial" w:hAnsi="Arial" w:cs="Arial"/>
          <w:lang w:val="en-US"/>
        </w:rPr>
        <w:t xml:space="preserve"> VM</w:t>
      </w:r>
      <w:r w:rsidRPr="007D4733">
        <w:rPr>
          <w:rFonts w:ascii="Arial" w:hAnsi="Arial" w:cs="Arial"/>
          <w:lang w:val="en-US"/>
        </w:rPr>
        <w:t xml:space="preserve">, </w:t>
      </w:r>
      <w:proofErr w:type="spellStart"/>
      <w:r w:rsidRPr="007D4733">
        <w:rPr>
          <w:rFonts w:ascii="Arial" w:hAnsi="Arial" w:cs="Arial"/>
          <w:lang w:val="en-US"/>
        </w:rPr>
        <w:t>Schetinger</w:t>
      </w:r>
      <w:proofErr w:type="spellEnd"/>
      <w:r w:rsidR="00917116" w:rsidRPr="007D4733">
        <w:rPr>
          <w:rFonts w:ascii="Arial" w:hAnsi="Arial" w:cs="Arial"/>
          <w:lang w:val="en-US"/>
        </w:rPr>
        <w:t xml:space="preserve"> MR</w:t>
      </w:r>
      <w:r w:rsidRPr="007D4733">
        <w:rPr>
          <w:rFonts w:ascii="Arial" w:hAnsi="Arial" w:cs="Arial"/>
          <w:lang w:val="en-US"/>
        </w:rPr>
        <w:t xml:space="preserve">, </w:t>
      </w:r>
      <w:proofErr w:type="spellStart"/>
      <w:r w:rsidRPr="007D4733">
        <w:rPr>
          <w:rFonts w:ascii="Arial" w:hAnsi="Arial" w:cs="Arial"/>
          <w:lang w:val="en-US"/>
        </w:rPr>
        <w:t>Alves</w:t>
      </w:r>
      <w:proofErr w:type="spellEnd"/>
      <w:r w:rsidR="00917116" w:rsidRPr="007D4733">
        <w:rPr>
          <w:rFonts w:ascii="Arial" w:hAnsi="Arial" w:cs="Arial"/>
          <w:lang w:val="en-US"/>
        </w:rPr>
        <w:t xml:space="preserve"> LC</w:t>
      </w:r>
      <w:r w:rsidRPr="007D4733">
        <w:rPr>
          <w:rFonts w:ascii="Arial" w:hAnsi="Arial" w:cs="Arial"/>
          <w:lang w:val="en-US"/>
        </w:rPr>
        <w:t xml:space="preserve">, </w:t>
      </w:r>
      <w:proofErr w:type="spellStart"/>
      <w:r w:rsidRPr="007D4733">
        <w:rPr>
          <w:rFonts w:ascii="Arial" w:hAnsi="Arial" w:cs="Arial"/>
          <w:lang w:val="en-US"/>
        </w:rPr>
        <w:t>Tinucci</w:t>
      </w:r>
      <w:proofErr w:type="spellEnd"/>
      <w:r w:rsidRPr="007D4733">
        <w:rPr>
          <w:rFonts w:ascii="Arial" w:hAnsi="Arial" w:cs="Arial"/>
          <w:lang w:val="en-US"/>
        </w:rPr>
        <w:t>-Costa</w:t>
      </w:r>
      <w:r w:rsidR="00917116" w:rsidRPr="007D4733">
        <w:rPr>
          <w:rFonts w:ascii="Arial" w:hAnsi="Arial" w:cs="Arial"/>
          <w:lang w:val="en-US"/>
        </w:rPr>
        <w:t xml:space="preserve"> M</w:t>
      </w:r>
      <w:r w:rsidRPr="007D4733">
        <w:rPr>
          <w:rFonts w:ascii="Arial" w:hAnsi="Arial" w:cs="Arial"/>
          <w:lang w:val="en-US"/>
        </w:rPr>
        <w:t>, Da Silva</w:t>
      </w:r>
      <w:r w:rsidR="00917116" w:rsidRPr="007D4733">
        <w:rPr>
          <w:rFonts w:ascii="Arial" w:hAnsi="Arial" w:cs="Arial"/>
          <w:lang w:val="en-US"/>
        </w:rPr>
        <w:t xml:space="preserve"> AS (2016)</w:t>
      </w:r>
      <w:r w:rsidRPr="007D4733">
        <w:rPr>
          <w:rFonts w:ascii="Arial" w:hAnsi="Arial" w:cs="Arial"/>
          <w:lang w:val="en-US"/>
        </w:rPr>
        <w:t xml:space="preserve"> Novel markers of inflammatory response and hepatic dysfunction in canine </w:t>
      </w:r>
      <w:proofErr w:type="spellStart"/>
      <w:r w:rsidRPr="007D4733">
        <w:rPr>
          <w:rFonts w:ascii="Arial" w:hAnsi="Arial" w:cs="Arial"/>
          <w:lang w:val="en-US"/>
        </w:rPr>
        <w:t>leishmaniasis</w:t>
      </w:r>
      <w:proofErr w:type="spellEnd"/>
      <w:r w:rsidR="00B945AA" w:rsidRPr="007D4733">
        <w:rPr>
          <w:rFonts w:ascii="Arial" w:hAnsi="Arial" w:cs="Arial"/>
          <w:lang w:val="en-US"/>
        </w:rPr>
        <w:t xml:space="preserve"> </w:t>
      </w:r>
      <w:r w:rsidR="00EB176B" w:rsidRPr="007D4733">
        <w:rPr>
          <w:rFonts w:ascii="Arial" w:hAnsi="Arial" w:cs="Arial"/>
        </w:rPr>
        <w:t>STRUCT</w:t>
      </w:r>
      <w:r w:rsidR="00B945AA" w:rsidRPr="007D4733">
        <w:rPr>
          <w:rFonts w:ascii="Arial" w:hAnsi="Arial" w:cs="Arial"/>
          <w:lang w:val="en-US"/>
        </w:rPr>
        <w:t>-271</w:t>
      </w:r>
      <w:r w:rsidRPr="007D4733">
        <w:rPr>
          <w:rFonts w:ascii="Arial" w:hAnsi="Arial" w:cs="Arial"/>
          <w:lang w:val="en-US"/>
        </w:rPr>
        <w:t xml:space="preserve">, Comp. </w:t>
      </w:r>
      <w:proofErr w:type="spellStart"/>
      <w:r w:rsidRPr="007D4733">
        <w:rPr>
          <w:rFonts w:ascii="Arial" w:hAnsi="Arial" w:cs="Arial"/>
          <w:lang w:val="en-US"/>
        </w:rPr>
        <w:t>Immunol</w:t>
      </w:r>
      <w:proofErr w:type="spellEnd"/>
      <w:r w:rsidRPr="007D4733">
        <w:rPr>
          <w:rFonts w:ascii="Arial" w:hAnsi="Arial" w:cs="Arial"/>
          <w:lang w:val="en-US"/>
        </w:rPr>
        <w:t xml:space="preserve">. </w:t>
      </w:r>
      <w:proofErr w:type="spellStart"/>
      <w:r w:rsidRPr="007D4733">
        <w:rPr>
          <w:rFonts w:ascii="Arial" w:hAnsi="Arial" w:cs="Arial"/>
          <w:lang w:val="en-US"/>
        </w:rPr>
        <w:t>Microbiol</w:t>
      </w:r>
      <w:proofErr w:type="spellEnd"/>
      <w:r w:rsidRPr="007D4733">
        <w:rPr>
          <w:rFonts w:ascii="Arial" w:hAnsi="Arial" w:cs="Arial"/>
          <w:lang w:val="en-US"/>
        </w:rPr>
        <w:t>. Infect. Dis., 44, 61-64.</w:t>
      </w:r>
    </w:p>
    <w:p w:rsidR="00BD583D" w:rsidRPr="007D4733" w:rsidRDefault="00B945AA">
      <w:pPr>
        <w:spacing w:after="0" w:line="480" w:lineRule="auto"/>
        <w:ind w:left="360"/>
        <w:jc w:val="both"/>
        <w:rPr>
          <w:rFonts w:ascii="Arial" w:hAnsi="Arial" w:cs="Arial"/>
          <w:lang w:val="en-US"/>
        </w:rPr>
      </w:pPr>
      <w:r w:rsidRPr="007D4733">
        <w:rPr>
          <w:rFonts w:ascii="Arial" w:hAnsi="Arial" w:cs="Arial"/>
          <w:lang w:val="en-US"/>
        </w:rPr>
        <w:t>.</w:t>
      </w:r>
    </w:p>
    <w:p w:rsidR="00B945AA" w:rsidRPr="007D4733" w:rsidRDefault="00B945AA">
      <w:pPr>
        <w:spacing w:after="0" w:line="480" w:lineRule="auto"/>
        <w:ind w:left="360"/>
        <w:jc w:val="both"/>
        <w:rPr>
          <w:rFonts w:ascii="Arial" w:hAnsi="Arial" w:cs="Arial"/>
          <w:lang w:val="en-US"/>
        </w:rPr>
      </w:pPr>
      <w:r w:rsidRPr="007D4733">
        <w:rPr>
          <w:rFonts w:ascii="Arial" w:hAnsi="Arial" w:cs="Arial"/>
          <w:lang w:val="en-US"/>
        </w:rPr>
        <w:t>.</w:t>
      </w:r>
    </w:p>
    <w:p w:rsidR="00BD583D" w:rsidRPr="007D4733" w:rsidRDefault="00BD583D">
      <w:pPr>
        <w:spacing w:after="0" w:line="480" w:lineRule="auto"/>
        <w:jc w:val="both"/>
        <w:rPr>
          <w:rFonts w:ascii="Arial" w:hAnsi="Arial" w:cs="Arial"/>
          <w:szCs w:val="24"/>
          <w:lang w:val="en-US"/>
        </w:rPr>
      </w:pPr>
    </w:p>
    <w:p w:rsidR="00BD583D" w:rsidRPr="007D4733" w:rsidRDefault="00BD583D">
      <w:pPr>
        <w:spacing w:after="0" w:line="480" w:lineRule="auto"/>
        <w:jc w:val="both"/>
        <w:rPr>
          <w:rFonts w:ascii="Arial" w:hAnsi="Arial" w:cs="Arial"/>
          <w:szCs w:val="24"/>
          <w:lang w:val="en-US"/>
        </w:rPr>
      </w:pPr>
    </w:p>
    <w:p w:rsidR="00BD583D" w:rsidRPr="007D4733" w:rsidRDefault="00BB7322">
      <w:pPr>
        <w:spacing w:after="0" w:line="480" w:lineRule="auto"/>
        <w:jc w:val="both"/>
        <w:rPr>
          <w:rFonts w:ascii="Arial" w:hAnsi="Arial" w:cs="Arial"/>
          <w:lang w:val="en-US"/>
        </w:rPr>
      </w:pPr>
      <w:r w:rsidRPr="007D4733">
        <w:rPr>
          <w:rFonts w:ascii="Arial" w:hAnsi="Arial" w:cs="Arial"/>
          <w:lang w:val="en-US"/>
        </w:rPr>
        <w:t>Figure Captions</w:t>
      </w:r>
    </w:p>
    <w:p w:rsidR="00BB7322" w:rsidRPr="007D4733" w:rsidRDefault="00835477" w:rsidP="00BB7322">
      <w:pPr>
        <w:spacing w:line="480" w:lineRule="auto"/>
        <w:jc w:val="center"/>
        <w:rPr>
          <w:rFonts w:ascii="Arial" w:hAnsi="Arial" w:cs="Arial"/>
          <w:lang w:val="en-US"/>
        </w:rPr>
      </w:pPr>
      <w:r w:rsidRPr="007D4733">
        <w:rPr>
          <w:rFonts w:ascii="Arial" w:hAnsi="Arial" w:cs="Arial"/>
          <w:noProof/>
          <w:lang w:val="en-US" w:eastAsia="en-US"/>
        </w:rPr>
        <w:drawing>
          <wp:inline distT="0" distB="0" distL="0" distR="0" wp14:anchorId="3E0396B7" wp14:editId="2AB9CDD7">
            <wp:extent cx="5400040" cy="5289245"/>
            <wp:effectExtent l="0" t="0" r="0" b="6985"/>
            <wp:docPr id="6" name="Picture 6" descr="D:\Babu\2018\Content_Structuring_Module\Tested_Stories\I10\Showcase\float_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bu\2018\Content_Structuring_Module\Tested_Stories\I10\Showcase\float_image1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5289245"/>
                    </a:xfrm>
                    <a:prstGeom prst="rect">
                      <a:avLst/>
                    </a:prstGeom>
                    <a:noFill/>
                    <a:ln>
                      <a:noFill/>
                    </a:ln>
                  </pic:spPr>
                </pic:pic>
              </a:graphicData>
            </a:graphic>
          </wp:inline>
        </w:drawing>
      </w:r>
    </w:p>
    <w:p w:rsidR="00BB7322" w:rsidRPr="007D4733" w:rsidRDefault="00BB7322" w:rsidP="00BB7322">
      <w:pPr>
        <w:spacing w:line="480" w:lineRule="auto"/>
        <w:jc w:val="both"/>
        <w:rPr>
          <w:rFonts w:ascii="Arial" w:hAnsi="Arial" w:cs="Arial"/>
          <w:lang w:val="en-US"/>
        </w:rPr>
      </w:pPr>
      <w:r w:rsidRPr="007D4733">
        <w:rPr>
          <w:rFonts w:ascii="Arial" w:hAnsi="Arial" w:cs="Arial"/>
          <w:b/>
          <w:lang w:val="en-US"/>
        </w:rPr>
        <w:t>Figure 1</w:t>
      </w:r>
      <w:r w:rsidRPr="007D4733">
        <w:rPr>
          <w:rFonts w:ascii="Arial" w:hAnsi="Arial" w:cs="Arial"/>
          <w:lang w:val="en-US"/>
        </w:rPr>
        <w:t xml:space="preserve">: Effect of different diets in </w:t>
      </w:r>
      <w:proofErr w:type="spellStart"/>
      <w:r w:rsidRPr="007D4733">
        <w:rPr>
          <w:rFonts w:ascii="Arial" w:hAnsi="Arial" w:cs="Arial"/>
          <w:lang w:val="en-US"/>
        </w:rPr>
        <w:t>AChE</w:t>
      </w:r>
      <w:proofErr w:type="spellEnd"/>
      <w:r w:rsidRPr="007D4733">
        <w:rPr>
          <w:rFonts w:ascii="Arial" w:hAnsi="Arial" w:cs="Arial"/>
          <w:lang w:val="en-US"/>
        </w:rPr>
        <w:t xml:space="preserve"> activity in erythrocytes of young rats</w:t>
      </w:r>
      <w:r w:rsidR="00DD152F" w:rsidRPr="007D4733">
        <w:rPr>
          <w:rFonts w:ascii="Arial" w:hAnsi="Arial" w:cs="Arial"/>
          <w:lang w:val="en-US"/>
        </w:rPr>
        <w:t xml:space="preserve"> STRUCT-245</w:t>
      </w:r>
      <w:r w:rsidRPr="007D4733">
        <w:rPr>
          <w:rFonts w:ascii="Arial" w:hAnsi="Arial" w:cs="Arial"/>
          <w:lang w:val="en-US"/>
        </w:rPr>
        <w:t xml:space="preserve">. Each column represents mean ± S.D. (n=5) as percent of control. </w:t>
      </w:r>
      <w:proofErr w:type="spellStart"/>
      <w:r w:rsidRPr="007D4733">
        <w:rPr>
          <w:rFonts w:ascii="Arial" w:hAnsi="Arial" w:cs="Arial"/>
          <w:lang w:val="en-US"/>
        </w:rPr>
        <w:t>AChE</w:t>
      </w:r>
      <w:proofErr w:type="spellEnd"/>
      <w:r w:rsidRPr="007D4733">
        <w:rPr>
          <w:rFonts w:ascii="Arial" w:hAnsi="Arial" w:cs="Arial"/>
          <w:lang w:val="en-US"/>
        </w:rPr>
        <w:t xml:space="preserve"> control value for erythrocytes was 18.68 ± 1.03, respectively, and was expressed as </w:t>
      </w:r>
      <w:proofErr w:type="spellStart"/>
      <w:r w:rsidRPr="007D4733">
        <w:rPr>
          <w:rFonts w:ascii="Arial" w:hAnsi="Arial" w:cs="Arial"/>
          <w:lang w:val="en-US"/>
        </w:rPr>
        <w:t>mU</w:t>
      </w:r>
      <w:proofErr w:type="spellEnd"/>
      <w:r w:rsidRPr="007D4733">
        <w:rPr>
          <w:rFonts w:ascii="Arial" w:hAnsi="Arial" w:cs="Arial"/>
          <w:lang w:val="en-US"/>
        </w:rPr>
        <w:t>/µ</w:t>
      </w:r>
      <w:proofErr w:type="spellStart"/>
      <w:r w:rsidRPr="007D4733">
        <w:rPr>
          <w:rFonts w:ascii="Arial" w:hAnsi="Arial" w:cs="Arial"/>
          <w:lang w:val="en-US"/>
        </w:rPr>
        <w:t>mol</w:t>
      </w:r>
      <w:proofErr w:type="spellEnd"/>
      <w:r w:rsidRPr="007D4733">
        <w:rPr>
          <w:rFonts w:ascii="Arial" w:hAnsi="Arial" w:cs="Arial"/>
          <w:lang w:val="en-US"/>
        </w:rPr>
        <w:t xml:space="preserve"> of </w:t>
      </w:r>
      <w:proofErr w:type="spellStart"/>
      <w:r w:rsidRPr="007D4733">
        <w:rPr>
          <w:rFonts w:ascii="Arial" w:hAnsi="Arial" w:cs="Arial"/>
          <w:lang w:val="en-US"/>
        </w:rPr>
        <w:t>Hb</w:t>
      </w:r>
      <w:proofErr w:type="spellEnd"/>
      <w:r w:rsidRPr="007D4733">
        <w:rPr>
          <w:rFonts w:ascii="Arial" w:hAnsi="Arial" w:cs="Arial"/>
          <w:lang w:val="en-US"/>
        </w:rPr>
        <w:t>.</w:t>
      </w:r>
      <w:r w:rsidRPr="007D4733">
        <w:rPr>
          <w:rFonts w:ascii="Arial" w:eastAsia="Arial" w:hAnsi="Arial" w:cs="Arial"/>
          <w:color w:val="00000A"/>
          <w:shd w:val="clear" w:color="auto" w:fill="FFFFFF"/>
          <w:vertAlign w:val="superscript"/>
          <w:lang w:val="en-US"/>
        </w:rPr>
        <w:t xml:space="preserve"> </w:t>
      </w:r>
      <w:proofErr w:type="spellStart"/>
      <w:r w:rsidRPr="007D4733">
        <w:rPr>
          <w:rFonts w:ascii="Arial" w:eastAsia="Arial" w:hAnsi="Arial" w:cs="Arial"/>
          <w:color w:val="00000A"/>
          <w:shd w:val="clear" w:color="auto" w:fill="FFFFFF"/>
          <w:vertAlign w:val="superscript"/>
          <w:lang w:val="en-US"/>
        </w:rPr>
        <w:t>b</w:t>
      </w:r>
      <w:r w:rsidRPr="007D4733">
        <w:rPr>
          <w:rFonts w:ascii="Arial" w:eastAsia="Arial" w:hAnsi="Arial" w:cs="Arial"/>
          <w:color w:val="00000A"/>
          <w:shd w:val="clear" w:color="auto" w:fill="FFFFFF"/>
          <w:lang w:val="en-US"/>
        </w:rPr>
        <w:t>Different</w:t>
      </w:r>
      <w:proofErr w:type="spellEnd"/>
      <w:r w:rsidRPr="007D4733">
        <w:rPr>
          <w:rFonts w:ascii="Arial" w:eastAsia="Arial" w:hAnsi="Arial" w:cs="Arial"/>
          <w:color w:val="00000A"/>
          <w:shd w:val="clear" w:color="auto" w:fill="FFFFFF"/>
          <w:lang w:val="en-US"/>
        </w:rPr>
        <w:t xml:space="preserve"> from the control and standard groups. </w:t>
      </w:r>
      <w:proofErr w:type="spellStart"/>
      <w:proofErr w:type="gramStart"/>
      <w:r w:rsidRPr="007D4733">
        <w:rPr>
          <w:rFonts w:ascii="Arial" w:eastAsia="Arial" w:hAnsi="Arial" w:cs="Arial"/>
          <w:color w:val="00000A"/>
          <w:shd w:val="clear" w:color="auto" w:fill="FFFFFF"/>
          <w:vertAlign w:val="superscript"/>
          <w:lang w:val="en-US"/>
        </w:rPr>
        <w:t>d</w:t>
      </w:r>
      <w:r w:rsidRPr="007D4733">
        <w:rPr>
          <w:rFonts w:ascii="Arial" w:eastAsia="Arial" w:hAnsi="Arial" w:cs="Arial"/>
          <w:color w:val="00000A"/>
          <w:shd w:val="clear" w:color="auto" w:fill="FFFFFF"/>
          <w:lang w:val="en-US"/>
        </w:rPr>
        <w:t>Different</w:t>
      </w:r>
      <w:proofErr w:type="spellEnd"/>
      <w:proofErr w:type="gramEnd"/>
      <w:r w:rsidRPr="007D4733">
        <w:rPr>
          <w:rFonts w:ascii="Arial" w:eastAsia="Arial" w:hAnsi="Arial" w:cs="Arial"/>
          <w:color w:val="00000A"/>
          <w:shd w:val="clear" w:color="auto" w:fill="FFFFFF"/>
          <w:lang w:val="en-US"/>
        </w:rPr>
        <w:t xml:space="preserve"> from the unsaturated group. ANOVA </w:t>
      </w:r>
      <w:r w:rsidRPr="007D4733">
        <w:rPr>
          <w:rFonts w:ascii="Arial" w:hAnsi="Arial" w:cs="Arial"/>
          <w:lang w:val="en-US"/>
        </w:rPr>
        <w:t xml:space="preserve">– </w:t>
      </w:r>
      <w:proofErr w:type="spellStart"/>
      <w:r w:rsidRPr="007D4733">
        <w:rPr>
          <w:rFonts w:ascii="Arial" w:hAnsi="Arial" w:cs="Arial"/>
          <w:lang w:val="en-US"/>
        </w:rPr>
        <w:t>Tukey</w:t>
      </w:r>
      <w:proofErr w:type="spellEnd"/>
      <w:r w:rsidRPr="007D4733">
        <w:rPr>
          <w:rFonts w:ascii="Arial" w:hAnsi="Arial" w:cs="Arial"/>
          <w:lang w:val="en-US"/>
        </w:rPr>
        <w:t>-Kramer’s Test.</w:t>
      </w:r>
    </w:p>
    <w:p w:rsidR="00BB7322" w:rsidRPr="007D4733" w:rsidRDefault="00BB7322" w:rsidP="00BB7322">
      <w:pPr>
        <w:spacing w:line="480" w:lineRule="auto"/>
        <w:jc w:val="both"/>
        <w:rPr>
          <w:rFonts w:ascii="Arial" w:hAnsi="Arial" w:cs="Arial"/>
          <w:lang w:val="en-US"/>
        </w:rPr>
      </w:pPr>
    </w:p>
    <w:p w:rsidR="00BB7322" w:rsidRPr="007D4733" w:rsidRDefault="00835477" w:rsidP="00BB7322">
      <w:pPr>
        <w:spacing w:line="480" w:lineRule="auto"/>
        <w:jc w:val="both"/>
        <w:rPr>
          <w:rFonts w:ascii="Arial" w:hAnsi="Arial" w:cs="Arial"/>
          <w:lang w:val="en-US"/>
        </w:rPr>
      </w:pPr>
      <w:r w:rsidRPr="007D4733">
        <w:rPr>
          <w:rFonts w:ascii="Arial" w:hAnsi="Arial" w:cs="Arial"/>
          <w:noProof/>
          <w:lang w:val="en-US" w:eastAsia="en-US"/>
        </w:rPr>
        <w:lastRenderedPageBreak/>
        <w:drawing>
          <wp:inline distT="0" distB="0" distL="0" distR="0" wp14:anchorId="351A760A" wp14:editId="532F3BAB">
            <wp:extent cx="5400040" cy="1849555"/>
            <wp:effectExtent l="0" t="0" r="0" b="0"/>
            <wp:docPr id="7" name="Picture 7" descr="D:\Babu\2018\Content_Structuring_Module\Tested_Stories\I10\Showcase\float_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abu\2018\Content_Structuring_Module\Tested_Stories\I10\Showcase\float_image1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849555"/>
                    </a:xfrm>
                    <a:prstGeom prst="rect">
                      <a:avLst/>
                    </a:prstGeom>
                    <a:noFill/>
                    <a:ln>
                      <a:noFill/>
                    </a:ln>
                  </pic:spPr>
                </pic:pic>
              </a:graphicData>
            </a:graphic>
          </wp:inline>
        </w:drawing>
      </w:r>
    </w:p>
    <w:p w:rsidR="00BB7322" w:rsidRPr="007D4733" w:rsidRDefault="00BB7322" w:rsidP="00BB7322">
      <w:pPr>
        <w:spacing w:line="480" w:lineRule="auto"/>
        <w:jc w:val="both"/>
        <w:rPr>
          <w:rFonts w:ascii="Arial" w:hAnsi="Arial" w:cs="Arial"/>
          <w:lang w:val="en-US"/>
        </w:rPr>
      </w:pPr>
      <w:r w:rsidRPr="007D4733">
        <w:rPr>
          <w:rFonts w:ascii="Arial" w:hAnsi="Arial" w:cs="Arial"/>
          <w:b/>
          <w:lang w:val="en-US"/>
        </w:rPr>
        <w:t>Figure 2</w:t>
      </w:r>
      <w:r w:rsidRPr="007D4733">
        <w:rPr>
          <w:rFonts w:ascii="Arial" w:hAnsi="Arial" w:cs="Arial"/>
          <w:lang w:val="en-US"/>
        </w:rPr>
        <w:t>: ATP, ADP and AMP hydrolysis in platelets of young</w:t>
      </w:r>
      <w:r w:rsidR="00DD152F" w:rsidRPr="007D4733">
        <w:rPr>
          <w:rFonts w:ascii="Arial" w:hAnsi="Arial" w:cs="Arial"/>
          <w:lang w:val="en-US"/>
        </w:rPr>
        <w:t xml:space="preserve"> STRUCT-245</w:t>
      </w:r>
      <w:r w:rsidRPr="007D4733">
        <w:rPr>
          <w:rFonts w:ascii="Arial" w:hAnsi="Arial" w:cs="Arial"/>
          <w:lang w:val="en-US"/>
        </w:rPr>
        <w:t xml:space="preserve"> rats exposed to different diets.</w:t>
      </w:r>
      <w:r w:rsidR="000148F8" w:rsidRPr="007D4733">
        <w:rPr>
          <w:rFonts w:ascii="Arial" w:hAnsi="Arial" w:cs="Arial"/>
          <w:lang w:val="en-US"/>
        </w:rPr>
        <w:br/>
      </w:r>
      <w:r w:rsidRPr="007D4733">
        <w:rPr>
          <w:rFonts w:ascii="Arial" w:hAnsi="Arial" w:cs="Arial"/>
          <w:lang w:val="en-US"/>
        </w:rPr>
        <w:t xml:space="preserve">Each column represents mean ± S.D. (n=5) as percent of control. ATP, ADP and AMP hydrolysis control values for platelets were 18.68 ± 1.03, 7.37 ± 0.56 and 7.03 ± 0.55, respectively, were expressed as </w:t>
      </w:r>
      <w:proofErr w:type="spellStart"/>
      <w:r w:rsidRPr="007D4733">
        <w:rPr>
          <w:rFonts w:ascii="Arial" w:hAnsi="Arial" w:cs="Arial"/>
          <w:lang w:val="en-US"/>
        </w:rPr>
        <w:t>nmol</w:t>
      </w:r>
      <w:proofErr w:type="spellEnd"/>
      <w:r w:rsidRPr="007D4733">
        <w:rPr>
          <w:rFonts w:ascii="Arial" w:hAnsi="Arial" w:cs="Arial"/>
          <w:lang w:val="en-US"/>
        </w:rPr>
        <w:t xml:space="preserve"> Pi/min/mg protein. </w:t>
      </w:r>
      <w:r w:rsidRPr="007D4733">
        <w:rPr>
          <w:rFonts w:ascii="Arial" w:eastAsia="Arial" w:hAnsi="Arial" w:cs="Arial"/>
          <w:color w:val="00000A"/>
          <w:shd w:val="clear" w:color="auto" w:fill="FFFFFF"/>
          <w:lang w:val="en-US"/>
        </w:rPr>
        <w:t xml:space="preserve">*** Different from the all groups (p&lt;0.05). </w:t>
      </w:r>
      <w:proofErr w:type="spellStart"/>
      <w:proofErr w:type="gramStart"/>
      <w:r w:rsidRPr="007D4733">
        <w:rPr>
          <w:rFonts w:ascii="Arial" w:eastAsia="Arial" w:hAnsi="Arial" w:cs="Arial"/>
          <w:color w:val="00000A"/>
          <w:shd w:val="clear" w:color="auto" w:fill="FFFFFF"/>
          <w:vertAlign w:val="superscript"/>
          <w:lang w:val="en-US"/>
        </w:rPr>
        <w:t>a</w:t>
      </w:r>
      <w:r w:rsidRPr="007D4733">
        <w:rPr>
          <w:rFonts w:ascii="Arial" w:eastAsia="Arial" w:hAnsi="Arial" w:cs="Arial"/>
          <w:color w:val="00000A"/>
          <w:shd w:val="clear" w:color="auto" w:fill="FFFFFF"/>
          <w:lang w:val="en-US"/>
        </w:rPr>
        <w:t>Different</w:t>
      </w:r>
      <w:proofErr w:type="spellEnd"/>
      <w:proofErr w:type="gramEnd"/>
      <w:r w:rsidRPr="007D4733">
        <w:rPr>
          <w:rFonts w:ascii="Arial" w:eastAsia="Arial" w:hAnsi="Arial" w:cs="Arial"/>
          <w:color w:val="00000A"/>
          <w:shd w:val="clear" w:color="auto" w:fill="FFFFFF"/>
          <w:lang w:val="en-US"/>
        </w:rPr>
        <w:t xml:space="preserve"> from the control group.  </w:t>
      </w:r>
      <w:proofErr w:type="spellStart"/>
      <w:proofErr w:type="gramStart"/>
      <w:r w:rsidRPr="007D4733">
        <w:rPr>
          <w:rFonts w:ascii="Arial" w:eastAsia="Arial" w:hAnsi="Arial" w:cs="Arial"/>
          <w:color w:val="00000A"/>
          <w:shd w:val="clear" w:color="auto" w:fill="FFFFFF"/>
          <w:vertAlign w:val="superscript"/>
          <w:lang w:val="en-US"/>
        </w:rPr>
        <w:t>c</w:t>
      </w:r>
      <w:r w:rsidRPr="007D4733">
        <w:rPr>
          <w:rFonts w:ascii="Arial" w:eastAsia="Arial" w:hAnsi="Arial" w:cs="Arial"/>
          <w:color w:val="00000A"/>
          <w:shd w:val="clear" w:color="auto" w:fill="FFFFFF"/>
          <w:lang w:val="en-US"/>
        </w:rPr>
        <w:t>Different</w:t>
      </w:r>
      <w:proofErr w:type="spellEnd"/>
      <w:proofErr w:type="gramEnd"/>
      <w:r w:rsidRPr="007D4733">
        <w:rPr>
          <w:rFonts w:ascii="Arial" w:eastAsia="Arial" w:hAnsi="Arial" w:cs="Arial"/>
          <w:color w:val="00000A"/>
          <w:shd w:val="clear" w:color="auto" w:fill="FFFFFF"/>
          <w:lang w:val="en-US"/>
        </w:rPr>
        <w:t xml:space="preserve"> from the saturated group. </w:t>
      </w:r>
      <w:r w:rsidRPr="007D4733">
        <w:rPr>
          <w:rFonts w:ascii="Arial" w:hAnsi="Arial" w:cs="Arial"/>
          <w:lang w:val="en-US"/>
        </w:rPr>
        <w:t xml:space="preserve">ANOVA – </w:t>
      </w:r>
      <w:proofErr w:type="spellStart"/>
      <w:r w:rsidRPr="007D4733">
        <w:rPr>
          <w:rFonts w:ascii="Arial" w:hAnsi="Arial" w:cs="Arial"/>
          <w:lang w:val="en-US"/>
        </w:rPr>
        <w:t>Tukey</w:t>
      </w:r>
      <w:proofErr w:type="spellEnd"/>
      <w:r w:rsidRPr="007D4733">
        <w:rPr>
          <w:rFonts w:ascii="Arial" w:hAnsi="Arial" w:cs="Arial"/>
          <w:lang w:val="en-US"/>
        </w:rPr>
        <w:t>-Kramer’s Test</w:t>
      </w:r>
      <w:r w:rsidR="000148F8" w:rsidRPr="007D4733">
        <w:rPr>
          <w:rFonts w:ascii="Arial" w:hAnsi="Arial" w:cs="Arial"/>
          <w:lang w:val="en-US"/>
        </w:rPr>
        <w:t xml:space="preserve"> </w:t>
      </w:r>
      <w:r w:rsidR="000148F8" w:rsidRPr="007D4733">
        <w:rPr>
          <w:rFonts w:ascii="Arial" w:eastAsia="Malgun Gothic" w:hAnsi="Arial" w:cs="Arial"/>
          <w:kern w:val="2"/>
          <w:shd w:val="clear" w:color="auto" w:fill="FFFFFF"/>
        </w:rPr>
        <w:t xml:space="preserve">(Adapted from </w:t>
      </w:r>
      <w:r w:rsidR="000148F8" w:rsidRPr="007D4733">
        <w:rPr>
          <w:rFonts w:ascii="Arial" w:hAnsi="Arial" w:cs="Arial"/>
        </w:rPr>
        <w:t xml:space="preserve">Wilhelm M (2014) </w:t>
      </w:r>
      <w:proofErr w:type="gramStart"/>
      <w:r w:rsidR="000148F8" w:rsidRPr="007D4733">
        <w:rPr>
          <w:rFonts w:ascii="Arial" w:hAnsi="Arial" w:cs="Arial"/>
        </w:rPr>
        <w:t>Atrial</w:t>
      </w:r>
      <w:proofErr w:type="gramEnd"/>
      <w:r w:rsidR="000148F8" w:rsidRPr="007D4733">
        <w:rPr>
          <w:rFonts w:ascii="Arial" w:hAnsi="Arial" w:cs="Arial"/>
        </w:rPr>
        <w:t xml:space="preserve"> fibrillation in endurance athletes. Eur J Prev Cardiol 21:1040–8. doi: 10.1177/2047487313476414</w:t>
      </w:r>
      <w:r w:rsidR="000148F8" w:rsidRPr="007D4733">
        <w:rPr>
          <w:rFonts w:ascii="Arial" w:eastAsia="Malgun Gothic" w:hAnsi="Arial" w:cs="Arial"/>
          <w:kern w:val="2"/>
          <w:shd w:val="clear" w:color="auto" w:fill="FFFFFF"/>
        </w:rPr>
        <w:t>)</w:t>
      </w:r>
      <w:r w:rsidR="000148F8" w:rsidRPr="007D4733">
        <w:rPr>
          <w:rFonts w:ascii="Arial" w:eastAsia="Malgun Gothic" w:hAnsi="Arial" w:cs="Arial"/>
          <w:shd w:val="clear" w:color="auto" w:fill="FFFFFF"/>
        </w:rPr>
        <w:t>.</w:t>
      </w:r>
    </w:p>
    <w:p w:rsidR="00BB7322" w:rsidRPr="007D4733" w:rsidRDefault="00BB7322">
      <w:pPr>
        <w:spacing w:after="0" w:line="480" w:lineRule="auto"/>
        <w:jc w:val="both"/>
        <w:rPr>
          <w:rFonts w:ascii="Arial" w:hAnsi="Arial" w:cs="Arial"/>
          <w:lang w:val="en-US"/>
        </w:rPr>
      </w:pPr>
    </w:p>
    <w:p w:rsidR="000148F8" w:rsidRPr="007D4733" w:rsidRDefault="00835477" w:rsidP="000148F8">
      <w:pPr>
        <w:pStyle w:val="Listenabsatz1"/>
        <w:spacing w:line="480" w:lineRule="auto"/>
        <w:ind w:left="0"/>
        <w:jc w:val="both"/>
        <w:rPr>
          <w:rFonts w:ascii="Arial" w:hAnsi="Arial" w:cs="Arial"/>
          <w:lang w:val="en-GB"/>
        </w:rPr>
      </w:pPr>
      <w:r w:rsidRPr="007D4733">
        <w:rPr>
          <w:rFonts w:ascii="Arial" w:hAnsi="Arial" w:cs="Arial"/>
          <w:noProof/>
          <w:lang w:val="en-US" w:eastAsia="en-US"/>
        </w:rPr>
        <w:drawing>
          <wp:inline distT="0" distB="0" distL="0" distR="0" wp14:anchorId="5610E763" wp14:editId="618999C1">
            <wp:extent cx="5400040" cy="1849555"/>
            <wp:effectExtent l="0" t="0" r="0" b="0"/>
            <wp:docPr id="9" name="Picture 9" descr="D:\Babu\2018\Content_Structuring_Module\Tested_Stories\I10\Showcase\float_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abu\2018\Content_Structuring_Module\Tested_Stories\I10\Showcase\float_image1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849555"/>
                    </a:xfrm>
                    <a:prstGeom prst="rect">
                      <a:avLst/>
                    </a:prstGeom>
                    <a:noFill/>
                    <a:ln>
                      <a:noFill/>
                    </a:ln>
                  </pic:spPr>
                </pic:pic>
              </a:graphicData>
            </a:graphic>
          </wp:inline>
        </w:drawing>
      </w:r>
    </w:p>
    <w:p w:rsidR="000148F8" w:rsidRPr="007D4733" w:rsidRDefault="000148F8" w:rsidP="000148F8">
      <w:pPr>
        <w:pStyle w:val="Listenabsatz1"/>
        <w:spacing w:line="480" w:lineRule="auto"/>
        <w:ind w:left="0"/>
        <w:jc w:val="both"/>
        <w:rPr>
          <w:rFonts w:ascii="Arial" w:hAnsi="Arial" w:cs="Arial"/>
          <w:lang w:val="en-GB"/>
        </w:rPr>
      </w:pPr>
      <w:proofErr w:type="gramStart"/>
      <w:r w:rsidRPr="007D4733">
        <w:rPr>
          <w:rFonts w:ascii="Arial" w:hAnsi="Arial" w:cs="Arial"/>
          <w:b/>
          <w:lang w:val="en-GB"/>
        </w:rPr>
        <w:t xml:space="preserve">Figure </w:t>
      </w:r>
      <w:r w:rsidR="00A85EE7" w:rsidRPr="007D4733">
        <w:rPr>
          <w:rFonts w:ascii="Arial" w:hAnsi="Arial" w:cs="Arial"/>
          <w:b/>
          <w:lang w:val="en-GB"/>
        </w:rPr>
        <w:t>3</w:t>
      </w:r>
      <w:r w:rsidRPr="007D4733">
        <w:rPr>
          <w:rFonts w:ascii="Arial" w:hAnsi="Arial" w:cs="Arial"/>
          <w:b/>
          <w:lang w:val="en-GB"/>
        </w:rPr>
        <w:t>.</w:t>
      </w:r>
      <w:proofErr w:type="gramEnd"/>
      <w:r w:rsidRPr="007D4733">
        <w:rPr>
          <w:rFonts w:ascii="Arial" w:hAnsi="Arial" w:cs="Arial"/>
          <w:b/>
          <w:lang w:val="en-GB"/>
        </w:rPr>
        <w:t xml:space="preserve"> </w:t>
      </w:r>
      <w:r w:rsidRPr="007D4733">
        <w:rPr>
          <w:rFonts w:ascii="Arial" w:hAnsi="Arial" w:cs="Arial"/>
          <w:lang w:val="en-GB"/>
        </w:rPr>
        <w:t>The parallel diagram depicts development of LV-EDV from baseline to follow-up over five years. LV volumes did not change significantly in the follow-up period STRUCT-275.</w:t>
      </w:r>
    </w:p>
    <w:p w:rsidR="000148F8" w:rsidRPr="007D4733" w:rsidRDefault="000148F8" w:rsidP="000148F8">
      <w:pPr>
        <w:rPr>
          <w:rFonts w:ascii="Arial" w:hAnsi="Arial" w:cs="Arial"/>
          <w:b/>
          <w:i/>
          <w:lang w:val="en-GB"/>
        </w:rPr>
      </w:pPr>
      <w:r w:rsidRPr="007D4733">
        <w:rPr>
          <w:rFonts w:ascii="Arial" w:hAnsi="Arial" w:cs="Arial"/>
          <w:i/>
          <w:lang w:val="en-GB"/>
        </w:rPr>
        <w:t>LV-EDV: left ventricular end-diastolic volume</w:t>
      </w:r>
    </w:p>
    <w:p w:rsidR="000148F8" w:rsidRPr="007D4733" w:rsidRDefault="000148F8" w:rsidP="000148F8">
      <w:pPr>
        <w:rPr>
          <w:rFonts w:ascii="Arial" w:hAnsi="Arial" w:cs="Arial"/>
          <w:b/>
          <w:i/>
          <w:lang w:val="en-GB"/>
        </w:rPr>
      </w:pPr>
      <w:r w:rsidRPr="007D4733">
        <w:rPr>
          <w:rFonts w:ascii="Arial" w:hAnsi="Arial" w:cs="Arial"/>
          <w:lang w:val="en-GB"/>
        </w:rPr>
        <w:t xml:space="preserve">The parallel diagram depicts development of LV-MM from baseline to follow-up. 17 of 18 athletes had an increase of LV-MM. In the subgroup analysis, mean LV-MM </w:t>
      </w:r>
      <w:r w:rsidRPr="007D4733">
        <w:rPr>
          <w:rFonts w:ascii="Arial" w:hAnsi="Arial" w:cs="Arial"/>
          <w:lang w:val="en-GB"/>
        </w:rPr>
        <w:lastRenderedPageBreak/>
        <w:t xml:space="preserve">differences between baseline and follow-up for athletes with constant or higher training volume </w:t>
      </w:r>
      <w:bookmarkStart w:id="0" w:name="_GoBack"/>
      <w:bookmarkEnd w:id="0"/>
      <w:r w:rsidRPr="007D4733">
        <w:rPr>
          <w:rFonts w:ascii="Arial" w:hAnsi="Arial" w:cs="Arial"/>
          <w:lang w:val="en-GB"/>
        </w:rPr>
        <w:t>was 17.8 ± 3 g, and for athletes with decreased training volume it was 11.2 ± 5 g.</w:t>
      </w:r>
    </w:p>
    <w:p w:rsidR="000148F8" w:rsidRPr="007D4733" w:rsidRDefault="000148F8">
      <w:pPr>
        <w:spacing w:after="0" w:line="480" w:lineRule="auto"/>
        <w:jc w:val="both"/>
        <w:rPr>
          <w:rFonts w:ascii="Arial" w:hAnsi="Arial" w:cs="Arial"/>
          <w:lang w:val="en-US"/>
        </w:rPr>
      </w:pPr>
    </w:p>
    <w:p w:rsidR="00676F54" w:rsidRPr="007D4733" w:rsidRDefault="00676F54">
      <w:pPr>
        <w:spacing w:after="0" w:line="480" w:lineRule="auto"/>
        <w:jc w:val="both"/>
        <w:rPr>
          <w:rFonts w:ascii="Arial" w:hAnsi="Arial" w:cs="Arial"/>
          <w:lang w:val="en-US"/>
        </w:rPr>
      </w:pPr>
      <w:r w:rsidRPr="007D4733">
        <w:rPr>
          <w:rFonts w:ascii="Arial" w:hAnsi="Arial" w:cs="Arial"/>
          <w:lang w:val="en-US"/>
        </w:rPr>
        <w:t>Table Captions</w:t>
      </w:r>
    </w:p>
    <w:p w:rsidR="00FD1BA6" w:rsidRPr="007D4733" w:rsidRDefault="00FD1BA6" w:rsidP="00FD1BA6">
      <w:pPr>
        <w:rPr>
          <w:rFonts w:ascii="Arial" w:hAnsi="Arial" w:cs="Arial"/>
          <w:lang w:val="en-GB"/>
        </w:rPr>
      </w:pPr>
      <w:r w:rsidRPr="007D4733">
        <w:rPr>
          <w:rFonts w:ascii="Arial" w:hAnsi="Arial" w:cs="Arial"/>
          <w:b/>
          <w:lang w:val="en-GB"/>
        </w:rPr>
        <w:t xml:space="preserve">Table 1: </w:t>
      </w:r>
      <w:r w:rsidRPr="007D4733">
        <w:rPr>
          <w:rFonts w:ascii="Arial" w:hAnsi="Arial" w:cs="Arial"/>
          <w:lang w:val="en-GB"/>
        </w:rPr>
        <w:t>Athletes’ characteristics and physical examination</w:t>
      </w:r>
    </w:p>
    <w:tbl>
      <w:tblPr>
        <w:tblStyle w:val="1"/>
        <w:tblW w:w="0" w:type="auto"/>
        <w:tblLook w:val="04A0" w:firstRow="1" w:lastRow="0" w:firstColumn="1" w:lastColumn="0" w:noHBand="0" w:noVBand="1"/>
      </w:tblPr>
      <w:tblGrid>
        <w:gridCol w:w="2552"/>
        <w:gridCol w:w="2977"/>
        <w:gridCol w:w="3115"/>
      </w:tblGrid>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b/>
                <w:lang w:val="en-GB"/>
              </w:rPr>
            </w:pPr>
            <w:r w:rsidRPr="007D4733">
              <w:rPr>
                <w:rFonts w:ascii="Arial" w:hAnsi="Arial" w:cs="Arial"/>
                <w:b/>
                <w:lang w:val="en-GB"/>
              </w:rPr>
              <w:t>Parameter</w:t>
            </w:r>
          </w:p>
        </w:tc>
        <w:tc>
          <w:tcPr>
            <w:tcW w:w="2977" w:type="dxa"/>
          </w:tcPr>
          <w:p w:rsidR="00FD1BA6" w:rsidRPr="007D4733" w:rsidRDefault="00FD1BA6" w:rsidP="00D577DD">
            <w:pPr>
              <w:autoSpaceDE w:val="0"/>
              <w:autoSpaceDN w:val="0"/>
              <w:adjustRightInd w:val="0"/>
              <w:spacing w:before="240" w:after="120"/>
              <w:jc w:val="center"/>
              <w:rPr>
                <w:rFonts w:ascii="Arial" w:hAnsi="Arial" w:cs="Arial"/>
                <w:b/>
                <w:lang w:val="en-GB"/>
              </w:rPr>
            </w:pPr>
            <w:r w:rsidRPr="007D4733">
              <w:rPr>
                <w:rFonts w:ascii="Arial" w:hAnsi="Arial" w:cs="Arial"/>
                <w:b/>
                <w:lang w:val="en-GB"/>
              </w:rPr>
              <w:t>Baseline</w:t>
            </w:r>
          </w:p>
        </w:tc>
        <w:tc>
          <w:tcPr>
            <w:tcW w:w="3115" w:type="dxa"/>
          </w:tcPr>
          <w:p w:rsidR="00FD1BA6" w:rsidRPr="007D4733" w:rsidRDefault="00FD1BA6" w:rsidP="00D577DD">
            <w:pPr>
              <w:autoSpaceDE w:val="0"/>
              <w:autoSpaceDN w:val="0"/>
              <w:adjustRightInd w:val="0"/>
              <w:spacing w:before="240" w:after="120"/>
              <w:jc w:val="center"/>
              <w:rPr>
                <w:rFonts w:ascii="Arial" w:hAnsi="Arial" w:cs="Arial"/>
                <w:b/>
                <w:lang w:val="en-GB"/>
              </w:rPr>
            </w:pPr>
            <w:r w:rsidRPr="007D4733">
              <w:rPr>
                <w:rFonts w:ascii="Arial" w:hAnsi="Arial" w:cs="Arial"/>
                <w:b/>
                <w:lang w:val="en-GB"/>
              </w:rPr>
              <w:t>Follow-up</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Age (years)</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37.7 ± 12 [19; 60]</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42.7 ± 13 [23; 65]</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Weight (kg)</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69.9 ± 9 [50; 82]</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70.3 ± 9 [47; 84]</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Height (cm)</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176 ± 9 [159; 198]</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176 ± 9 [159; 198]</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Body surface area (m²)</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1.8 ± 0.2 [1.5; 2.1]</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1.9 ± 0.2 [1.4; 2.1]</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Total training years (years)</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8.6 ± 4 [4; 20]</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13.7 ± 4 [9; 26]</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Training volume/week (h)</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14.5 ± 4 [8; 25]</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13.3 ± 4 [5; 19]</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Lifetime training hours</w:t>
            </w:r>
          </w:p>
          <w:p w:rsidR="00FD1BA6" w:rsidRPr="007D4733" w:rsidRDefault="00FD1BA6" w:rsidP="00FD1BA6">
            <w:pPr>
              <w:pStyle w:val="ListParagraph"/>
              <w:numPr>
                <w:ilvl w:val="0"/>
                <w:numId w:val="5"/>
              </w:numPr>
              <w:suppressAutoHyphens/>
              <w:autoSpaceDE w:val="0"/>
              <w:autoSpaceDN w:val="0"/>
              <w:adjustRightInd w:val="0"/>
              <w:spacing w:before="240" w:after="120" w:line="240" w:lineRule="auto"/>
              <w:rPr>
                <w:rFonts w:ascii="Arial" w:hAnsi="Arial" w:cs="Arial"/>
                <w:lang w:val="en-GB"/>
              </w:rPr>
            </w:pPr>
            <w:r w:rsidRPr="007D4733">
              <w:rPr>
                <w:rFonts w:ascii="Arial" w:hAnsi="Arial" w:cs="Arial"/>
                <w:lang w:val="en-GB"/>
              </w:rPr>
              <w:t>total</w:t>
            </w:r>
          </w:p>
          <w:p w:rsidR="00FD1BA6" w:rsidRPr="007D4733" w:rsidRDefault="00FD1BA6" w:rsidP="00D577DD">
            <w:pPr>
              <w:pStyle w:val="ListParagraph"/>
              <w:autoSpaceDE w:val="0"/>
              <w:autoSpaceDN w:val="0"/>
              <w:adjustRightInd w:val="0"/>
              <w:spacing w:before="240" w:after="120"/>
              <w:rPr>
                <w:rFonts w:ascii="Arial" w:hAnsi="Arial" w:cs="Arial"/>
                <w:lang w:val="en-GB"/>
              </w:rPr>
            </w:pPr>
          </w:p>
          <w:p w:rsidR="00FD1BA6" w:rsidRPr="007D4733" w:rsidRDefault="00FD1BA6" w:rsidP="00FD1BA6">
            <w:pPr>
              <w:pStyle w:val="ListParagraph"/>
              <w:numPr>
                <w:ilvl w:val="0"/>
                <w:numId w:val="5"/>
              </w:numPr>
              <w:suppressAutoHyphens/>
              <w:autoSpaceDE w:val="0"/>
              <w:autoSpaceDN w:val="0"/>
              <w:adjustRightInd w:val="0"/>
              <w:spacing w:before="240" w:after="120" w:line="240" w:lineRule="auto"/>
              <w:rPr>
                <w:rFonts w:ascii="Arial" w:hAnsi="Arial" w:cs="Arial"/>
                <w:lang w:val="en-GB"/>
              </w:rPr>
            </w:pPr>
            <w:r w:rsidRPr="007D4733">
              <w:rPr>
                <w:rFonts w:ascii="Arial" w:hAnsi="Arial" w:cs="Arial"/>
                <w:lang w:val="en-GB"/>
              </w:rPr>
              <w:t>follow-up period</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p>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7002 ± 5414 [3120; 26000]</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p>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10461 ± 6121 [4940; 30680]</w:t>
            </w:r>
          </w:p>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3460 ± 1170 [1300; 5928]</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NT-</w:t>
            </w:r>
            <w:proofErr w:type="spellStart"/>
            <w:r w:rsidRPr="007D4733">
              <w:rPr>
                <w:rFonts w:ascii="Arial" w:hAnsi="Arial" w:cs="Arial"/>
                <w:lang w:val="en-GB"/>
              </w:rPr>
              <w:t>proBNP</w:t>
            </w:r>
            <w:proofErr w:type="spellEnd"/>
            <w:r w:rsidRPr="007D4733">
              <w:rPr>
                <w:rFonts w:ascii="Arial" w:hAnsi="Arial" w:cs="Arial"/>
                <w:lang w:val="en-GB"/>
              </w:rPr>
              <w:t xml:space="preserve"> (</w:t>
            </w:r>
            <w:proofErr w:type="spellStart"/>
            <w:r w:rsidRPr="007D4733">
              <w:rPr>
                <w:rFonts w:ascii="Arial" w:hAnsi="Arial" w:cs="Arial"/>
                <w:lang w:val="en-GB"/>
              </w:rPr>
              <w:t>ng</w:t>
            </w:r>
            <w:proofErr w:type="spellEnd"/>
            <w:r w:rsidRPr="007D4733">
              <w:rPr>
                <w:rFonts w:ascii="Arial" w:hAnsi="Arial" w:cs="Arial"/>
                <w:lang w:val="en-GB"/>
              </w:rPr>
              <w:t>/l)</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39.6 ± 29 [19.9; 138]</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40.1 ± 32 [19.9; 146]</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r w:rsidRPr="007D4733">
              <w:rPr>
                <w:rFonts w:ascii="Arial" w:hAnsi="Arial" w:cs="Arial"/>
                <w:lang w:val="en-GB"/>
              </w:rPr>
              <w:t>VO</w:t>
            </w:r>
            <w:r w:rsidRPr="007D4733">
              <w:rPr>
                <w:rFonts w:ascii="Arial" w:hAnsi="Arial" w:cs="Arial"/>
                <w:vertAlign w:val="subscript"/>
                <w:lang w:val="en-GB"/>
              </w:rPr>
              <w:t>2</w:t>
            </w:r>
            <w:r w:rsidRPr="007D4733">
              <w:rPr>
                <w:rFonts w:ascii="Arial" w:hAnsi="Arial" w:cs="Arial"/>
                <w:lang w:val="en-GB"/>
              </w:rPr>
              <w:t>max (ml/kg/min)</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58.4 ± 8 [40; 69]</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57.2 ± 9 [41; 72]</w:t>
            </w:r>
          </w:p>
        </w:tc>
      </w:tr>
      <w:tr w:rsidR="00FD1BA6" w:rsidRPr="007D4733" w:rsidTr="00D577DD">
        <w:tc>
          <w:tcPr>
            <w:tcW w:w="2552" w:type="dxa"/>
          </w:tcPr>
          <w:p w:rsidR="00FD1BA6" w:rsidRPr="007D4733" w:rsidRDefault="00FD1BA6" w:rsidP="00D577DD">
            <w:pPr>
              <w:autoSpaceDE w:val="0"/>
              <w:autoSpaceDN w:val="0"/>
              <w:adjustRightInd w:val="0"/>
              <w:spacing w:before="240" w:after="120"/>
              <w:rPr>
                <w:rFonts w:ascii="Arial" w:hAnsi="Arial" w:cs="Arial"/>
                <w:lang w:val="en-GB"/>
              </w:rPr>
            </w:pPr>
            <w:proofErr w:type="spellStart"/>
            <w:r w:rsidRPr="007D4733">
              <w:rPr>
                <w:rFonts w:ascii="Arial" w:hAnsi="Arial" w:cs="Arial"/>
                <w:lang w:val="en-GB"/>
              </w:rPr>
              <w:t>AnT</w:t>
            </w:r>
            <w:proofErr w:type="spellEnd"/>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p>
        </w:tc>
      </w:tr>
      <w:tr w:rsidR="00FD1BA6" w:rsidRPr="007D4733" w:rsidTr="00D577DD">
        <w:tc>
          <w:tcPr>
            <w:tcW w:w="2552" w:type="dxa"/>
          </w:tcPr>
          <w:p w:rsidR="00FD1BA6" w:rsidRPr="007D4733" w:rsidRDefault="00FD1BA6" w:rsidP="00FD1BA6">
            <w:pPr>
              <w:pStyle w:val="ListParagraph"/>
              <w:numPr>
                <w:ilvl w:val="0"/>
                <w:numId w:val="4"/>
              </w:numPr>
              <w:suppressAutoHyphens/>
              <w:autoSpaceDE w:val="0"/>
              <w:autoSpaceDN w:val="0"/>
              <w:adjustRightInd w:val="0"/>
              <w:spacing w:before="240" w:after="120" w:line="240" w:lineRule="auto"/>
              <w:rPr>
                <w:rFonts w:ascii="Arial" w:hAnsi="Arial" w:cs="Arial"/>
                <w:lang w:val="en-GB"/>
              </w:rPr>
            </w:pPr>
            <w:r w:rsidRPr="007D4733">
              <w:rPr>
                <w:rFonts w:ascii="Arial" w:hAnsi="Arial" w:cs="Arial"/>
                <w:lang w:val="en-GB"/>
              </w:rPr>
              <w:t>treadmill (km/h)</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14.1 ± 2 [11.4; 17.5]</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13.3 ± 2 [10.8; 17.6]</w:t>
            </w:r>
          </w:p>
        </w:tc>
      </w:tr>
      <w:tr w:rsidR="00FD1BA6" w:rsidRPr="007D4733" w:rsidTr="00D577DD">
        <w:tc>
          <w:tcPr>
            <w:tcW w:w="2552" w:type="dxa"/>
          </w:tcPr>
          <w:p w:rsidR="00FD1BA6" w:rsidRPr="007D4733" w:rsidRDefault="00FD1BA6" w:rsidP="00FD1BA6">
            <w:pPr>
              <w:pStyle w:val="ListParagraph"/>
              <w:numPr>
                <w:ilvl w:val="0"/>
                <w:numId w:val="4"/>
              </w:numPr>
              <w:suppressAutoHyphens/>
              <w:autoSpaceDE w:val="0"/>
              <w:autoSpaceDN w:val="0"/>
              <w:adjustRightInd w:val="0"/>
              <w:spacing w:before="240" w:after="120" w:line="240" w:lineRule="auto"/>
              <w:rPr>
                <w:rFonts w:ascii="Arial" w:hAnsi="Arial" w:cs="Arial"/>
                <w:lang w:val="en-GB"/>
              </w:rPr>
            </w:pPr>
            <w:r w:rsidRPr="007D4733">
              <w:rPr>
                <w:rFonts w:ascii="Arial" w:hAnsi="Arial" w:cs="Arial"/>
                <w:lang w:val="en-GB"/>
              </w:rPr>
              <w:t>bicycle ergometer (W/kg body weight)</w:t>
            </w:r>
          </w:p>
        </w:tc>
        <w:tc>
          <w:tcPr>
            <w:tcW w:w="2977"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3.1 ± 0.7 [2.1; 3.6]</w:t>
            </w:r>
          </w:p>
        </w:tc>
        <w:tc>
          <w:tcPr>
            <w:tcW w:w="3115" w:type="dxa"/>
          </w:tcPr>
          <w:p w:rsidR="00FD1BA6" w:rsidRPr="007D4733" w:rsidRDefault="00FD1BA6" w:rsidP="00D577DD">
            <w:pPr>
              <w:autoSpaceDE w:val="0"/>
              <w:autoSpaceDN w:val="0"/>
              <w:adjustRightInd w:val="0"/>
              <w:spacing w:before="240" w:after="120"/>
              <w:jc w:val="center"/>
              <w:rPr>
                <w:rFonts w:ascii="Arial" w:hAnsi="Arial" w:cs="Arial"/>
                <w:lang w:val="en-GB"/>
              </w:rPr>
            </w:pPr>
            <w:r w:rsidRPr="007D4733">
              <w:rPr>
                <w:rFonts w:ascii="Arial" w:hAnsi="Arial" w:cs="Arial"/>
                <w:lang w:val="en-GB"/>
              </w:rPr>
              <w:t>3.1 ± 0.7 [2.1; 3.6]</w:t>
            </w:r>
          </w:p>
        </w:tc>
      </w:tr>
    </w:tbl>
    <w:p w:rsidR="002D0CB9" w:rsidRPr="007D4733" w:rsidRDefault="002D0CB9" w:rsidP="002D0CB9">
      <w:pPr>
        <w:spacing w:line="480" w:lineRule="auto"/>
        <w:jc w:val="both"/>
        <w:rPr>
          <w:rFonts w:ascii="Arial" w:hAnsi="Arial" w:cs="Arial"/>
          <w:lang w:val="en-US"/>
        </w:rPr>
      </w:pPr>
      <w:r w:rsidRPr="007D4733">
        <w:rPr>
          <w:rFonts w:ascii="Arial" w:hAnsi="Arial" w:cs="Arial"/>
          <w:lang w:val="en-US"/>
        </w:rPr>
        <w:lastRenderedPageBreak/>
        <w:t xml:space="preserve">Table 2: Plasma, Glucose, Cholesterol, Cholesterol Ester concentrations in Lipoprotein Fractions, Triglycerides, </w:t>
      </w:r>
      <w:proofErr w:type="spellStart"/>
      <w:r w:rsidRPr="007D4733">
        <w:rPr>
          <w:rFonts w:ascii="Arial" w:hAnsi="Arial" w:cs="Arial"/>
          <w:lang w:val="en-US"/>
        </w:rPr>
        <w:t>Creatine</w:t>
      </w:r>
      <w:proofErr w:type="spellEnd"/>
      <w:r w:rsidRPr="007D4733">
        <w:rPr>
          <w:rFonts w:ascii="Arial" w:hAnsi="Arial" w:cs="Arial"/>
          <w:lang w:val="en-US"/>
        </w:rPr>
        <w:t xml:space="preserve"> and Urea in young rats exposed to High Fat Diets</w:t>
      </w:r>
      <w:r w:rsidR="00D97581" w:rsidRPr="007D4733">
        <w:rPr>
          <w:rFonts w:ascii="Arial" w:hAnsi="Arial" w:cs="Arial"/>
          <w:lang w:val="en-US"/>
        </w:rPr>
        <w:t xml:space="preserve"> STRUCT-289</w:t>
      </w:r>
      <w:r w:rsidR="000056DE" w:rsidRPr="007D4733">
        <w:rPr>
          <w:rFonts w:ascii="Arial" w:hAnsi="Arial" w:cs="Arial"/>
          <w:lang w:val="en-US"/>
        </w:rPr>
        <w:t xml:space="preserve"> and STRUCT-283</w:t>
      </w:r>
      <w:r w:rsidRPr="007D4733">
        <w:rPr>
          <w:rFonts w:ascii="Arial" w:hAnsi="Arial" w:cs="Arial"/>
          <w:lang w:val="en-US"/>
        </w:rPr>
        <w:t xml:space="preserve">. </w:t>
      </w:r>
    </w:p>
    <w:tbl>
      <w:tblPr>
        <w:tblW w:w="9721" w:type="dxa"/>
        <w:tblInd w:w="55" w:type="dxa"/>
        <w:tblBorders>
          <w:top w:val="single" w:sz="4" w:space="0" w:color="00000A"/>
        </w:tblBorders>
        <w:tblCellMar>
          <w:left w:w="70" w:type="dxa"/>
          <w:right w:w="70" w:type="dxa"/>
        </w:tblCellMar>
        <w:tblLook w:val="04A0" w:firstRow="1" w:lastRow="0" w:firstColumn="1" w:lastColumn="0" w:noHBand="0" w:noVBand="1"/>
      </w:tblPr>
      <w:tblGrid>
        <w:gridCol w:w="1820"/>
        <w:gridCol w:w="1186"/>
        <w:gridCol w:w="1489"/>
        <w:gridCol w:w="1687"/>
        <w:gridCol w:w="1502"/>
        <w:gridCol w:w="2037"/>
      </w:tblGrid>
      <w:tr w:rsidR="002D0CB9" w:rsidRPr="007D4733" w:rsidTr="002D0CB9">
        <w:trPr>
          <w:trHeight w:val="420"/>
        </w:trPr>
        <w:tc>
          <w:tcPr>
            <w:tcW w:w="1820" w:type="dxa"/>
            <w:vMerge w:val="restart"/>
            <w:tcBorders>
              <w:top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lang w:val="en-US"/>
              </w:rPr>
            </w:pPr>
          </w:p>
        </w:tc>
        <w:tc>
          <w:tcPr>
            <w:tcW w:w="7901" w:type="dxa"/>
            <w:gridSpan w:val="5"/>
            <w:tcBorders>
              <w:top w:val="single" w:sz="4" w:space="0" w:color="00000A"/>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Groups</w:t>
            </w:r>
          </w:p>
        </w:tc>
      </w:tr>
      <w:tr w:rsidR="002D0CB9" w:rsidRPr="007D4733" w:rsidTr="002D0CB9">
        <w:trPr>
          <w:trHeight w:val="420"/>
        </w:trPr>
        <w:tc>
          <w:tcPr>
            <w:tcW w:w="1820" w:type="dxa"/>
            <w:vMerge/>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p>
        </w:tc>
        <w:tc>
          <w:tcPr>
            <w:tcW w:w="1186"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Control</w:t>
            </w:r>
          </w:p>
        </w:tc>
        <w:tc>
          <w:tcPr>
            <w:tcW w:w="1489"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Standard</w:t>
            </w:r>
          </w:p>
        </w:tc>
        <w:tc>
          <w:tcPr>
            <w:tcW w:w="1687"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Saturated</w:t>
            </w:r>
          </w:p>
        </w:tc>
        <w:tc>
          <w:tcPr>
            <w:tcW w:w="1502"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Sat/Uns</w:t>
            </w:r>
          </w:p>
        </w:tc>
        <w:tc>
          <w:tcPr>
            <w:tcW w:w="2037"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Unsaturated</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Cholesterol</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81,8 ± 5,0</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84,5 ± 5,4</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108,0 ± 13,3 b</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94,3 ± 9,8</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61,3 ± 13,0 ***</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HDL-cholesterol</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53,7 ± 3,0</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60,2 ± 4,9</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41,5 ± 1,5 ***</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50,5 ± 3,7</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53,8 ± 4,9</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LDL-cholesterol</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8,8 ± 4,4</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10,8 ± 4,9</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46,2 ± 1,9 ***</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37,0 ± 8,1 ***</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4,3 ± 1,1</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Triglycerides</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105,8 ± 7,4</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118,2 ± 35,4 a</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59,3 ± 24,3 b</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47,0 ± 8,3 b</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50,2 ± 10,9 b</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Glucose</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105,2 ± 7,5</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103,3 ± 3,8</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127,3 ± 11,2</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112,2 ± 18,4</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93,7 ± 2,9</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Hematocrit</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47,5 ± 1,6</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41,5 ± 1,3 a</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41,3 ± 1,2 a</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47,0 ± 1,3 b,c</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49,0 ± 2,7 b,c</w:t>
            </w:r>
          </w:p>
        </w:tc>
      </w:tr>
      <w:tr w:rsidR="002D0CB9" w:rsidRPr="007D4733" w:rsidTr="002D0CB9">
        <w:trPr>
          <w:trHeight w:val="420"/>
        </w:trPr>
        <w:tc>
          <w:tcPr>
            <w:tcW w:w="1820" w:type="dxa"/>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Creatine</w:t>
            </w:r>
          </w:p>
        </w:tc>
        <w:tc>
          <w:tcPr>
            <w:tcW w:w="1186"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0,62 ± 0,1</w:t>
            </w:r>
          </w:p>
        </w:tc>
        <w:tc>
          <w:tcPr>
            <w:tcW w:w="1489"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0,64 ± 0,2</w:t>
            </w:r>
          </w:p>
        </w:tc>
        <w:tc>
          <w:tcPr>
            <w:tcW w:w="168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0,74 ± 0,1</w:t>
            </w:r>
          </w:p>
        </w:tc>
        <w:tc>
          <w:tcPr>
            <w:tcW w:w="1502"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0,60 ± 0,1</w:t>
            </w:r>
          </w:p>
        </w:tc>
        <w:tc>
          <w:tcPr>
            <w:tcW w:w="2037" w:type="dxa"/>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0,54 ± 0,1</w:t>
            </w:r>
          </w:p>
        </w:tc>
      </w:tr>
      <w:tr w:rsidR="002D0CB9" w:rsidRPr="007D4733" w:rsidTr="002D0CB9">
        <w:trPr>
          <w:trHeight w:val="420"/>
        </w:trPr>
        <w:tc>
          <w:tcPr>
            <w:tcW w:w="1820"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b/>
                <w:bCs/>
                <w:color w:val="000000"/>
              </w:rPr>
            </w:pPr>
            <w:r w:rsidRPr="007D4733">
              <w:rPr>
                <w:rFonts w:ascii="Arial" w:eastAsia="Times New Roman" w:hAnsi="Arial" w:cs="Arial"/>
                <w:b/>
                <w:bCs/>
                <w:color w:val="000000"/>
              </w:rPr>
              <w:t>Urea</w:t>
            </w:r>
          </w:p>
        </w:tc>
        <w:tc>
          <w:tcPr>
            <w:tcW w:w="1186"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35,3 ± 8,2</w:t>
            </w:r>
          </w:p>
        </w:tc>
        <w:tc>
          <w:tcPr>
            <w:tcW w:w="1489"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22,3 ± 2,2 a,c</w:t>
            </w:r>
          </w:p>
        </w:tc>
        <w:tc>
          <w:tcPr>
            <w:tcW w:w="1687"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32,2 ± 5,7</w:t>
            </w:r>
          </w:p>
        </w:tc>
        <w:tc>
          <w:tcPr>
            <w:tcW w:w="1502"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27,2 ± 1,3</w:t>
            </w:r>
          </w:p>
        </w:tc>
        <w:tc>
          <w:tcPr>
            <w:tcW w:w="2037" w:type="dxa"/>
            <w:tcBorders>
              <w:bottom w:val="single" w:sz="4" w:space="0" w:color="00000A"/>
            </w:tcBorders>
            <w:shd w:val="clear" w:color="auto" w:fill="auto"/>
            <w:vAlign w:val="center"/>
          </w:tcPr>
          <w:p w:rsidR="002D0CB9" w:rsidRPr="007D4733" w:rsidRDefault="002D0CB9" w:rsidP="00D577DD">
            <w:pPr>
              <w:spacing w:after="0" w:line="480" w:lineRule="auto"/>
              <w:jc w:val="center"/>
              <w:rPr>
                <w:rFonts w:ascii="Arial" w:eastAsia="Times New Roman" w:hAnsi="Arial" w:cs="Arial"/>
                <w:color w:val="000000"/>
              </w:rPr>
            </w:pPr>
            <w:r w:rsidRPr="007D4733">
              <w:rPr>
                <w:rFonts w:ascii="Arial" w:eastAsia="Times New Roman" w:hAnsi="Arial" w:cs="Arial"/>
                <w:color w:val="000000"/>
              </w:rPr>
              <w:t>27,6 ± 0,9</w:t>
            </w:r>
          </w:p>
        </w:tc>
      </w:tr>
    </w:tbl>
    <w:p w:rsidR="00FD1BA6" w:rsidRPr="007D4733" w:rsidRDefault="00FD1BA6" w:rsidP="00FD1BA6">
      <w:pPr>
        <w:spacing w:line="480" w:lineRule="auto"/>
        <w:rPr>
          <w:rFonts w:ascii="Arial" w:hAnsi="Arial" w:cs="Arial"/>
          <w:lang w:val="en-GB"/>
        </w:rPr>
      </w:pPr>
      <w:r w:rsidRPr="007D4733">
        <w:rPr>
          <w:rFonts w:ascii="Arial" w:hAnsi="Arial" w:cs="Arial"/>
          <w:lang w:val="en-GB"/>
        </w:rPr>
        <w:t>Mean values ± standard deviation and [range] in square brackets.</w:t>
      </w:r>
      <w:r w:rsidRPr="007D4733">
        <w:rPr>
          <w:rFonts w:ascii="Arial" w:hAnsi="Arial" w:cs="Arial"/>
          <w:bCs/>
          <w:lang w:val="en-GB"/>
        </w:rPr>
        <w:t xml:space="preserve"> To avoid type I error accumulation in multiple testing, only seven selected tests and </w:t>
      </w:r>
      <w:proofErr w:type="spellStart"/>
      <w:r w:rsidRPr="007D4733">
        <w:rPr>
          <w:rFonts w:ascii="Arial" w:hAnsi="Arial" w:cs="Arial"/>
          <w:bCs/>
          <w:lang w:val="en-GB"/>
        </w:rPr>
        <w:t>Bonferroni</w:t>
      </w:r>
      <w:proofErr w:type="spellEnd"/>
      <w:r w:rsidRPr="007D4733">
        <w:rPr>
          <w:rFonts w:ascii="Arial" w:hAnsi="Arial" w:cs="Arial"/>
          <w:bCs/>
          <w:lang w:val="en-GB"/>
        </w:rPr>
        <w:t xml:space="preserve"> correction (</w:t>
      </w:r>
      <w:r w:rsidRPr="007D4733">
        <w:rPr>
          <w:rFonts w:ascii="Arial" w:hAnsi="Arial" w:cs="Arial"/>
          <w:bCs/>
          <w:i/>
          <w:lang w:val="en-GB"/>
        </w:rPr>
        <w:t>α</w:t>
      </w:r>
      <w:r w:rsidRPr="007D4733">
        <w:rPr>
          <w:rFonts w:ascii="Arial" w:hAnsi="Arial" w:cs="Arial"/>
          <w:bCs/>
          <w:i/>
          <w:kern w:val="24"/>
          <w:vertAlign w:val="subscript"/>
          <w:lang w:val="en-GB"/>
        </w:rPr>
        <w:t xml:space="preserve"> </w:t>
      </w:r>
      <w:proofErr w:type="spellStart"/>
      <w:r w:rsidRPr="007D4733">
        <w:rPr>
          <w:rFonts w:ascii="Arial" w:hAnsi="Arial" w:cs="Arial"/>
          <w:bCs/>
          <w:i/>
          <w:kern w:val="24"/>
          <w:vertAlign w:val="subscript"/>
          <w:lang w:val="en-GB"/>
        </w:rPr>
        <w:t>loc</w:t>
      </w:r>
      <w:proofErr w:type="spellEnd"/>
      <w:r w:rsidRPr="007D4733">
        <w:rPr>
          <w:rFonts w:ascii="Arial" w:hAnsi="Arial" w:cs="Arial"/>
          <w:bCs/>
          <w:i/>
          <w:lang w:val="en-GB"/>
        </w:rPr>
        <w:t xml:space="preserve"> = </w:t>
      </w:r>
      <w:r w:rsidRPr="007D4733">
        <w:rPr>
          <w:rFonts w:ascii="Arial" w:hAnsi="Arial" w:cs="Arial"/>
          <w:bCs/>
          <w:lang w:val="en-GB"/>
        </w:rPr>
        <w:t>0.007) were performed.</w:t>
      </w:r>
      <w:r w:rsidRPr="007D4733">
        <w:rPr>
          <w:rFonts w:ascii="Arial" w:hAnsi="Arial" w:cs="Arial"/>
          <w:bCs/>
          <w:i/>
          <w:lang w:val="en-GB"/>
        </w:rPr>
        <w:t xml:space="preserve"> </w:t>
      </w:r>
      <w:r w:rsidRPr="007D4733">
        <w:rPr>
          <w:rFonts w:ascii="Arial" w:hAnsi="Arial" w:cs="Arial"/>
          <w:lang w:val="en-GB"/>
        </w:rPr>
        <w:t>Descriptive statistic was applied for all data with no p-value given.</w:t>
      </w:r>
    </w:p>
    <w:p w:rsidR="00FD1BA6" w:rsidRPr="007D4733" w:rsidRDefault="00FD1BA6" w:rsidP="00FD1BA6">
      <w:pPr>
        <w:spacing w:line="480" w:lineRule="auto"/>
        <w:rPr>
          <w:rFonts w:ascii="Arial" w:hAnsi="Arial" w:cs="Arial"/>
          <w:lang w:val="en-GB"/>
        </w:rPr>
      </w:pPr>
    </w:p>
    <w:p w:rsidR="00FD1BA6" w:rsidRPr="007D4733" w:rsidRDefault="00FD1BA6" w:rsidP="00FD1BA6">
      <w:pPr>
        <w:shd w:val="clear" w:color="auto" w:fill="FFFFFF"/>
        <w:spacing w:before="100" w:beforeAutospacing="1" w:after="100" w:afterAutospacing="1"/>
        <w:rPr>
          <w:rFonts w:ascii="Arial" w:hAnsi="Arial" w:cs="Arial"/>
        </w:rPr>
      </w:pPr>
      <w:r w:rsidRPr="007D4733">
        <w:rPr>
          <w:rFonts w:ascii="Arial" w:hAnsi="Arial" w:cs="Arial"/>
        </w:rPr>
        <w:t>Table 3. GO functional enrichment for target genes involved in neuron or brain development.</w:t>
      </w:r>
    </w:p>
    <w:tbl>
      <w:tblPr>
        <w:tblStyle w:val="1"/>
        <w:tblW w:w="8526" w:type="dxa"/>
        <w:tblLayout w:type="fixed"/>
        <w:tblLook w:val="04A0" w:firstRow="1" w:lastRow="0" w:firstColumn="1" w:lastColumn="0" w:noHBand="0" w:noVBand="1"/>
      </w:tblPr>
      <w:tblGrid>
        <w:gridCol w:w="3544"/>
        <w:gridCol w:w="709"/>
        <w:gridCol w:w="4273"/>
      </w:tblGrid>
      <w:tr w:rsidR="00FD1BA6" w:rsidRPr="007D4733" w:rsidTr="00D577DD">
        <w:trPr>
          <w:trHeight w:val="300"/>
        </w:trPr>
        <w:tc>
          <w:tcPr>
            <w:tcW w:w="3544" w:type="dxa"/>
            <w:noWrap/>
          </w:tcPr>
          <w:p w:rsidR="00FD1BA6" w:rsidRPr="007D4733" w:rsidRDefault="00FD1BA6" w:rsidP="00D577DD">
            <w:pPr>
              <w:jc w:val="center"/>
              <w:rPr>
                <w:rFonts w:ascii="Arial" w:hAnsi="Arial" w:cs="Arial"/>
                <w:color w:val="000000"/>
                <w:sz w:val="15"/>
                <w:szCs w:val="15"/>
              </w:rPr>
            </w:pPr>
            <w:r w:rsidRPr="007D4733">
              <w:rPr>
                <w:rFonts w:ascii="Arial" w:hAnsi="Arial" w:cs="Arial"/>
                <w:color w:val="000000"/>
                <w:sz w:val="15"/>
                <w:szCs w:val="15"/>
              </w:rPr>
              <w:t>GO: term</w:t>
            </w:r>
          </w:p>
        </w:tc>
        <w:tc>
          <w:tcPr>
            <w:tcW w:w="709" w:type="dxa"/>
            <w:noWrap/>
          </w:tcPr>
          <w:p w:rsidR="00FD1BA6" w:rsidRPr="007D4733" w:rsidRDefault="00FD1BA6" w:rsidP="00D577DD">
            <w:pPr>
              <w:jc w:val="center"/>
              <w:rPr>
                <w:rFonts w:ascii="Arial" w:hAnsi="Arial" w:cs="Arial"/>
                <w:color w:val="000000"/>
                <w:sz w:val="15"/>
                <w:szCs w:val="15"/>
              </w:rPr>
            </w:pPr>
            <w:r w:rsidRPr="007D4733">
              <w:rPr>
                <w:rFonts w:ascii="Arial" w:hAnsi="Arial" w:cs="Arial"/>
                <w:color w:val="000000"/>
                <w:sz w:val="15"/>
                <w:szCs w:val="15"/>
              </w:rPr>
              <w:t>Count</w:t>
            </w:r>
          </w:p>
        </w:tc>
        <w:tc>
          <w:tcPr>
            <w:tcW w:w="4273" w:type="dxa"/>
            <w:noWrap/>
          </w:tcPr>
          <w:p w:rsidR="00FD1BA6" w:rsidRPr="007D4733" w:rsidRDefault="00FD1BA6" w:rsidP="00D577DD">
            <w:pPr>
              <w:jc w:val="center"/>
              <w:rPr>
                <w:rFonts w:ascii="Arial" w:hAnsi="Arial" w:cs="Arial"/>
                <w:color w:val="000000"/>
                <w:sz w:val="15"/>
                <w:szCs w:val="15"/>
              </w:rPr>
            </w:pPr>
            <w:r w:rsidRPr="007D4733">
              <w:rPr>
                <w:rFonts w:ascii="Arial" w:hAnsi="Arial" w:cs="Arial"/>
                <w:color w:val="000000"/>
                <w:sz w:val="15"/>
                <w:szCs w:val="15"/>
              </w:rPr>
              <w:t>Target genes</w:t>
            </w:r>
          </w:p>
        </w:tc>
      </w:tr>
      <w:tr w:rsidR="00FD1BA6" w:rsidRPr="007D4733" w:rsidTr="00D577DD">
        <w:trPr>
          <w:trHeight w:val="300"/>
        </w:trPr>
        <w:tc>
          <w:tcPr>
            <w:tcW w:w="3544"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GO:0048812-neuron projection morphogenesis</w:t>
            </w:r>
          </w:p>
        </w:tc>
        <w:tc>
          <w:tcPr>
            <w:tcW w:w="709"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18</w:t>
            </w:r>
          </w:p>
        </w:tc>
        <w:tc>
          <w:tcPr>
            <w:tcW w:w="4273" w:type="dxa"/>
            <w:noWrap/>
            <w:hideMark/>
          </w:tcPr>
          <w:p w:rsidR="00FD1BA6" w:rsidRPr="007D4733" w:rsidRDefault="00FD1BA6" w:rsidP="00D577DD">
            <w:pPr>
              <w:jc w:val="center"/>
              <w:rPr>
                <w:rFonts w:ascii="Arial" w:eastAsia="Times New Roman" w:hAnsi="Arial" w:cs="Arial"/>
                <w:sz w:val="15"/>
                <w:szCs w:val="15"/>
              </w:rPr>
            </w:pPr>
            <w:r w:rsidRPr="007D4733">
              <w:rPr>
                <w:rFonts w:ascii="Arial" w:hAnsi="Arial" w:cs="Arial"/>
                <w:sz w:val="15"/>
                <w:szCs w:val="15"/>
              </w:rPr>
              <w:t>IGF1R//NTN1//NUMBL//ULK1//SLITRK4//NRN1//NEUROG2//CHL1//EPHA5//KIF5A//UNC5C//MAPK8IP3//FOXB1//FOXG1//VEGFA//VIM//WEE1//CNTNAP1//</w:t>
            </w:r>
          </w:p>
        </w:tc>
      </w:tr>
      <w:tr w:rsidR="00FD1BA6" w:rsidRPr="007D4733" w:rsidTr="00D577DD">
        <w:trPr>
          <w:trHeight w:val="288"/>
        </w:trPr>
        <w:tc>
          <w:tcPr>
            <w:tcW w:w="3544"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GO:0048699-generation of neurons</w:t>
            </w:r>
          </w:p>
        </w:tc>
        <w:tc>
          <w:tcPr>
            <w:tcW w:w="709"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31</w:t>
            </w:r>
          </w:p>
        </w:tc>
        <w:tc>
          <w:tcPr>
            <w:tcW w:w="4273" w:type="dxa"/>
            <w:noWrap/>
            <w:hideMark/>
          </w:tcPr>
          <w:p w:rsidR="00FD1BA6" w:rsidRPr="007D4733" w:rsidRDefault="00FD1BA6" w:rsidP="00D577DD">
            <w:pPr>
              <w:jc w:val="center"/>
              <w:rPr>
                <w:rFonts w:ascii="Arial" w:eastAsia="Times New Roman" w:hAnsi="Arial" w:cs="Arial"/>
                <w:sz w:val="15"/>
                <w:szCs w:val="15"/>
              </w:rPr>
            </w:pPr>
            <w:r w:rsidRPr="007D4733">
              <w:rPr>
                <w:rFonts w:ascii="Arial" w:hAnsi="Arial" w:cs="Arial"/>
                <w:sz w:val="15"/>
                <w:szCs w:val="15"/>
              </w:rPr>
              <w:t>NEUROG2//CHL1//NTN1//PRKG1//FOXG1//VEGFA//   NUMBL//IGF1R//ULK1//SLITRK4//NRN1//EPHA5//KIF5A//U</w:t>
            </w:r>
            <w:r w:rsidRPr="007D4733">
              <w:rPr>
                <w:rFonts w:ascii="Arial" w:hAnsi="Arial" w:cs="Arial"/>
                <w:sz w:val="15"/>
                <w:szCs w:val="15"/>
              </w:rPr>
              <w:lastRenderedPageBreak/>
              <w:t>NC5C//MAPK8IP3//FOXB1//SKI//FGFR1//VIM//STRN//LEF1//LHX8//CNTNAP1//JAG1//DPYSL2//PBX1//MYCN//TNFRSF21//WEE1//SIRT2//VLDLR//</w:t>
            </w:r>
          </w:p>
        </w:tc>
      </w:tr>
    </w:tbl>
    <w:p w:rsidR="00FD1BA6" w:rsidRPr="007D4733" w:rsidRDefault="00FD1BA6" w:rsidP="00FD1BA6">
      <w:pPr>
        <w:shd w:val="clear" w:color="auto" w:fill="FFFFFF"/>
        <w:spacing w:before="100" w:beforeAutospacing="1" w:after="100" w:afterAutospacing="1"/>
        <w:rPr>
          <w:rFonts w:ascii="Arial" w:hAnsi="Arial" w:cs="Arial"/>
        </w:rPr>
      </w:pPr>
    </w:p>
    <w:tbl>
      <w:tblPr>
        <w:tblStyle w:val="TableGrid"/>
        <w:tblW w:w="8526" w:type="dxa"/>
        <w:tblLayout w:type="fixed"/>
        <w:tblLook w:val="04A0" w:firstRow="1" w:lastRow="0" w:firstColumn="1" w:lastColumn="0" w:noHBand="0" w:noVBand="1"/>
      </w:tblPr>
      <w:tblGrid>
        <w:gridCol w:w="3544"/>
        <w:gridCol w:w="709"/>
        <w:gridCol w:w="4273"/>
      </w:tblGrid>
      <w:tr w:rsidR="00FD1BA6" w:rsidRPr="007D4733" w:rsidTr="00D577DD">
        <w:trPr>
          <w:trHeight w:val="288"/>
        </w:trPr>
        <w:tc>
          <w:tcPr>
            <w:tcW w:w="3544" w:type="dxa"/>
            <w:noWrap/>
          </w:tcPr>
          <w:p w:rsidR="00FD1BA6" w:rsidRPr="007D4733" w:rsidRDefault="00FD1BA6" w:rsidP="00D577DD">
            <w:pPr>
              <w:jc w:val="center"/>
              <w:rPr>
                <w:rFonts w:ascii="Arial" w:hAnsi="Arial" w:cs="Arial"/>
                <w:color w:val="000000"/>
                <w:sz w:val="15"/>
                <w:szCs w:val="15"/>
              </w:rPr>
            </w:pPr>
            <w:r w:rsidRPr="007D4733">
              <w:rPr>
                <w:rFonts w:ascii="Arial" w:hAnsi="Arial" w:cs="Arial"/>
                <w:color w:val="000000"/>
                <w:sz w:val="15"/>
                <w:szCs w:val="15"/>
              </w:rPr>
              <w:t>GO: term</w:t>
            </w:r>
          </w:p>
        </w:tc>
        <w:tc>
          <w:tcPr>
            <w:tcW w:w="709" w:type="dxa"/>
            <w:noWrap/>
          </w:tcPr>
          <w:p w:rsidR="00FD1BA6" w:rsidRPr="007D4733" w:rsidRDefault="00FD1BA6" w:rsidP="00D577DD">
            <w:pPr>
              <w:jc w:val="center"/>
              <w:rPr>
                <w:rFonts w:ascii="Arial" w:hAnsi="Arial" w:cs="Arial"/>
                <w:color w:val="000000"/>
                <w:sz w:val="15"/>
                <w:szCs w:val="15"/>
              </w:rPr>
            </w:pPr>
            <w:r w:rsidRPr="007D4733">
              <w:rPr>
                <w:rFonts w:ascii="Arial" w:hAnsi="Arial" w:cs="Arial"/>
                <w:color w:val="000000"/>
                <w:sz w:val="15"/>
                <w:szCs w:val="15"/>
              </w:rPr>
              <w:t>Count</w:t>
            </w:r>
          </w:p>
        </w:tc>
        <w:tc>
          <w:tcPr>
            <w:tcW w:w="4273" w:type="dxa"/>
            <w:noWrap/>
          </w:tcPr>
          <w:p w:rsidR="00FD1BA6" w:rsidRPr="007D4733" w:rsidRDefault="00FD1BA6" w:rsidP="00D577DD">
            <w:pPr>
              <w:jc w:val="center"/>
              <w:rPr>
                <w:rFonts w:ascii="Arial" w:hAnsi="Arial" w:cs="Arial"/>
                <w:color w:val="000000"/>
                <w:sz w:val="15"/>
                <w:szCs w:val="15"/>
              </w:rPr>
            </w:pPr>
            <w:r w:rsidRPr="007D4733">
              <w:rPr>
                <w:rFonts w:ascii="Arial" w:hAnsi="Arial" w:cs="Arial"/>
                <w:color w:val="000000"/>
                <w:sz w:val="15"/>
                <w:szCs w:val="15"/>
              </w:rPr>
              <w:t>Target genes</w:t>
            </w:r>
          </w:p>
        </w:tc>
      </w:tr>
      <w:tr w:rsidR="00FD1BA6" w:rsidRPr="007D4733" w:rsidTr="00D577DD">
        <w:trPr>
          <w:trHeight w:val="288"/>
        </w:trPr>
        <w:tc>
          <w:tcPr>
            <w:tcW w:w="3544"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GO:0031175-neuron projection development</w:t>
            </w:r>
          </w:p>
        </w:tc>
        <w:tc>
          <w:tcPr>
            <w:tcW w:w="709"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22</w:t>
            </w:r>
          </w:p>
        </w:tc>
        <w:tc>
          <w:tcPr>
            <w:tcW w:w="4273" w:type="dxa"/>
            <w:noWrap/>
            <w:hideMark/>
          </w:tcPr>
          <w:p w:rsidR="00FD1BA6" w:rsidRPr="007D4733" w:rsidRDefault="00FD1BA6" w:rsidP="00D577DD">
            <w:pPr>
              <w:jc w:val="center"/>
              <w:rPr>
                <w:rFonts w:ascii="Arial" w:eastAsia="Times New Roman" w:hAnsi="Arial" w:cs="Arial"/>
                <w:sz w:val="15"/>
                <w:szCs w:val="15"/>
              </w:rPr>
            </w:pPr>
            <w:r w:rsidRPr="007D4733">
              <w:rPr>
                <w:rFonts w:ascii="Arial" w:hAnsi="Arial" w:cs="Arial"/>
                <w:sz w:val="15"/>
                <w:szCs w:val="15"/>
              </w:rPr>
              <w:t>IGF1R//NTN1//NUMBL//ULK1//SLITRK4//NRN1//NEUROG2//CHL1//EPHA5//KIF5A//UNC5C//MAPK8IP3//FOXB1//FGFR1//VIM//FOXG1//PRKG1//STRN//WEE1//CNTNAP1//VEGFA//VLDLR//</w:t>
            </w:r>
          </w:p>
        </w:tc>
      </w:tr>
      <w:tr w:rsidR="00FD1BA6" w:rsidRPr="007D4733" w:rsidTr="00D577DD">
        <w:trPr>
          <w:trHeight w:val="288"/>
        </w:trPr>
        <w:tc>
          <w:tcPr>
            <w:tcW w:w="3544"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GO:0030182-neuron differentiation</w:t>
            </w:r>
          </w:p>
        </w:tc>
        <w:tc>
          <w:tcPr>
            <w:tcW w:w="709"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27</w:t>
            </w:r>
          </w:p>
        </w:tc>
        <w:tc>
          <w:tcPr>
            <w:tcW w:w="4273" w:type="dxa"/>
            <w:noWrap/>
            <w:hideMark/>
          </w:tcPr>
          <w:p w:rsidR="00FD1BA6" w:rsidRPr="007D4733" w:rsidRDefault="00FD1BA6" w:rsidP="00D577DD">
            <w:pPr>
              <w:jc w:val="center"/>
              <w:rPr>
                <w:rFonts w:ascii="Arial" w:eastAsia="Times New Roman" w:hAnsi="Arial" w:cs="Arial"/>
                <w:sz w:val="15"/>
                <w:szCs w:val="15"/>
              </w:rPr>
            </w:pPr>
            <w:r w:rsidRPr="007D4733">
              <w:rPr>
                <w:rFonts w:ascii="Arial" w:hAnsi="Arial" w:cs="Arial"/>
                <w:sz w:val="15"/>
                <w:szCs w:val="15"/>
              </w:rPr>
              <w:t>IGF1R//NTN1//NUMBL//ULK1//SLITRK4//NRN1//NEUROG2//CHL1//EPHA5//KIF5A//UNC5C//MAPK8IP3//FOXB1//FGFR1//VIM//       FOXG1//PRKG1//STRN//LEF1//LHX8//CNTNAP1//VEGFA//JAG1//DPYSL2//PBX1//WEE1//VLDLR//</w:t>
            </w:r>
          </w:p>
        </w:tc>
      </w:tr>
      <w:tr w:rsidR="00FD1BA6" w:rsidRPr="007D4733" w:rsidTr="00D577DD">
        <w:trPr>
          <w:trHeight w:val="288"/>
        </w:trPr>
        <w:tc>
          <w:tcPr>
            <w:tcW w:w="3544"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GO:0097485-neuron projection guidance</w:t>
            </w:r>
          </w:p>
        </w:tc>
        <w:tc>
          <w:tcPr>
            <w:tcW w:w="709"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9</w:t>
            </w:r>
          </w:p>
        </w:tc>
        <w:tc>
          <w:tcPr>
            <w:tcW w:w="4273" w:type="dxa"/>
            <w:noWrap/>
            <w:hideMark/>
          </w:tcPr>
          <w:p w:rsidR="00FD1BA6" w:rsidRPr="007D4733" w:rsidRDefault="00FD1BA6" w:rsidP="00D577DD">
            <w:pPr>
              <w:jc w:val="center"/>
              <w:rPr>
                <w:rFonts w:ascii="Arial" w:eastAsia="Times New Roman" w:hAnsi="Arial" w:cs="Arial"/>
                <w:sz w:val="15"/>
                <w:szCs w:val="15"/>
              </w:rPr>
            </w:pPr>
            <w:r w:rsidRPr="007D4733">
              <w:rPr>
                <w:rFonts w:ascii="Arial" w:hAnsi="Arial" w:cs="Arial"/>
                <w:sz w:val="15"/>
                <w:szCs w:val="15"/>
              </w:rPr>
              <w:t>NEUROG2//CHL1//EPHA5//KIF5A//NTN1//UNC5C//MAPK8IP3//FOXG1//VEGFA/</w:t>
            </w:r>
          </w:p>
        </w:tc>
      </w:tr>
      <w:tr w:rsidR="00FD1BA6" w:rsidRPr="007D4733" w:rsidTr="00D577DD">
        <w:trPr>
          <w:trHeight w:val="288"/>
        </w:trPr>
        <w:tc>
          <w:tcPr>
            <w:tcW w:w="3544"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GO:0007420-brain development</w:t>
            </w:r>
          </w:p>
        </w:tc>
        <w:tc>
          <w:tcPr>
            <w:tcW w:w="709" w:type="dxa"/>
            <w:noWrap/>
            <w:hideMark/>
          </w:tcPr>
          <w:p w:rsidR="00FD1BA6" w:rsidRPr="007D4733" w:rsidRDefault="00FD1BA6" w:rsidP="00D577DD">
            <w:pPr>
              <w:jc w:val="center"/>
              <w:rPr>
                <w:rFonts w:ascii="Arial" w:hAnsi="Arial" w:cs="Arial"/>
                <w:sz w:val="15"/>
                <w:szCs w:val="15"/>
              </w:rPr>
            </w:pPr>
            <w:r w:rsidRPr="007D4733">
              <w:rPr>
                <w:rFonts w:ascii="Arial" w:hAnsi="Arial" w:cs="Arial"/>
                <w:sz w:val="15"/>
                <w:szCs w:val="15"/>
              </w:rPr>
              <w:t>16</w:t>
            </w:r>
          </w:p>
        </w:tc>
        <w:tc>
          <w:tcPr>
            <w:tcW w:w="4273" w:type="dxa"/>
            <w:noWrap/>
            <w:hideMark/>
          </w:tcPr>
          <w:p w:rsidR="00FD1BA6" w:rsidRPr="007D4733" w:rsidRDefault="00FD1BA6" w:rsidP="00D577DD">
            <w:pPr>
              <w:jc w:val="center"/>
              <w:rPr>
                <w:rFonts w:ascii="Arial" w:eastAsia="Times New Roman" w:hAnsi="Arial" w:cs="Arial"/>
                <w:sz w:val="15"/>
                <w:szCs w:val="15"/>
              </w:rPr>
            </w:pPr>
            <w:r w:rsidRPr="007D4733">
              <w:rPr>
                <w:rFonts w:ascii="Arial" w:hAnsi="Arial" w:cs="Arial"/>
                <w:sz w:val="15"/>
                <w:szCs w:val="15"/>
              </w:rPr>
              <w:t>LEF1//NUMBL//ULK1//EPHA5//FOXB1//FGFR1//SKI//FOXG1//LHX8//NEUROG2//E2F1//PRKG1//MAPK8IP3//ABR//IGF1R//UNC5C</w:t>
            </w:r>
          </w:p>
        </w:tc>
      </w:tr>
    </w:tbl>
    <w:p w:rsidR="00FD1BA6" w:rsidRPr="007D4733" w:rsidRDefault="00FD1BA6" w:rsidP="00FD1BA6">
      <w:pPr>
        <w:spacing w:line="480" w:lineRule="auto"/>
        <w:rPr>
          <w:rFonts w:ascii="Arial" w:hAnsi="Arial" w:cs="Arial"/>
          <w:bCs/>
        </w:rPr>
      </w:pPr>
    </w:p>
    <w:tbl>
      <w:tblPr>
        <w:tblStyle w:val="1"/>
        <w:tblW w:w="0" w:type="auto"/>
        <w:tblLook w:val="04A0" w:firstRow="1" w:lastRow="0" w:firstColumn="1" w:lastColumn="0" w:noHBand="0" w:noVBand="1"/>
      </w:tblPr>
      <w:tblGrid>
        <w:gridCol w:w="3198"/>
        <w:gridCol w:w="1986"/>
        <w:gridCol w:w="2067"/>
        <w:gridCol w:w="1469"/>
      </w:tblGrid>
      <w:tr w:rsidR="00FD1BA6" w:rsidRPr="007D4733" w:rsidTr="00D577DD">
        <w:trPr>
          <w:trHeight w:val="300"/>
        </w:trPr>
        <w:tc>
          <w:tcPr>
            <w:tcW w:w="10080" w:type="dxa"/>
            <w:gridSpan w:val="4"/>
            <w:noWrap/>
          </w:tcPr>
          <w:p w:rsidR="00FD1BA6" w:rsidRPr="007D4733" w:rsidRDefault="00FD1BA6" w:rsidP="00D577DD">
            <w:pPr>
              <w:rPr>
                <w:rFonts w:ascii="Arial" w:eastAsia="MS PGothic" w:hAnsi="Arial" w:cs="Arial"/>
                <w:b/>
                <w:color w:val="000000"/>
                <w:kern w:val="0"/>
                <w:sz w:val="20"/>
                <w:szCs w:val="20"/>
              </w:rPr>
            </w:pPr>
            <w:r w:rsidRPr="007D4733">
              <w:rPr>
                <w:rFonts w:ascii="Arial" w:eastAsia="MS PGothic" w:hAnsi="Arial" w:cs="Arial"/>
                <w:b/>
                <w:color w:val="000000"/>
                <w:kern w:val="0"/>
                <w:sz w:val="20"/>
                <w:szCs w:val="20"/>
              </w:rPr>
              <w:t>Procedural details</w:t>
            </w:r>
          </w:p>
        </w:tc>
      </w:tr>
      <w:tr w:rsidR="00FD1BA6" w:rsidRPr="007D4733" w:rsidTr="00D577DD">
        <w:trPr>
          <w:trHeight w:val="300"/>
        </w:trPr>
        <w:tc>
          <w:tcPr>
            <w:tcW w:w="10080" w:type="dxa"/>
            <w:gridSpan w:val="4"/>
            <w:noWrap/>
          </w:tcPr>
          <w:p w:rsidR="00FD1BA6" w:rsidRPr="007D4733" w:rsidRDefault="00FD1BA6" w:rsidP="00D577DD">
            <w:pPr>
              <w:rPr>
                <w:rFonts w:ascii="Arial" w:eastAsia="MS PGothic" w:hAnsi="Arial" w:cs="Arial"/>
                <w:color w:val="000000"/>
                <w:sz w:val="20"/>
                <w:szCs w:val="20"/>
              </w:rPr>
            </w:pPr>
            <w:r w:rsidRPr="007D4733">
              <w:rPr>
                <w:rFonts w:ascii="Arial" w:eastAsia="MS PGothic" w:hAnsi="Arial" w:cs="Arial"/>
                <w:color w:val="000000"/>
                <w:kern w:val="0"/>
                <w:sz w:val="20"/>
                <w:szCs w:val="20"/>
              </w:rPr>
              <w:t>Pre-dilatation balloon parameter</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eastAsia="MS PGothic" w:hAnsi="Arial" w:cs="Arial"/>
                <w:color w:val="000000"/>
                <w:kern w:val="0"/>
                <w:sz w:val="20"/>
                <w:szCs w:val="20"/>
              </w:rPr>
              <w:t>Non-compliant balloon</w:t>
            </w:r>
          </w:p>
        </w:tc>
        <w:tc>
          <w:tcPr>
            <w:tcW w:w="2293" w:type="dxa"/>
            <w:noWrap/>
          </w:tcPr>
          <w:p w:rsidR="00FD1BA6" w:rsidRPr="007D4733" w:rsidRDefault="00FD1BA6" w:rsidP="00D577DD">
            <w:pPr>
              <w:ind w:firstLineChars="50" w:firstLine="100"/>
              <w:jc w:val="center"/>
              <w:rPr>
                <w:rFonts w:ascii="Arial" w:hAnsi="Arial" w:cs="Arial"/>
                <w:color w:val="000000"/>
                <w:sz w:val="20"/>
                <w:szCs w:val="20"/>
              </w:rPr>
            </w:pPr>
            <w:r w:rsidRPr="007D4733">
              <w:rPr>
                <w:rFonts w:ascii="Arial" w:hAnsi="Arial" w:cs="Arial"/>
                <w:color w:val="000000"/>
                <w:sz w:val="20"/>
                <w:szCs w:val="20"/>
              </w:rPr>
              <w:t>4 (67%)</w:t>
            </w:r>
          </w:p>
        </w:tc>
        <w:tc>
          <w:tcPr>
            <w:tcW w:w="2388" w:type="dxa"/>
            <w:noWrap/>
          </w:tcPr>
          <w:p w:rsidR="00FD1BA6" w:rsidRPr="007D4733" w:rsidRDefault="00FD1BA6" w:rsidP="00D577DD">
            <w:pPr>
              <w:ind w:firstLineChars="50" w:firstLine="100"/>
              <w:jc w:val="center"/>
              <w:rPr>
                <w:rFonts w:ascii="Arial" w:hAnsi="Arial" w:cs="Arial"/>
                <w:color w:val="000000"/>
                <w:sz w:val="20"/>
                <w:szCs w:val="20"/>
              </w:rPr>
            </w:pPr>
            <w:r w:rsidRPr="007D4733">
              <w:rPr>
                <w:rFonts w:ascii="Arial" w:hAnsi="Arial" w:cs="Arial"/>
                <w:color w:val="000000"/>
                <w:sz w:val="20"/>
                <w:szCs w:val="20"/>
              </w:rPr>
              <w:t>12 (52%)</w:t>
            </w:r>
          </w:p>
        </w:tc>
        <w:tc>
          <w:tcPr>
            <w:tcW w:w="1686"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0.44</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eastAsia="MS PGothic" w:hAnsi="Arial" w:cs="Arial"/>
                <w:color w:val="000000"/>
                <w:kern w:val="0"/>
                <w:sz w:val="20"/>
                <w:szCs w:val="20"/>
              </w:rPr>
              <w:t>Cutting balloon</w:t>
            </w:r>
          </w:p>
        </w:tc>
        <w:tc>
          <w:tcPr>
            <w:tcW w:w="2293"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2 (33%)</w:t>
            </w:r>
          </w:p>
        </w:tc>
        <w:tc>
          <w:tcPr>
            <w:tcW w:w="2388"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17 (74%)</w:t>
            </w:r>
          </w:p>
        </w:tc>
        <w:tc>
          <w:tcPr>
            <w:tcW w:w="1686"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0.09</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eastAsia="MS PGothic" w:hAnsi="Arial" w:cs="Arial"/>
                <w:color w:val="000000"/>
                <w:kern w:val="0"/>
                <w:sz w:val="20"/>
                <w:szCs w:val="20"/>
              </w:rPr>
              <w:t>Balloon diameter, mm</w:t>
            </w:r>
          </w:p>
        </w:tc>
        <w:tc>
          <w:tcPr>
            <w:tcW w:w="2293" w:type="dxa"/>
            <w:noWrap/>
          </w:tcPr>
          <w:p w:rsidR="00FD1BA6" w:rsidRPr="007D4733" w:rsidRDefault="00FD1BA6" w:rsidP="00D577DD">
            <w:pPr>
              <w:ind w:firstLineChars="50" w:firstLine="100"/>
              <w:jc w:val="center"/>
              <w:rPr>
                <w:rFonts w:ascii="Arial" w:hAnsi="Arial" w:cs="Arial"/>
                <w:color w:val="000000"/>
                <w:sz w:val="20"/>
                <w:szCs w:val="20"/>
              </w:rPr>
            </w:pPr>
            <w:r w:rsidRPr="007D4733">
              <w:rPr>
                <w:rFonts w:ascii="Arial" w:hAnsi="Arial" w:cs="Arial"/>
                <w:color w:val="000000"/>
                <w:sz w:val="20"/>
                <w:szCs w:val="20"/>
              </w:rPr>
              <w:t>2.7 ± 0.4</w:t>
            </w:r>
          </w:p>
        </w:tc>
        <w:tc>
          <w:tcPr>
            <w:tcW w:w="2388" w:type="dxa"/>
            <w:noWrap/>
          </w:tcPr>
          <w:p w:rsidR="00FD1BA6" w:rsidRPr="007D4733" w:rsidRDefault="00FD1BA6" w:rsidP="00D577DD">
            <w:pPr>
              <w:ind w:firstLineChars="50" w:firstLine="100"/>
              <w:jc w:val="center"/>
              <w:rPr>
                <w:rFonts w:ascii="Arial" w:hAnsi="Arial" w:cs="Arial"/>
                <w:color w:val="000000"/>
                <w:sz w:val="20"/>
                <w:szCs w:val="20"/>
              </w:rPr>
            </w:pPr>
            <w:r w:rsidRPr="007D4733">
              <w:rPr>
                <w:rFonts w:ascii="Arial" w:hAnsi="Arial" w:cs="Arial"/>
                <w:color w:val="000000"/>
                <w:sz w:val="20"/>
                <w:szCs w:val="20"/>
              </w:rPr>
              <w:t>3.0 ± 0.6</w:t>
            </w:r>
          </w:p>
        </w:tc>
        <w:tc>
          <w:tcPr>
            <w:tcW w:w="1686"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eastAsia="MS PGothic" w:hAnsi="Arial" w:cs="Arial"/>
                <w:color w:val="000000"/>
                <w:sz w:val="20"/>
                <w:szCs w:val="20"/>
              </w:rPr>
              <w:t>0.08</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eastAsia="MS PGothic" w:hAnsi="Arial" w:cs="Arial"/>
                <w:color w:val="000000"/>
                <w:kern w:val="0"/>
                <w:sz w:val="20"/>
                <w:szCs w:val="20"/>
              </w:rPr>
              <w:t xml:space="preserve">Max inflation pressure, </w:t>
            </w:r>
            <w:proofErr w:type="spellStart"/>
            <w:r w:rsidRPr="007D4733">
              <w:rPr>
                <w:rFonts w:ascii="Arial" w:eastAsia="MS PGothic" w:hAnsi="Arial" w:cs="Arial"/>
                <w:color w:val="000000"/>
                <w:kern w:val="0"/>
                <w:sz w:val="20"/>
                <w:szCs w:val="20"/>
              </w:rPr>
              <w:t>atm</w:t>
            </w:r>
            <w:proofErr w:type="spellEnd"/>
          </w:p>
        </w:tc>
        <w:tc>
          <w:tcPr>
            <w:tcW w:w="2293" w:type="dxa"/>
            <w:noWrap/>
          </w:tcPr>
          <w:p w:rsidR="00FD1BA6" w:rsidRPr="007D4733" w:rsidRDefault="00FD1BA6" w:rsidP="00D577DD">
            <w:pPr>
              <w:ind w:firstLineChars="50" w:firstLine="100"/>
              <w:jc w:val="center"/>
              <w:rPr>
                <w:rFonts w:ascii="Arial" w:hAnsi="Arial" w:cs="Arial"/>
                <w:color w:val="000000"/>
                <w:sz w:val="20"/>
                <w:szCs w:val="20"/>
              </w:rPr>
            </w:pPr>
            <w:r w:rsidRPr="007D4733">
              <w:rPr>
                <w:rFonts w:ascii="Arial" w:hAnsi="Arial" w:cs="Arial"/>
                <w:color w:val="000000"/>
                <w:sz w:val="20"/>
                <w:szCs w:val="20"/>
              </w:rPr>
              <w:t>19.3 ± 1.6</w:t>
            </w:r>
          </w:p>
        </w:tc>
        <w:tc>
          <w:tcPr>
            <w:tcW w:w="2388" w:type="dxa"/>
            <w:noWrap/>
          </w:tcPr>
          <w:p w:rsidR="00FD1BA6" w:rsidRPr="007D4733" w:rsidRDefault="00FD1BA6" w:rsidP="00D577DD">
            <w:pPr>
              <w:ind w:firstLineChars="50" w:firstLine="100"/>
              <w:jc w:val="center"/>
              <w:rPr>
                <w:rFonts w:ascii="Arial" w:hAnsi="Arial" w:cs="Arial"/>
                <w:color w:val="000000"/>
                <w:sz w:val="20"/>
                <w:szCs w:val="20"/>
              </w:rPr>
            </w:pPr>
            <w:r w:rsidRPr="007D4733">
              <w:rPr>
                <w:rFonts w:ascii="Arial" w:hAnsi="Arial" w:cs="Arial"/>
                <w:color w:val="000000"/>
                <w:sz w:val="20"/>
                <w:szCs w:val="20"/>
              </w:rPr>
              <w:t>17.4 ± 3.8</w:t>
            </w:r>
          </w:p>
        </w:tc>
        <w:tc>
          <w:tcPr>
            <w:tcW w:w="1686"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eastAsia="MS PGothic" w:hAnsi="Arial" w:cs="Arial"/>
                <w:color w:val="000000"/>
                <w:sz w:val="20"/>
                <w:szCs w:val="20"/>
              </w:rPr>
              <w:t>0.42</w:t>
            </w:r>
          </w:p>
        </w:tc>
      </w:tr>
      <w:tr w:rsidR="00FD1BA6" w:rsidRPr="007D4733" w:rsidTr="00D577DD">
        <w:trPr>
          <w:trHeight w:val="300"/>
        </w:trPr>
        <w:tc>
          <w:tcPr>
            <w:tcW w:w="10080" w:type="dxa"/>
            <w:gridSpan w:val="4"/>
            <w:noWrap/>
          </w:tcPr>
          <w:p w:rsidR="00FD1BA6" w:rsidRPr="007D4733" w:rsidRDefault="00FD1BA6" w:rsidP="00D577DD">
            <w:pPr>
              <w:rPr>
                <w:rFonts w:ascii="Arial" w:eastAsia="MS PGothic" w:hAnsi="Arial" w:cs="Arial"/>
                <w:color w:val="000000"/>
                <w:sz w:val="20"/>
                <w:szCs w:val="20"/>
              </w:rPr>
            </w:pPr>
            <w:r w:rsidRPr="007D4733">
              <w:rPr>
                <w:rFonts w:ascii="Arial" w:eastAsia="MS PGothic" w:hAnsi="Arial" w:cs="Arial"/>
                <w:color w:val="000000"/>
                <w:kern w:val="0"/>
                <w:sz w:val="20"/>
                <w:szCs w:val="20"/>
              </w:rPr>
              <w:t>PCB parameter</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hAnsi="Arial" w:cs="Arial"/>
                <w:sz w:val="20"/>
                <w:szCs w:val="20"/>
              </w:rPr>
              <w:t>PCB length, mm</w:t>
            </w:r>
          </w:p>
        </w:tc>
        <w:tc>
          <w:tcPr>
            <w:tcW w:w="2293"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20.0 ± 6.1</w:t>
            </w:r>
          </w:p>
        </w:tc>
        <w:tc>
          <w:tcPr>
            <w:tcW w:w="2388"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18.2 ± 4.3</w:t>
            </w:r>
          </w:p>
        </w:tc>
        <w:tc>
          <w:tcPr>
            <w:tcW w:w="1686"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0.45</w:t>
            </w:r>
          </w:p>
        </w:tc>
      </w:tr>
      <w:tr w:rsidR="00FD1BA6" w:rsidRPr="007D4733" w:rsidTr="00D577DD">
        <w:trPr>
          <w:trHeight w:val="300"/>
        </w:trPr>
        <w:tc>
          <w:tcPr>
            <w:tcW w:w="3713" w:type="dxa"/>
            <w:noWrap/>
          </w:tcPr>
          <w:p w:rsidR="00FD1BA6" w:rsidRPr="007D4733" w:rsidDel="005443BB" w:rsidRDefault="00FD1BA6" w:rsidP="00D577DD">
            <w:pPr>
              <w:ind w:firstLineChars="50" w:firstLine="100"/>
              <w:rPr>
                <w:rFonts w:ascii="Arial" w:hAnsi="Arial" w:cs="Arial"/>
                <w:sz w:val="20"/>
                <w:szCs w:val="20"/>
              </w:rPr>
            </w:pPr>
            <w:r w:rsidRPr="007D4733">
              <w:rPr>
                <w:rFonts w:ascii="Arial" w:hAnsi="Arial" w:cs="Arial"/>
                <w:sz w:val="20"/>
                <w:szCs w:val="20"/>
              </w:rPr>
              <w:t>PCB diameter, mm</w:t>
            </w:r>
          </w:p>
        </w:tc>
        <w:tc>
          <w:tcPr>
            <w:tcW w:w="2293" w:type="dxa"/>
            <w:noWrap/>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2.8 ± 0.5</w:t>
            </w:r>
          </w:p>
        </w:tc>
        <w:tc>
          <w:tcPr>
            <w:tcW w:w="2388" w:type="dxa"/>
            <w:noWrap/>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3.0 ± 0.6</w:t>
            </w:r>
          </w:p>
        </w:tc>
        <w:tc>
          <w:tcPr>
            <w:tcW w:w="1686" w:type="dxa"/>
            <w:noWrap/>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0.46</w:t>
            </w:r>
          </w:p>
        </w:tc>
      </w:tr>
      <w:tr w:rsidR="00FD1BA6" w:rsidRPr="007D4733" w:rsidTr="00D577DD">
        <w:trPr>
          <w:trHeight w:val="300"/>
        </w:trPr>
        <w:tc>
          <w:tcPr>
            <w:tcW w:w="3713" w:type="dxa"/>
            <w:noWrap/>
          </w:tcPr>
          <w:p w:rsidR="00FD1BA6" w:rsidRPr="007D4733" w:rsidDel="005443BB" w:rsidRDefault="00FD1BA6" w:rsidP="00D577DD">
            <w:pPr>
              <w:ind w:firstLineChars="50" w:firstLine="100"/>
              <w:rPr>
                <w:rFonts w:ascii="Arial" w:hAnsi="Arial" w:cs="Arial"/>
                <w:sz w:val="20"/>
                <w:szCs w:val="20"/>
              </w:rPr>
            </w:pPr>
            <w:r w:rsidRPr="007D4733">
              <w:rPr>
                <w:rFonts w:ascii="Arial" w:hAnsi="Arial" w:cs="Arial"/>
                <w:sz w:val="20"/>
                <w:szCs w:val="20"/>
              </w:rPr>
              <w:t xml:space="preserve">PCB inflation pressure, </w:t>
            </w:r>
            <w:proofErr w:type="spellStart"/>
            <w:r w:rsidRPr="007D4733">
              <w:rPr>
                <w:rFonts w:ascii="Arial" w:hAnsi="Arial" w:cs="Arial"/>
                <w:sz w:val="20"/>
                <w:szCs w:val="20"/>
              </w:rPr>
              <w:t>atm</w:t>
            </w:r>
            <w:proofErr w:type="spellEnd"/>
          </w:p>
        </w:tc>
        <w:tc>
          <w:tcPr>
            <w:tcW w:w="2293" w:type="dxa"/>
            <w:noWrap/>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10.0 ± 1.4</w:t>
            </w:r>
          </w:p>
        </w:tc>
        <w:tc>
          <w:tcPr>
            <w:tcW w:w="2388" w:type="dxa"/>
            <w:noWrap/>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11.5 ± 2.2</w:t>
            </w:r>
          </w:p>
        </w:tc>
        <w:tc>
          <w:tcPr>
            <w:tcW w:w="1686" w:type="dxa"/>
            <w:noWrap/>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0.17</w:t>
            </w:r>
          </w:p>
        </w:tc>
      </w:tr>
    </w:tbl>
    <w:p w:rsidR="00FD1BA6" w:rsidRPr="007D4733" w:rsidRDefault="00FD1BA6" w:rsidP="00FD1BA6">
      <w:pPr>
        <w:rPr>
          <w:rFonts w:ascii="Arial" w:hAnsi="Arial" w:cs="Arial"/>
          <w:sz w:val="20"/>
          <w:szCs w:val="20"/>
        </w:rPr>
      </w:pPr>
    </w:p>
    <w:tbl>
      <w:tblPr>
        <w:tblStyle w:val="1"/>
        <w:tblW w:w="0" w:type="auto"/>
        <w:tblLook w:val="04A0" w:firstRow="1" w:lastRow="0" w:firstColumn="1" w:lastColumn="0" w:noHBand="0" w:noVBand="1"/>
      </w:tblPr>
      <w:tblGrid>
        <w:gridCol w:w="3713"/>
        <w:gridCol w:w="2293"/>
        <w:gridCol w:w="1686"/>
      </w:tblGrid>
      <w:tr w:rsidR="00FD1BA6" w:rsidRPr="007D4733" w:rsidTr="00D577DD">
        <w:trPr>
          <w:trHeight w:val="300"/>
        </w:trPr>
        <w:tc>
          <w:tcPr>
            <w:tcW w:w="3713" w:type="dxa"/>
            <w:noWrap/>
            <w:hideMark/>
          </w:tcPr>
          <w:p w:rsidR="00FD1BA6" w:rsidRPr="007D4733" w:rsidRDefault="00FD1BA6" w:rsidP="00D577DD">
            <w:pPr>
              <w:ind w:firstLineChars="50" w:firstLine="100"/>
              <w:rPr>
                <w:rFonts w:ascii="Arial" w:hAnsi="Arial" w:cs="Arial"/>
                <w:sz w:val="20"/>
                <w:szCs w:val="20"/>
              </w:rPr>
            </w:pPr>
            <w:r w:rsidRPr="007D4733">
              <w:rPr>
                <w:rFonts w:ascii="Arial" w:hAnsi="Arial" w:cs="Arial"/>
                <w:sz w:val="20"/>
                <w:szCs w:val="20"/>
              </w:rPr>
              <w:t>Stenosis, %</w:t>
            </w:r>
          </w:p>
        </w:tc>
        <w:tc>
          <w:tcPr>
            <w:tcW w:w="2293" w:type="dxa"/>
            <w:noWrap/>
            <w:hideMark/>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 xml:space="preserve">5.17 ± 8.16 </w:t>
            </w:r>
          </w:p>
        </w:tc>
        <w:tc>
          <w:tcPr>
            <w:tcW w:w="1686" w:type="dxa"/>
            <w:noWrap/>
            <w:hideMark/>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0.22</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hAnsi="Arial" w:cs="Arial"/>
                <w:bCs/>
                <w:color w:val="000000"/>
                <w:sz w:val="20"/>
                <w:szCs w:val="20"/>
              </w:rPr>
            </w:pPr>
            <w:r w:rsidRPr="007D4733">
              <w:rPr>
                <w:rFonts w:ascii="Arial" w:eastAsia="MS PGothic" w:hAnsi="Arial" w:cs="Arial"/>
                <w:bCs/>
                <w:color w:val="000000"/>
                <w:kern w:val="0"/>
                <w:sz w:val="20"/>
                <w:szCs w:val="20"/>
              </w:rPr>
              <w:t xml:space="preserve">Lumen volume, </w:t>
            </w:r>
            <w:r w:rsidRPr="007D4733">
              <w:rPr>
                <w:rFonts w:ascii="Arial" w:hAnsi="Arial" w:cs="Arial"/>
                <w:bCs/>
                <w:color w:val="000000"/>
                <w:sz w:val="20"/>
                <w:szCs w:val="20"/>
              </w:rPr>
              <w:t>mm</w:t>
            </w:r>
            <w:r w:rsidRPr="007D4733">
              <w:rPr>
                <w:rFonts w:ascii="Arial" w:hAnsi="Arial" w:cs="Arial"/>
                <w:bCs/>
                <w:color w:val="000000"/>
                <w:sz w:val="20"/>
                <w:szCs w:val="20"/>
                <w:vertAlign w:val="superscript"/>
              </w:rPr>
              <w:t>3</w:t>
            </w:r>
          </w:p>
        </w:tc>
        <w:tc>
          <w:tcPr>
            <w:tcW w:w="2293" w:type="dxa"/>
          </w:tcPr>
          <w:p w:rsidR="00FD1BA6" w:rsidRPr="007D4733" w:rsidRDefault="00FD1BA6" w:rsidP="00D577DD">
            <w:pPr>
              <w:jc w:val="center"/>
              <w:rPr>
                <w:rFonts w:ascii="Arial" w:hAnsi="Arial" w:cs="Arial"/>
                <w:color w:val="000000"/>
                <w:sz w:val="20"/>
                <w:szCs w:val="20"/>
              </w:rPr>
            </w:pPr>
            <w:r w:rsidRPr="007D4733">
              <w:rPr>
                <w:rFonts w:ascii="Arial" w:hAnsi="Arial" w:cs="Arial"/>
                <w:color w:val="000000"/>
                <w:sz w:val="20"/>
                <w:szCs w:val="20"/>
              </w:rPr>
              <w:t>71.43 ± 38.51</w:t>
            </w:r>
          </w:p>
        </w:tc>
        <w:tc>
          <w:tcPr>
            <w:tcW w:w="1686" w:type="dxa"/>
          </w:tcPr>
          <w:p w:rsidR="00FD1BA6" w:rsidRPr="007D4733" w:rsidRDefault="00FD1BA6" w:rsidP="00D577DD">
            <w:pPr>
              <w:jc w:val="center"/>
              <w:rPr>
                <w:rFonts w:ascii="Arial" w:eastAsia="MS PGothic" w:hAnsi="Arial" w:cs="Arial"/>
                <w:color w:val="000000"/>
                <w:sz w:val="20"/>
                <w:szCs w:val="20"/>
              </w:rPr>
            </w:pPr>
            <w:r w:rsidRPr="007D4733">
              <w:rPr>
                <w:rFonts w:ascii="Arial" w:eastAsia="MS PGothic" w:hAnsi="Arial" w:cs="Arial"/>
                <w:color w:val="000000"/>
                <w:sz w:val="20"/>
                <w:szCs w:val="20"/>
              </w:rPr>
              <w:t>0.17</w:t>
            </w:r>
          </w:p>
        </w:tc>
      </w:tr>
      <w:tr w:rsidR="00FD1BA6" w:rsidRPr="007D4733" w:rsidTr="00D577DD">
        <w:trPr>
          <w:trHeight w:val="300"/>
        </w:trPr>
        <w:tc>
          <w:tcPr>
            <w:tcW w:w="3713" w:type="dxa"/>
            <w:noWrap/>
          </w:tcPr>
          <w:p w:rsidR="00FD1BA6" w:rsidRPr="007D4733" w:rsidRDefault="00FD1BA6" w:rsidP="00D577DD">
            <w:pPr>
              <w:rPr>
                <w:rFonts w:ascii="Arial" w:eastAsia="MS PGothic" w:hAnsi="Arial" w:cs="Arial"/>
                <w:color w:val="000000"/>
                <w:sz w:val="20"/>
                <w:szCs w:val="20"/>
              </w:rPr>
            </w:pPr>
            <w:r w:rsidRPr="007D4733">
              <w:rPr>
                <w:rFonts w:ascii="Arial" w:eastAsia="MS PGothic" w:hAnsi="Arial" w:cs="Arial"/>
                <w:bCs/>
                <w:color w:val="000000"/>
                <w:kern w:val="0"/>
                <w:sz w:val="20"/>
                <w:szCs w:val="20"/>
              </w:rPr>
              <w:t xml:space="preserve"> Lumen perimeter, </w:t>
            </w:r>
            <w:r w:rsidRPr="007D4733">
              <w:rPr>
                <w:rFonts w:ascii="Arial" w:hAnsi="Arial" w:cs="Arial"/>
                <w:sz w:val="20"/>
                <w:szCs w:val="20"/>
              </w:rPr>
              <w:t>mm</w:t>
            </w:r>
            <w:r w:rsidRPr="007D4733">
              <w:rPr>
                <w:rFonts w:ascii="Arial" w:hAnsi="Arial" w:cs="Arial"/>
                <w:sz w:val="20"/>
                <w:szCs w:val="20"/>
                <w:vertAlign w:val="superscript"/>
              </w:rPr>
              <w:t>2</w:t>
            </w:r>
          </w:p>
        </w:tc>
        <w:tc>
          <w:tcPr>
            <w:tcW w:w="2293" w:type="dxa"/>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190.07 ± 61.12</w:t>
            </w:r>
          </w:p>
        </w:tc>
        <w:tc>
          <w:tcPr>
            <w:tcW w:w="1686" w:type="dxa"/>
          </w:tcPr>
          <w:p w:rsidR="00FD1BA6" w:rsidRPr="007D4733" w:rsidRDefault="00FD1BA6" w:rsidP="00D577DD">
            <w:pPr>
              <w:jc w:val="center"/>
              <w:rPr>
                <w:rFonts w:ascii="Arial" w:eastAsia="MS PGothic" w:hAnsi="Arial" w:cs="Arial"/>
                <w:color w:val="000000"/>
                <w:sz w:val="20"/>
                <w:szCs w:val="20"/>
              </w:rPr>
            </w:pPr>
            <w:r w:rsidRPr="007D4733">
              <w:rPr>
                <w:rFonts w:ascii="Arial" w:eastAsia="MS PGothic" w:hAnsi="Arial" w:cs="Arial"/>
                <w:color w:val="000000"/>
                <w:sz w:val="20"/>
                <w:szCs w:val="20"/>
              </w:rPr>
              <w:t>0.13</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eastAsia="MS PGothic" w:hAnsi="Arial" w:cs="Arial"/>
                <w:color w:val="000000"/>
                <w:kern w:val="0"/>
                <w:sz w:val="20"/>
                <w:szCs w:val="20"/>
              </w:rPr>
              <w:t xml:space="preserve">THS, </w:t>
            </w:r>
            <w:r w:rsidRPr="007D4733">
              <w:rPr>
                <w:rFonts w:ascii="Arial" w:hAnsi="Arial" w:cs="Arial"/>
                <w:sz w:val="20"/>
                <w:szCs w:val="20"/>
              </w:rPr>
              <w:t>mm</w:t>
            </w:r>
            <w:r w:rsidRPr="007D4733">
              <w:rPr>
                <w:rFonts w:ascii="Arial" w:hAnsi="Arial" w:cs="Arial"/>
                <w:sz w:val="20"/>
                <w:szCs w:val="20"/>
                <w:vertAlign w:val="superscript"/>
              </w:rPr>
              <w:t>2</w:t>
            </w:r>
          </w:p>
        </w:tc>
        <w:tc>
          <w:tcPr>
            <w:tcW w:w="2293" w:type="dxa"/>
            <w:noWrap/>
          </w:tcPr>
          <w:p w:rsidR="00FD1BA6" w:rsidRPr="007D4733" w:rsidRDefault="00FD1BA6" w:rsidP="00D577DD">
            <w:pPr>
              <w:ind w:firstLineChars="300" w:firstLine="600"/>
              <w:rPr>
                <w:rFonts w:ascii="Arial" w:hAnsi="Arial" w:cs="Arial"/>
                <w:color w:val="000000"/>
                <w:sz w:val="20"/>
                <w:szCs w:val="20"/>
              </w:rPr>
            </w:pPr>
            <w:r w:rsidRPr="007D4733">
              <w:rPr>
                <w:rFonts w:ascii="Arial" w:hAnsi="Arial" w:cs="Arial"/>
                <w:color w:val="000000"/>
                <w:sz w:val="20"/>
                <w:szCs w:val="20"/>
              </w:rPr>
              <w:t>3.03 ± 2.13</w:t>
            </w:r>
          </w:p>
        </w:tc>
        <w:tc>
          <w:tcPr>
            <w:tcW w:w="1686" w:type="dxa"/>
            <w:noWrap/>
          </w:tcPr>
          <w:p w:rsidR="00FD1BA6" w:rsidRPr="007D4733" w:rsidRDefault="00FD1BA6" w:rsidP="00D577DD">
            <w:pPr>
              <w:jc w:val="center"/>
              <w:rPr>
                <w:rFonts w:ascii="Arial" w:eastAsia="MS PGothic" w:hAnsi="Arial" w:cs="Arial"/>
                <w:color w:val="000000" w:themeColor="text1"/>
                <w:sz w:val="20"/>
                <w:szCs w:val="20"/>
              </w:rPr>
            </w:pPr>
            <w:r w:rsidRPr="007D4733">
              <w:rPr>
                <w:rFonts w:ascii="Arial" w:eastAsia="MS PGothic" w:hAnsi="Arial" w:cs="Arial"/>
                <w:color w:val="000000" w:themeColor="text1"/>
                <w:sz w:val="20"/>
                <w:szCs w:val="20"/>
              </w:rPr>
              <w:t>0.001</w:t>
            </w:r>
          </w:p>
        </w:tc>
      </w:tr>
      <w:tr w:rsidR="00FD1BA6" w:rsidRPr="007D4733" w:rsidTr="00D577DD">
        <w:trPr>
          <w:trHeight w:val="300"/>
        </w:trPr>
        <w:tc>
          <w:tcPr>
            <w:tcW w:w="3713" w:type="dxa"/>
            <w:noWrap/>
          </w:tcPr>
          <w:p w:rsidR="00FD1BA6" w:rsidRPr="007D4733" w:rsidRDefault="00FD1BA6" w:rsidP="00D577DD">
            <w:pPr>
              <w:ind w:firstLineChars="50" w:firstLine="100"/>
              <w:rPr>
                <w:rFonts w:ascii="Arial" w:eastAsia="MS PGothic" w:hAnsi="Arial" w:cs="Arial"/>
                <w:color w:val="000000"/>
                <w:kern w:val="0"/>
                <w:sz w:val="20"/>
                <w:szCs w:val="20"/>
              </w:rPr>
            </w:pPr>
            <w:r w:rsidRPr="007D4733">
              <w:rPr>
                <w:rFonts w:ascii="Arial" w:eastAsia="MS PGothic" w:hAnsi="Arial" w:cs="Arial"/>
                <w:color w:val="000000"/>
                <w:kern w:val="0"/>
                <w:sz w:val="20"/>
                <w:szCs w:val="20"/>
              </w:rPr>
              <w:lastRenderedPageBreak/>
              <w:t>%THS, %</w:t>
            </w:r>
          </w:p>
        </w:tc>
        <w:tc>
          <w:tcPr>
            <w:tcW w:w="2293" w:type="dxa"/>
            <w:noWrap/>
          </w:tcPr>
          <w:p w:rsidR="00FD1BA6" w:rsidRPr="007D4733" w:rsidRDefault="00FD1BA6" w:rsidP="00D577DD">
            <w:pPr>
              <w:jc w:val="center"/>
              <w:rPr>
                <w:rFonts w:ascii="Arial" w:eastAsia="MS PGothic" w:hAnsi="Arial" w:cs="Arial"/>
                <w:color w:val="000000"/>
                <w:sz w:val="20"/>
                <w:szCs w:val="20"/>
              </w:rPr>
            </w:pPr>
            <w:r w:rsidRPr="007D4733">
              <w:rPr>
                <w:rFonts w:ascii="Arial" w:hAnsi="Arial" w:cs="Arial"/>
                <w:color w:val="000000"/>
                <w:sz w:val="20"/>
                <w:szCs w:val="20"/>
              </w:rPr>
              <w:t>1.52 ± 0.80</w:t>
            </w:r>
          </w:p>
        </w:tc>
        <w:tc>
          <w:tcPr>
            <w:tcW w:w="1686" w:type="dxa"/>
            <w:noWrap/>
          </w:tcPr>
          <w:p w:rsidR="00FD1BA6" w:rsidRPr="007D4733" w:rsidRDefault="00FD1BA6" w:rsidP="00D577DD">
            <w:pPr>
              <w:jc w:val="center"/>
              <w:rPr>
                <w:rFonts w:ascii="Arial" w:eastAsia="MS PGothic" w:hAnsi="Arial" w:cs="Arial"/>
                <w:color w:val="000000" w:themeColor="text1"/>
                <w:sz w:val="20"/>
                <w:szCs w:val="20"/>
              </w:rPr>
            </w:pPr>
            <w:r w:rsidRPr="007D4733">
              <w:rPr>
                <w:rFonts w:ascii="Arial" w:hAnsi="Arial" w:cs="Arial"/>
                <w:color w:val="000000" w:themeColor="text1"/>
                <w:sz w:val="20"/>
                <w:szCs w:val="20"/>
              </w:rPr>
              <w:t>0.001</w:t>
            </w:r>
          </w:p>
        </w:tc>
      </w:tr>
    </w:tbl>
    <w:p w:rsidR="00FD1BA6" w:rsidRPr="007D4733" w:rsidRDefault="00FD1BA6" w:rsidP="00FD1BA6">
      <w:pPr>
        <w:rPr>
          <w:rFonts w:ascii="Arial" w:hAnsi="Arial" w:cs="Arial"/>
          <w:color w:val="000000"/>
          <w:sz w:val="20"/>
          <w:szCs w:val="20"/>
        </w:rPr>
      </w:pPr>
    </w:p>
    <w:p w:rsidR="00FD1BA6" w:rsidRPr="007D4733" w:rsidRDefault="00FD1BA6" w:rsidP="00FD1BA6">
      <w:pPr>
        <w:rPr>
          <w:rFonts w:ascii="Arial" w:hAnsi="Arial" w:cs="Arial"/>
          <w:color w:val="000000"/>
          <w:sz w:val="20"/>
          <w:szCs w:val="20"/>
        </w:rPr>
      </w:pPr>
      <w:r w:rsidRPr="007D4733">
        <w:rPr>
          <w:rFonts w:ascii="Arial" w:hAnsi="Arial" w:cs="Arial"/>
          <w:color w:val="000000"/>
          <w:sz w:val="20"/>
          <w:szCs w:val="20"/>
        </w:rPr>
        <w:t>Values are expressed as n (%) or the mean ± standard deviation.</w:t>
      </w:r>
    </w:p>
    <w:p w:rsidR="00FD1BA6" w:rsidRPr="007D4733" w:rsidRDefault="00FD1BA6" w:rsidP="00FD1BA6">
      <w:pPr>
        <w:spacing w:line="480" w:lineRule="auto"/>
        <w:rPr>
          <w:rFonts w:ascii="Arial" w:hAnsi="Arial" w:cs="Arial"/>
          <w:sz w:val="20"/>
          <w:szCs w:val="20"/>
        </w:rPr>
      </w:pPr>
    </w:p>
    <w:p w:rsidR="00FD1BA6" w:rsidRPr="007D4733" w:rsidRDefault="00FD1BA6" w:rsidP="00FD1BA6">
      <w:pPr>
        <w:shd w:val="clear" w:color="auto" w:fill="FFFFFF"/>
        <w:spacing w:before="100" w:beforeAutospacing="1" w:after="100" w:afterAutospacing="1"/>
        <w:rPr>
          <w:rFonts w:ascii="Arial" w:hAnsi="Arial" w:cs="Arial"/>
        </w:rPr>
      </w:pPr>
      <w:r w:rsidRPr="007D4733">
        <w:rPr>
          <w:rFonts w:ascii="Arial" w:hAnsi="Arial" w:cs="Arial"/>
        </w:rPr>
        <w:t>Table 4: GO functional enrichment for target genes involved in neuron (adapted from Bland JM, Altman DG (1995) Multiple significance tests: the Bonferroni method. BMJ 310:170.).</w:t>
      </w:r>
    </w:p>
    <w:p w:rsidR="00FD1BA6" w:rsidRPr="007D4733" w:rsidRDefault="00FD1BA6" w:rsidP="00FD1BA6">
      <w:pPr>
        <w:shd w:val="clear" w:color="auto" w:fill="FFFFFF"/>
        <w:spacing w:before="100" w:beforeAutospacing="1" w:after="100" w:afterAutospacing="1"/>
        <w:rPr>
          <w:rFonts w:ascii="Arial" w:hAnsi="Arial" w:cs="Arial"/>
        </w:rPr>
      </w:pPr>
      <w:r w:rsidRPr="007D4733">
        <w:rPr>
          <w:rFonts w:ascii="Arial" w:hAnsi="Arial" w:cs="Arial"/>
          <w:noProof/>
          <w:lang w:val="en-US" w:eastAsia="en-US"/>
        </w:rPr>
        <w:drawing>
          <wp:inline distT="0" distB="0" distL="0" distR="0" wp14:anchorId="76DC6451" wp14:editId="00016427">
            <wp:extent cx="4067175" cy="3050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67175" cy="3050381"/>
                    </a:xfrm>
                    <a:prstGeom prst="rect">
                      <a:avLst/>
                    </a:prstGeom>
                  </pic:spPr>
                </pic:pic>
              </a:graphicData>
            </a:graphic>
          </wp:inline>
        </w:drawing>
      </w:r>
    </w:p>
    <w:p w:rsidR="00FD1BA6" w:rsidRPr="007D4733" w:rsidRDefault="00FD1BA6" w:rsidP="00FD1BA6">
      <w:pPr>
        <w:spacing w:line="480" w:lineRule="auto"/>
        <w:rPr>
          <w:rFonts w:ascii="Arial" w:hAnsi="Arial" w:cs="Arial"/>
        </w:rPr>
      </w:pPr>
      <w:r w:rsidRPr="007D4733">
        <w:rPr>
          <w:rFonts w:ascii="Arial" w:hAnsi="Arial" w:cs="Arial"/>
          <w:color w:val="000000"/>
        </w:rPr>
        <w:t>CABG: coronary artery bypass graft, Chronic kidney disease: estimated glomerular filtration rate &lt; 60 ml/min/1.73m</w:t>
      </w:r>
      <w:r w:rsidRPr="007D4733">
        <w:rPr>
          <w:rFonts w:ascii="Arial" w:hAnsi="Arial" w:cs="Arial"/>
        </w:rPr>
        <w:t>², PCB: paclitaxel-coated balloon.</w:t>
      </w:r>
    </w:p>
    <w:p w:rsidR="00FD1BA6" w:rsidRPr="007D4733" w:rsidRDefault="00FD1BA6" w:rsidP="00FD1BA6">
      <w:pPr>
        <w:spacing w:line="480" w:lineRule="auto"/>
        <w:rPr>
          <w:rFonts w:ascii="Arial" w:hAnsi="Arial" w:cs="Arial"/>
          <w:lang w:val="en-GB"/>
        </w:rPr>
      </w:pPr>
    </w:p>
    <w:p w:rsidR="00FD1BA6" w:rsidRPr="007D4733" w:rsidRDefault="00FD1BA6" w:rsidP="00FD1BA6">
      <w:pPr>
        <w:spacing w:line="480" w:lineRule="auto"/>
        <w:rPr>
          <w:rFonts w:ascii="Arial" w:hAnsi="Arial" w:cs="Arial"/>
          <w:lang w:val="en-GB"/>
        </w:rPr>
      </w:pPr>
    </w:p>
    <w:p w:rsidR="002D0CB9" w:rsidRPr="007D4733" w:rsidRDefault="00713CCD">
      <w:pPr>
        <w:spacing w:after="0" w:line="480" w:lineRule="auto"/>
        <w:jc w:val="both"/>
        <w:rPr>
          <w:rFonts w:ascii="Arial" w:hAnsi="Arial" w:cs="Arial"/>
          <w:b/>
          <w:lang w:val="en-US"/>
        </w:rPr>
      </w:pPr>
      <w:r w:rsidRPr="007D4733">
        <w:rPr>
          <w:rFonts w:ascii="Arial" w:hAnsi="Arial" w:cs="Arial"/>
          <w:b/>
          <w:lang w:val="en-US"/>
        </w:rPr>
        <w:t>Schemes</w:t>
      </w:r>
    </w:p>
    <w:p w:rsidR="003969B8" w:rsidRPr="007D4733" w:rsidRDefault="003969B8">
      <w:pPr>
        <w:spacing w:after="0" w:line="480" w:lineRule="auto"/>
        <w:jc w:val="both"/>
        <w:rPr>
          <w:rFonts w:ascii="Arial" w:hAnsi="Arial" w:cs="Arial"/>
          <w:b/>
          <w:lang w:val="en-US"/>
        </w:rPr>
      </w:pPr>
      <w:r w:rsidRPr="007D4733">
        <w:rPr>
          <w:rFonts w:ascii="Arial" w:hAnsi="Arial" w:cs="Arial"/>
          <w:b/>
          <w:noProof/>
          <w:lang w:val="en-US" w:eastAsia="en-US"/>
        </w:rPr>
        <w:drawing>
          <wp:inline distT="0" distB="0" distL="0" distR="0" wp14:anchorId="506BCEDC" wp14:editId="52EBAB95">
            <wp:extent cx="1816924" cy="1080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6563" cy="1080439"/>
                    </a:xfrm>
                    <a:prstGeom prst="rect">
                      <a:avLst/>
                    </a:prstGeom>
                  </pic:spPr>
                </pic:pic>
              </a:graphicData>
            </a:graphic>
          </wp:inline>
        </w:drawing>
      </w:r>
    </w:p>
    <w:p w:rsidR="00713CCD" w:rsidRPr="007D4733" w:rsidRDefault="00713CCD">
      <w:pPr>
        <w:spacing w:after="0" w:line="480" w:lineRule="auto"/>
        <w:jc w:val="both"/>
        <w:rPr>
          <w:rFonts w:ascii="Arial" w:hAnsi="Arial" w:cs="Arial"/>
          <w:lang w:val="en-US"/>
        </w:rPr>
      </w:pPr>
      <w:r w:rsidRPr="007D4733">
        <w:rPr>
          <w:rFonts w:ascii="Arial" w:hAnsi="Arial" w:cs="Arial"/>
          <w:b/>
          <w:lang w:val="en-US"/>
        </w:rPr>
        <w:lastRenderedPageBreak/>
        <w:t>Scheme 1</w:t>
      </w:r>
      <w:r w:rsidRPr="007D4733">
        <w:rPr>
          <w:rFonts w:ascii="Arial" w:hAnsi="Arial" w:cs="Arial"/>
          <w:lang w:val="en-US"/>
        </w:rPr>
        <w:t>: Effect of different</w:t>
      </w:r>
      <w:r w:rsidR="00DD152F" w:rsidRPr="007D4733">
        <w:rPr>
          <w:rFonts w:ascii="Arial" w:hAnsi="Arial" w:cs="Arial"/>
          <w:lang w:val="en-US"/>
        </w:rPr>
        <w:t xml:space="preserve"> STRUCT-245</w:t>
      </w:r>
      <w:r w:rsidRPr="007D4733">
        <w:rPr>
          <w:rFonts w:ascii="Arial" w:hAnsi="Arial" w:cs="Arial"/>
          <w:lang w:val="en-US"/>
        </w:rPr>
        <w:t xml:space="preserve"> diets in </w:t>
      </w:r>
      <w:proofErr w:type="spellStart"/>
      <w:r w:rsidRPr="007D4733">
        <w:rPr>
          <w:rFonts w:ascii="Arial" w:hAnsi="Arial" w:cs="Arial"/>
          <w:lang w:val="en-US"/>
        </w:rPr>
        <w:t>AChE</w:t>
      </w:r>
      <w:proofErr w:type="spellEnd"/>
      <w:r w:rsidRPr="007D4733">
        <w:rPr>
          <w:rFonts w:ascii="Arial" w:hAnsi="Arial" w:cs="Arial"/>
          <w:lang w:val="en-US"/>
        </w:rPr>
        <w:t xml:space="preserve"> activity in erythrocytes of young rats. Each column represents mean ± S.D. (n=5) as percent of control.</w:t>
      </w:r>
    </w:p>
    <w:p w:rsidR="003969B8" w:rsidRPr="007D4733" w:rsidRDefault="003969B8" w:rsidP="00713CCD">
      <w:pPr>
        <w:spacing w:after="0" w:line="480" w:lineRule="auto"/>
        <w:jc w:val="both"/>
        <w:rPr>
          <w:rFonts w:ascii="Arial" w:hAnsi="Arial" w:cs="Arial"/>
          <w:b/>
          <w:lang w:val="en-US"/>
        </w:rPr>
      </w:pPr>
      <w:r w:rsidRPr="007D4733">
        <w:rPr>
          <w:rFonts w:ascii="Arial" w:hAnsi="Arial" w:cs="Arial"/>
          <w:b/>
          <w:noProof/>
          <w:lang w:val="en-US" w:eastAsia="en-US"/>
        </w:rPr>
        <w:drawing>
          <wp:inline distT="0" distB="0" distL="0" distR="0" wp14:anchorId="36225CC7" wp14:editId="5F4E1C7A">
            <wp:extent cx="2256311" cy="169223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5860" cy="1691896"/>
                    </a:xfrm>
                    <a:prstGeom prst="rect">
                      <a:avLst/>
                    </a:prstGeom>
                  </pic:spPr>
                </pic:pic>
              </a:graphicData>
            </a:graphic>
          </wp:inline>
        </w:drawing>
      </w:r>
    </w:p>
    <w:p w:rsidR="00713CCD" w:rsidRPr="007D4733" w:rsidRDefault="00713CCD" w:rsidP="00713CCD">
      <w:pPr>
        <w:spacing w:after="0" w:line="480" w:lineRule="auto"/>
        <w:jc w:val="both"/>
        <w:rPr>
          <w:rFonts w:ascii="Arial" w:hAnsi="Arial" w:cs="Arial"/>
          <w:lang w:val="en-US"/>
        </w:rPr>
      </w:pPr>
      <w:proofErr w:type="gramStart"/>
      <w:r w:rsidRPr="007D4733">
        <w:rPr>
          <w:rFonts w:ascii="Arial" w:hAnsi="Arial" w:cs="Arial"/>
          <w:b/>
          <w:lang w:val="en-US"/>
        </w:rPr>
        <w:t>Scheme 2</w:t>
      </w:r>
      <w:r w:rsidRPr="007D4733">
        <w:rPr>
          <w:rFonts w:ascii="Arial" w:hAnsi="Arial" w:cs="Arial"/>
          <w:lang w:val="en-US"/>
        </w:rPr>
        <w:t xml:space="preserve">: Effect of different diets in </w:t>
      </w:r>
      <w:r w:rsidR="00DD152F" w:rsidRPr="007D4733">
        <w:rPr>
          <w:rFonts w:ascii="Arial" w:hAnsi="Arial" w:cs="Arial"/>
          <w:lang w:val="en-US"/>
        </w:rPr>
        <w:t xml:space="preserve">STRUCT-245 </w:t>
      </w:r>
      <w:proofErr w:type="spellStart"/>
      <w:r w:rsidRPr="007D4733">
        <w:rPr>
          <w:rFonts w:ascii="Arial" w:hAnsi="Arial" w:cs="Arial"/>
          <w:lang w:val="en-US"/>
        </w:rPr>
        <w:t>AChE</w:t>
      </w:r>
      <w:proofErr w:type="spellEnd"/>
      <w:r w:rsidRPr="007D4733">
        <w:rPr>
          <w:rFonts w:ascii="Arial" w:hAnsi="Arial" w:cs="Arial"/>
          <w:lang w:val="en-US"/>
        </w:rPr>
        <w:t xml:space="preserve"> activity in erythrocytes of young rats.</w:t>
      </w:r>
      <w:proofErr w:type="gramEnd"/>
      <w:r w:rsidRPr="007D4733">
        <w:rPr>
          <w:rFonts w:ascii="Arial" w:hAnsi="Arial" w:cs="Arial"/>
          <w:lang w:val="en-US"/>
        </w:rPr>
        <w:t xml:space="preserve"> Each column represents mean ± S.D. (n=5) as percent of control.</w:t>
      </w:r>
    </w:p>
    <w:p w:rsidR="003969B8" w:rsidRPr="007D4733" w:rsidRDefault="003969B8" w:rsidP="00713CCD">
      <w:pPr>
        <w:spacing w:after="0" w:line="480" w:lineRule="auto"/>
        <w:jc w:val="both"/>
        <w:rPr>
          <w:rFonts w:ascii="Arial" w:hAnsi="Arial" w:cs="Arial"/>
          <w:b/>
          <w:lang w:val="en-US"/>
        </w:rPr>
      </w:pPr>
      <w:r w:rsidRPr="007D4733">
        <w:rPr>
          <w:rFonts w:ascii="Arial" w:hAnsi="Arial" w:cs="Arial"/>
          <w:b/>
          <w:noProof/>
          <w:lang w:val="en-US" w:eastAsia="en-US"/>
        </w:rPr>
        <w:drawing>
          <wp:inline distT="0" distB="0" distL="0" distR="0" wp14:anchorId="52A75A86" wp14:editId="79489739">
            <wp:extent cx="2511631" cy="131734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1129" cy="1317078"/>
                    </a:xfrm>
                    <a:prstGeom prst="rect">
                      <a:avLst/>
                    </a:prstGeom>
                  </pic:spPr>
                </pic:pic>
              </a:graphicData>
            </a:graphic>
          </wp:inline>
        </w:drawing>
      </w:r>
    </w:p>
    <w:p w:rsidR="00713CCD" w:rsidRPr="007D4733" w:rsidRDefault="00713CCD" w:rsidP="00713CCD">
      <w:pPr>
        <w:spacing w:after="0" w:line="480" w:lineRule="auto"/>
        <w:jc w:val="both"/>
        <w:rPr>
          <w:rFonts w:ascii="Arial" w:hAnsi="Arial" w:cs="Arial"/>
          <w:lang w:val="en-US"/>
        </w:rPr>
      </w:pPr>
      <w:proofErr w:type="gramStart"/>
      <w:r w:rsidRPr="007D4733">
        <w:rPr>
          <w:rFonts w:ascii="Arial" w:hAnsi="Arial" w:cs="Arial"/>
          <w:b/>
          <w:lang w:val="en-US"/>
        </w:rPr>
        <w:t>Scheme 3</w:t>
      </w:r>
      <w:r w:rsidRPr="007D4733">
        <w:rPr>
          <w:rFonts w:ascii="Arial" w:hAnsi="Arial" w:cs="Arial"/>
          <w:lang w:val="en-US"/>
        </w:rPr>
        <w:t xml:space="preserve">: Effect of different diets in </w:t>
      </w:r>
      <w:proofErr w:type="spellStart"/>
      <w:r w:rsidRPr="007D4733">
        <w:rPr>
          <w:rFonts w:ascii="Arial" w:hAnsi="Arial" w:cs="Arial"/>
          <w:lang w:val="en-US"/>
        </w:rPr>
        <w:t>AChE</w:t>
      </w:r>
      <w:proofErr w:type="spellEnd"/>
      <w:r w:rsidRPr="007D4733">
        <w:rPr>
          <w:rFonts w:ascii="Arial" w:hAnsi="Arial" w:cs="Arial"/>
          <w:lang w:val="en-US"/>
        </w:rPr>
        <w:t xml:space="preserve"> activity</w:t>
      </w:r>
      <w:r w:rsidR="00DD152F" w:rsidRPr="007D4733">
        <w:rPr>
          <w:rFonts w:ascii="Arial" w:hAnsi="Arial" w:cs="Arial"/>
          <w:lang w:val="en-US"/>
        </w:rPr>
        <w:t xml:space="preserve"> STRUCT-245</w:t>
      </w:r>
      <w:r w:rsidRPr="007D4733">
        <w:rPr>
          <w:rFonts w:ascii="Arial" w:hAnsi="Arial" w:cs="Arial"/>
          <w:lang w:val="en-US"/>
        </w:rPr>
        <w:t xml:space="preserve"> in erythrocytes of young rats.</w:t>
      </w:r>
      <w:proofErr w:type="gramEnd"/>
      <w:r w:rsidRPr="007D4733">
        <w:rPr>
          <w:rFonts w:ascii="Arial" w:hAnsi="Arial" w:cs="Arial"/>
          <w:lang w:val="en-US"/>
        </w:rPr>
        <w:t xml:space="preserve"> Each column represents mean ± S.D. (n=5) as percent of control.</w:t>
      </w:r>
    </w:p>
    <w:p w:rsidR="00713CCD" w:rsidRPr="007D4733" w:rsidRDefault="00713CCD">
      <w:pPr>
        <w:spacing w:after="0" w:line="480" w:lineRule="auto"/>
        <w:jc w:val="both"/>
        <w:rPr>
          <w:rFonts w:ascii="Arial" w:hAnsi="Arial" w:cs="Arial"/>
          <w:lang w:val="en-US"/>
        </w:rPr>
      </w:pPr>
    </w:p>
    <w:p w:rsidR="00713CCD" w:rsidRPr="007D4733" w:rsidRDefault="00713CCD">
      <w:pPr>
        <w:spacing w:after="0" w:line="480" w:lineRule="auto"/>
        <w:jc w:val="both"/>
        <w:rPr>
          <w:rFonts w:ascii="Arial" w:hAnsi="Arial" w:cs="Arial"/>
          <w:b/>
          <w:lang w:val="en-US"/>
        </w:rPr>
      </w:pPr>
      <w:r w:rsidRPr="007D4733">
        <w:rPr>
          <w:rFonts w:ascii="Arial" w:hAnsi="Arial" w:cs="Arial"/>
          <w:b/>
          <w:lang w:val="en-US"/>
        </w:rPr>
        <w:t>Charts</w:t>
      </w:r>
    </w:p>
    <w:p w:rsidR="003969B8" w:rsidRPr="007D4733" w:rsidRDefault="003969B8" w:rsidP="00713CCD">
      <w:pPr>
        <w:spacing w:after="0" w:line="480" w:lineRule="auto"/>
        <w:jc w:val="both"/>
        <w:rPr>
          <w:rFonts w:ascii="Arial" w:hAnsi="Arial" w:cs="Arial"/>
          <w:b/>
          <w:lang w:val="en-US"/>
        </w:rPr>
      </w:pPr>
      <w:r w:rsidRPr="007D4733">
        <w:rPr>
          <w:rFonts w:ascii="Arial" w:hAnsi="Arial" w:cs="Arial"/>
          <w:b/>
          <w:noProof/>
          <w:lang w:val="en-US" w:eastAsia="en-US"/>
        </w:rPr>
        <w:drawing>
          <wp:inline distT="0" distB="0" distL="0" distR="0" wp14:anchorId="70DE7006" wp14:editId="207C7BDC">
            <wp:extent cx="2832265" cy="212419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33686" cy="2125264"/>
                    </a:xfrm>
                    <a:prstGeom prst="rect">
                      <a:avLst/>
                    </a:prstGeom>
                  </pic:spPr>
                </pic:pic>
              </a:graphicData>
            </a:graphic>
          </wp:inline>
        </w:drawing>
      </w:r>
    </w:p>
    <w:p w:rsidR="00713CCD" w:rsidRPr="007D4733" w:rsidRDefault="00713CCD" w:rsidP="00713CCD">
      <w:pPr>
        <w:spacing w:after="0" w:line="480" w:lineRule="auto"/>
        <w:jc w:val="both"/>
        <w:rPr>
          <w:rFonts w:ascii="Arial" w:hAnsi="Arial" w:cs="Arial"/>
          <w:lang w:val="en-US"/>
        </w:rPr>
      </w:pPr>
      <w:r w:rsidRPr="007D4733">
        <w:rPr>
          <w:rFonts w:ascii="Arial" w:hAnsi="Arial" w:cs="Arial"/>
          <w:b/>
          <w:lang w:val="en-US"/>
        </w:rPr>
        <w:t>Chart 1</w:t>
      </w:r>
      <w:r w:rsidRPr="007D4733">
        <w:rPr>
          <w:rFonts w:ascii="Arial" w:hAnsi="Arial" w:cs="Arial"/>
          <w:lang w:val="en-US"/>
        </w:rPr>
        <w:t xml:space="preserve">: Effect of different diets in </w:t>
      </w:r>
      <w:proofErr w:type="spellStart"/>
      <w:r w:rsidRPr="007D4733">
        <w:rPr>
          <w:rFonts w:ascii="Arial" w:hAnsi="Arial" w:cs="Arial"/>
          <w:lang w:val="en-US"/>
        </w:rPr>
        <w:t>AChE</w:t>
      </w:r>
      <w:proofErr w:type="spellEnd"/>
      <w:r w:rsidRPr="007D4733">
        <w:rPr>
          <w:rFonts w:ascii="Arial" w:hAnsi="Arial" w:cs="Arial"/>
          <w:lang w:val="en-US"/>
        </w:rPr>
        <w:t xml:space="preserve"> activity in erythrocytes of young rats. Each column represents mean ± S.D. (n=5) as percent of control</w:t>
      </w:r>
      <w:r w:rsidR="00DD152F" w:rsidRPr="007D4733">
        <w:rPr>
          <w:rFonts w:ascii="Arial" w:hAnsi="Arial" w:cs="Arial"/>
          <w:lang w:val="en-US"/>
        </w:rPr>
        <w:t xml:space="preserve"> STRUCT-245</w:t>
      </w:r>
      <w:r w:rsidRPr="007D4733">
        <w:rPr>
          <w:rFonts w:ascii="Arial" w:hAnsi="Arial" w:cs="Arial"/>
          <w:lang w:val="en-US"/>
        </w:rPr>
        <w:t>.</w:t>
      </w:r>
    </w:p>
    <w:p w:rsidR="003969B8" w:rsidRPr="007D4733" w:rsidRDefault="003969B8" w:rsidP="00713CCD">
      <w:pPr>
        <w:spacing w:after="0" w:line="480" w:lineRule="auto"/>
        <w:jc w:val="both"/>
        <w:rPr>
          <w:rFonts w:ascii="Arial" w:hAnsi="Arial" w:cs="Arial"/>
          <w:b/>
          <w:lang w:val="en-US"/>
        </w:rPr>
      </w:pPr>
      <w:r w:rsidRPr="007D4733">
        <w:rPr>
          <w:rFonts w:ascii="Arial" w:hAnsi="Arial" w:cs="Arial"/>
          <w:b/>
          <w:noProof/>
          <w:lang w:val="en-US" w:eastAsia="en-US"/>
        </w:rPr>
        <w:lastRenderedPageBreak/>
        <w:drawing>
          <wp:inline distT="0" distB="0" distL="0" distR="0" wp14:anchorId="62A86D21" wp14:editId="726F6C64">
            <wp:extent cx="1915886" cy="143691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0874" cy="1440655"/>
                    </a:xfrm>
                    <a:prstGeom prst="rect">
                      <a:avLst/>
                    </a:prstGeom>
                  </pic:spPr>
                </pic:pic>
              </a:graphicData>
            </a:graphic>
          </wp:inline>
        </w:drawing>
      </w:r>
    </w:p>
    <w:p w:rsidR="00713CCD" w:rsidRPr="00521D61" w:rsidRDefault="00713CCD" w:rsidP="00713CCD">
      <w:pPr>
        <w:spacing w:after="0" w:line="480" w:lineRule="auto"/>
        <w:jc w:val="both"/>
        <w:rPr>
          <w:rFonts w:ascii="Arial" w:hAnsi="Arial" w:cs="Arial"/>
          <w:lang w:val="en-US"/>
        </w:rPr>
      </w:pPr>
      <w:r w:rsidRPr="007D4733">
        <w:rPr>
          <w:rFonts w:ascii="Arial" w:hAnsi="Arial" w:cs="Arial"/>
          <w:b/>
          <w:lang w:val="en-US"/>
        </w:rPr>
        <w:t>Chart 2</w:t>
      </w:r>
      <w:r w:rsidRPr="007D4733">
        <w:rPr>
          <w:rFonts w:ascii="Arial" w:hAnsi="Arial" w:cs="Arial"/>
          <w:lang w:val="en-US"/>
        </w:rPr>
        <w:t xml:space="preserve">: Effect of different diets in </w:t>
      </w:r>
      <w:proofErr w:type="spellStart"/>
      <w:r w:rsidRPr="007D4733">
        <w:rPr>
          <w:rFonts w:ascii="Arial" w:hAnsi="Arial" w:cs="Arial"/>
          <w:lang w:val="en-US"/>
        </w:rPr>
        <w:t>AChE</w:t>
      </w:r>
      <w:proofErr w:type="spellEnd"/>
      <w:r w:rsidRPr="007D4733">
        <w:rPr>
          <w:rFonts w:ascii="Arial" w:hAnsi="Arial" w:cs="Arial"/>
          <w:lang w:val="en-US"/>
        </w:rPr>
        <w:t xml:space="preserve"> activity in erythrocytes of young rats. Each </w:t>
      </w:r>
      <w:r w:rsidR="00A40800" w:rsidRPr="007D4733">
        <w:rPr>
          <w:rFonts w:ascii="Arial" w:hAnsi="Arial" w:cs="Arial"/>
          <w:szCs w:val="24"/>
        </w:rPr>
        <w:t xml:space="preserve">Colour coordinates </w:t>
      </w:r>
      <w:r w:rsidR="00A40800" w:rsidRPr="007D4733">
        <w:rPr>
          <w:rFonts w:ascii="Arial" w:hAnsi="Arial" w:cs="Arial"/>
          <w:i/>
          <w:szCs w:val="24"/>
        </w:rPr>
        <w:t>L</w:t>
      </w:r>
      <w:r w:rsidR="00A40800" w:rsidRPr="007D4733">
        <w:rPr>
          <w:rFonts w:ascii="Arial" w:hAnsi="Arial" w:cs="Arial"/>
          <w:i/>
          <w:szCs w:val="24"/>
          <w:vertAlign w:val="superscript"/>
        </w:rPr>
        <w:t>*</w:t>
      </w:r>
      <w:r w:rsidR="00A40800" w:rsidRPr="007D4733">
        <w:rPr>
          <w:rFonts w:ascii="Arial" w:hAnsi="Arial" w:cs="Arial"/>
          <w:szCs w:val="24"/>
        </w:rPr>
        <w:t xml:space="preserve">, and </w:t>
      </w:r>
      <w:r w:rsidR="00A40800" w:rsidRPr="007D4733">
        <w:rPr>
          <w:rFonts w:ascii="Arial" w:hAnsi="Arial" w:cs="Arial"/>
          <w:i/>
          <w:szCs w:val="24"/>
        </w:rPr>
        <w:t>a</w:t>
      </w:r>
      <w:r w:rsidR="00A40800" w:rsidRPr="007D4733">
        <w:rPr>
          <w:rFonts w:ascii="Arial" w:hAnsi="Arial" w:cs="Arial"/>
          <w:i/>
          <w:szCs w:val="24"/>
          <w:vertAlign w:val="superscript"/>
        </w:rPr>
        <w:t xml:space="preserve">* </w:t>
      </w:r>
      <w:r w:rsidR="00A40800" w:rsidRPr="007D4733">
        <w:rPr>
          <w:rFonts w:ascii="Arial" w:hAnsi="Arial" w:cs="Arial"/>
          <w:szCs w:val="24"/>
        </w:rPr>
        <w:t xml:space="preserve">versus </w:t>
      </w:r>
      <w:r w:rsidR="00A40800" w:rsidRPr="007D4733">
        <w:rPr>
          <w:rFonts w:ascii="Arial" w:hAnsi="Arial" w:cs="Arial"/>
          <w:i/>
          <w:szCs w:val="24"/>
        </w:rPr>
        <w:t>b</w:t>
      </w:r>
      <w:r w:rsidR="00A40800" w:rsidRPr="007D4733">
        <w:rPr>
          <w:rFonts w:ascii="Arial" w:hAnsi="Arial" w:cs="Arial"/>
          <w:i/>
          <w:szCs w:val="24"/>
          <w:vertAlign w:val="superscript"/>
        </w:rPr>
        <w:t>*</w:t>
      </w:r>
      <w:r w:rsidR="00A40800" w:rsidRPr="007D4733">
        <w:rPr>
          <w:rFonts w:ascii="Arial" w:hAnsi="Arial" w:cs="Arial"/>
          <w:szCs w:val="24"/>
        </w:rPr>
        <w:t>, of 21 tropical (</w:t>
      </w:r>
      <w:r w:rsidR="00A40800" w:rsidRPr="007D4733">
        <w:rPr>
          <w:rFonts w:ascii="Arial" w:hAnsi="Arial" w:cs="Arial"/>
          <w:noProof/>
          <w:szCs w:val="24"/>
          <w:lang w:val="en-US" w:eastAsia="en-US"/>
        </w:rPr>
        <mc:AlternateContent>
          <mc:Choice Requires="wps">
            <w:drawing>
              <wp:inline distT="0" distB="0" distL="0" distR="0" wp14:anchorId="379E3DA0" wp14:editId="4CAF025C">
                <wp:extent cx="72000" cy="72000"/>
                <wp:effectExtent l="0" t="0" r="4445" b="4445"/>
                <wp:docPr id="14" name="Vývojový diagram: rozhodnutie 14"/>
                <wp:cNvGraphicFramePr/>
                <a:graphic xmlns:a="http://schemas.openxmlformats.org/drawingml/2006/main">
                  <a:graphicData uri="http://schemas.microsoft.com/office/word/2010/wordprocessingShape">
                    <wps:wsp>
                      <wps:cNvSpPr/>
                      <wps:spPr>
                        <a:xfrm>
                          <a:off x="0" y="0"/>
                          <a:ext cx="72000" cy="72000"/>
                        </a:xfrm>
                        <a:prstGeom prst="flowChartDecisi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Vývojový diagram: rozhodnutie 14" o:spid="_x0000_s1026" type="#_x0000_t110"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" fillcolor="black [3213]" stroked="f" strokeweight="2pt">
                <w10:anchorlock/>
              </v:shape>
            </w:pict>
          </mc:Fallback>
        </mc:AlternateContent>
      </w:r>
      <w:r w:rsidR="00A40800" w:rsidRPr="007D4733">
        <w:rPr>
          <w:rFonts w:ascii="Arial" w:hAnsi="Arial" w:cs="Arial"/>
          <w:szCs w:val="24"/>
        </w:rPr>
        <w:t>) and 2 reference (</w:t>
      </w:r>
      <w:r w:rsidR="00A40800" w:rsidRPr="007D4733">
        <w:rPr>
          <w:rFonts w:ascii="Arial" w:hAnsi="Arial" w:cs="Arial"/>
          <w:noProof/>
          <w:szCs w:val="24"/>
          <w:lang w:val="en-US" w:eastAsia="en-US"/>
        </w:rPr>
        <mc:AlternateContent>
          <mc:Choice Requires="wps">
            <w:drawing>
              <wp:inline distT="0" distB="0" distL="0" distR="0" wp14:anchorId="70FA5817" wp14:editId="4F124DEF">
                <wp:extent cx="72000" cy="72000"/>
                <wp:effectExtent l="0" t="0" r="4445" b="4445"/>
                <wp:docPr id="19" name="Ovál 19"/>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ál 19"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" fillcolor="black [3213]" stroked="f" strokeweight="2pt">
                <w10:anchorlock/>
              </v:oval>
            </w:pict>
          </mc:Fallback>
        </mc:AlternateContent>
      </w:r>
      <w:r w:rsidR="00A40800" w:rsidRPr="007D4733">
        <w:rPr>
          <w:rFonts w:ascii="Arial" w:hAnsi="Arial" w:cs="Arial"/>
          <w:szCs w:val="24"/>
        </w:rPr>
        <w:t>) woods</w:t>
      </w:r>
      <w:r w:rsidR="00DD152F" w:rsidRPr="007D4733">
        <w:rPr>
          <w:rFonts w:ascii="Arial" w:hAnsi="Arial" w:cs="Arial"/>
          <w:lang w:val="en-US"/>
        </w:rPr>
        <w:t xml:space="preserve"> STRUCT-2</w:t>
      </w:r>
      <w:r w:rsidR="00A83327" w:rsidRPr="007D4733">
        <w:rPr>
          <w:rFonts w:ascii="Arial" w:hAnsi="Arial" w:cs="Arial"/>
          <w:lang w:val="en-US"/>
        </w:rPr>
        <w:t>90</w:t>
      </w:r>
      <w:r w:rsidR="002C14B0" w:rsidRPr="007D4733">
        <w:rPr>
          <w:rFonts w:ascii="Arial" w:hAnsi="Arial" w:cs="Arial"/>
          <w:lang w:val="en-US"/>
        </w:rPr>
        <w:t xml:space="preserve"> &amp; Struct-272</w:t>
      </w:r>
      <w:r w:rsidRPr="007D4733">
        <w:rPr>
          <w:rFonts w:ascii="Arial" w:hAnsi="Arial" w:cs="Arial"/>
          <w:lang w:val="en-US"/>
        </w:rPr>
        <w:t>.</w:t>
      </w:r>
    </w:p>
    <w:p w:rsidR="00713CCD" w:rsidRPr="00521D61" w:rsidRDefault="00713CCD">
      <w:pPr>
        <w:spacing w:after="0" w:line="480" w:lineRule="auto"/>
        <w:jc w:val="both"/>
        <w:rPr>
          <w:rFonts w:ascii="Arial" w:hAnsi="Arial" w:cs="Arial"/>
          <w:lang w:val="en-US"/>
        </w:rPr>
      </w:pPr>
    </w:p>
    <w:p w:rsidR="00713CCD" w:rsidRPr="00521D61" w:rsidRDefault="00713CCD">
      <w:pPr>
        <w:spacing w:after="0" w:line="480" w:lineRule="auto"/>
        <w:jc w:val="both"/>
        <w:rPr>
          <w:rFonts w:ascii="Arial" w:hAnsi="Arial" w:cs="Arial"/>
          <w:lang w:val="en-US"/>
        </w:rPr>
      </w:pPr>
    </w:p>
    <w:sectPr w:rsidR="00713CCD" w:rsidRPr="00521D61">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42793"/>
    <w:multiLevelType w:val="hybridMultilevel"/>
    <w:tmpl w:val="6BC849F6"/>
    <w:lvl w:ilvl="0" w:tplc="C5EA30E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D76EB"/>
    <w:multiLevelType w:val="multilevel"/>
    <w:tmpl w:val="B7C80D7C"/>
    <w:lvl w:ilvl="0">
      <w:start w:val="5"/>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9CC3A5D"/>
    <w:multiLevelType w:val="multilevel"/>
    <w:tmpl w:val="85966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C724E6B"/>
    <w:multiLevelType w:val="hybridMultilevel"/>
    <w:tmpl w:val="B00EB668"/>
    <w:lvl w:ilvl="0" w:tplc="E9F29A66">
      <w:start w:val="1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595B19"/>
    <w:multiLevelType w:val="multilevel"/>
    <w:tmpl w:val="124439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3D"/>
    <w:rsid w:val="000056DE"/>
    <w:rsid w:val="000148F8"/>
    <w:rsid w:val="00051992"/>
    <w:rsid w:val="0007600D"/>
    <w:rsid w:val="000D000D"/>
    <w:rsid w:val="000E7528"/>
    <w:rsid w:val="00131A51"/>
    <w:rsid w:val="0015248F"/>
    <w:rsid w:val="001560CE"/>
    <w:rsid w:val="001958F3"/>
    <w:rsid w:val="001B0232"/>
    <w:rsid w:val="001D752D"/>
    <w:rsid w:val="001F6F6D"/>
    <w:rsid w:val="00257BCA"/>
    <w:rsid w:val="00262A65"/>
    <w:rsid w:val="002656CC"/>
    <w:rsid w:val="002815F1"/>
    <w:rsid w:val="002A3471"/>
    <w:rsid w:val="002B71D2"/>
    <w:rsid w:val="002C14B0"/>
    <w:rsid w:val="002D0CB9"/>
    <w:rsid w:val="002E6D9C"/>
    <w:rsid w:val="003969B8"/>
    <w:rsid w:val="003A24E8"/>
    <w:rsid w:val="003C0C9D"/>
    <w:rsid w:val="00416219"/>
    <w:rsid w:val="00435C9C"/>
    <w:rsid w:val="00441B69"/>
    <w:rsid w:val="0047747A"/>
    <w:rsid w:val="00480ACE"/>
    <w:rsid w:val="004A616F"/>
    <w:rsid w:val="004C11D7"/>
    <w:rsid w:val="004C54E5"/>
    <w:rsid w:val="004D4317"/>
    <w:rsid w:val="004E3B37"/>
    <w:rsid w:val="005171AE"/>
    <w:rsid w:val="00521D61"/>
    <w:rsid w:val="0052699E"/>
    <w:rsid w:val="0054212D"/>
    <w:rsid w:val="00545976"/>
    <w:rsid w:val="00591074"/>
    <w:rsid w:val="005A6E3D"/>
    <w:rsid w:val="005D05F2"/>
    <w:rsid w:val="005F3F1D"/>
    <w:rsid w:val="006266D5"/>
    <w:rsid w:val="00630664"/>
    <w:rsid w:val="00645CBA"/>
    <w:rsid w:val="006574AC"/>
    <w:rsid w:val="00676F54"/>
    <w:rsid w:val="006F2AEF"/>
    <w:rsid w:val="007064EF"/>
    <w:rsid w:val="00713CCD"/>
    <w:rsid w:val="007526AA"/>
    <w:rsid w:val="00765FE8"/>
    <w:rsid w:val="007811FB"/>
    <w:rsid w:val="007D4733"/>
    <w:rsid w:val="007F656F"/>
    <w:rsid w:val="00807607"/>
    <w:rsid w:val="0082024C"/>
    <w:rsid w:val="00822DBB"/>
    <w:rsid w:val="00835477"/>
    <w:rsid w:val="00867955"/>
    <w:rsid w:val="008737E9"/>
    <w:rsid w:val="00880169"/>
    <w:rsid w:val="008A1E29"/>
    <w:rsid w:val="008E2EBA"/>
    <w:rsid w:val="008F02D3"/>
    <w:rsid w:val="00905EB8"/>
    <w:rsid w:val="00915552"/>
    <w:rsid w:val="00917116"/>
    <w:rsid w:val="009540C5"/>
    <w:rsid w:val="00977F06"/>
    <w:rsid w:val="009807FB"/>
    <w:rsid w:val="009B00B1"/>
    <w:rsid w:val="009B782F"/>
    <w:rsid w:val="009F3528"/>
    <w:rsid w:val="00A01CE5"/>
    <w:rsid w:val="00A23C4E"/>
    <w:rsid w:val="00A40800"/>
    <w:rsid w:val="00A83327"/>
    <w:rsid w:val="00A85EE7"/>
    <w:rsid w:val="00A93818"/>
    <w:rsid w:val="00AA1407"/>
    <w:rsid w:val="00B03F54"/>
    <w:rsid w:val="00B03FFD"/>
    <w:rsid w:val="00B42808"/>
    <w:rsid w:val="00B92FDF"/>
    <w:rsid w:val="00B945AA"/>
    <w:rsid w:val="00BA01FA"/>
    <w:rsid w:val="00BB68E5"/>
    <w:rsid w:val="00BB7322"/>
    <w:rsid w:val="00BD1F76"/>
    <w:rsid w:val="00BD583D"/>
    <w:rsid w:val="00C12AE4"/>
    <w:rsid w:val="00C32347"/>
    <w:rsid w:val="00C345C0"/>
    <w:rsid w:val="00C76EAF"/>
    <w:rsid w:val="00C81CC7"/>
    <w:rsid w:val="00CA094F"/>
    <w:rsid w:val="00CA0D7D"/>
    <w:rsid w:val="00D35709"/>
    <w:rsid w:val="00D645A3"/>
    <w:rsid w:val="00D97581"/>
    <w:rsid w:val="00DD152F"/>
    <w:rsid w:val="00DD1717"/>
    <w:rsid w:val="00E106C0"/>
    <w:rsid w:val="00EB176B"/>
    <w:rsid w:val="00EE7055"/>
    <w:rsid w:val="00EE7A0D"/>
    <w:rsid w:val="00EF08EB"/>
    <w:rsid w:val="00F33326"/>
    <w:rsid w:val="00F61FCB"/>
    <w:rsid w:val="00FA06B2"/>
    <w:rsid w:val="00FB3838"/>
    <w:rsid w:val="00FD1BA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qFormat/>
    <w:rsid w:val="00BA308C"/>
    <w:pPr>
      <w:keepNext/>
      <w:spacing w:after="0" w:line="360" w:lineRule="auto"/>
      <w:ind w:firstLine="284"/>
      <w:jc w:val="both"/>
      <w:outlineLvl w:val="0"/>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E501C"/>
    <w:rPr>
      <w:rFonts w:ascii="Tahoma" w:hAnsi="Tahoma" w:cs="Tahoma"/>
      <w:sz w:val="16"/>
      <w:szCs w:val="16"/>
    </w:rPr>
  </w:style>
  <w:style w:type="character" w:customStyle="1" w:styleId="Heading1Char">
    <w:name w:val="Heading 1 Char"/>
    <w:basedOn w:val="DefaultParagraphFont"/>
    <w:link w:val="Heading1"/>
    <w:qFormat/>
    <w:rsid w:val="00BA308C"/>
    <w:rPr>
      <w:rFonts w:ascii="Arial" w:eastAsia="Times New Roman" w:hAnsi="Arial" w:cs="Times New Roman"/>
      <w:b/>
      <w:bCs/>
      <w:sz w:val="24"/>
      <w:szCs w:val="24"/>
      <w:lang w:eastAsia="pt-BR"/>
    </w:rPr>
  </w:style>
  <w:style w:type="character" w:customStyle="1" w:styleId="RecuodecorpodetextoChar">
    <w:name w:val="Recuo de corpo de texto Char"/>
    <w:basedOn w:val="DefaultParagraphFont"/>
    <w:link w:val="Corpodetextorecuado"/>
    <w:qFormat/>
    <w:rsid w:val="00BA308C"/>
    <w:rPr>
      <w:rFonts w:ascii="Arial" w:eastAsia="Times New Roman" w:hAnsi="Arial" w:cs="Times New Roman"/>
      <w:sz w:val="24"/>
      <w:szCs w:val="24"/>
      <w:lang w:val="en-US" w:eastAsia="pt-BR"/>
    </w:rPr>
  </w:style>
  <w:style w:type="character" w:customStyle="1" w:styleId="LinkdaInternet">
    <w:name w:val="Link da Internet"/>
    <w:basedOn w:val="DefaultParagraphFont"/>
    <w:rsid w:val="00E24F35"/>
    <w:rPr>
      <w:color w:val="0000FF"/>
      <w:u w:val="single"/>
    </w:rPr>
  </w:style>
  <w:style w:type="character" w:customStyle="1" w:styleId="HeaderChar">
    <w:name w:val="Header Char"/>
    <w:basedOn w:val="DefaultParagraphFont"/>
    <w:link w:val="Header"/>
    <w:uiPriority w:val="99"/>
    <w:semiHidden/>
    <w:qFormat/>
    <w:rsid w:val="00354390"/>
  </w:style>
  <w:style w:type="character" w:customStyle="1" w:styleId="FooterChar">
    <w:name w:val="Footer Char"/>
    <w:basedOn w:val="DefaultParagraphFont"/>
    <w:link w:val="Footer"/>
    <w:uiPriority w:val="99"/>
    <w:semiHidden/>
    <w:qFormat/>
    <w:rsid w:val="00354390"/>
  </w:style>
  <w:style w:type="character" w:customStyle="1" w:styleId="apple-converted-space">
    <w:name w:val="apple-converted-space"/>
    <w:basedOn w:val="DefaultParagraphFont"/>
    <w:qFormat/>
    <w:rsid w:val="00D23CC9"/>
  </w:style>
  <w:style w:type="character" w:customStyle="1" w:styleId="jrnl">
    <w:name w:val="jrnl"/>
    <w:basedOn w:val="DefaultParagraphFont"/>
    <w:qFormat/>
    <w:rsid w:val="00D23CC9"/>
  </w:style>
  <w:style w:type="character" w:customStyle="1" w:styleId="ListLabel1">
    <w:name w:val="ListLabel 1"/>
    <w:qFormat/>
    <w:rPr>
      <w:rFonts w:ascii="Arial" w:hAnsi="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Title">
    <w:name w:val="Title"/>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BalloonText">
    <w:name w:val="Balloon Text"/>
    <w:basedOn w:val="Normal"/>
    <w:link w:val="BalloonTextChar"/>
    <w:uiPriority w:val="99"/>
    <w:semiHidden/>
    <w:unhideWhenUsed/>
    <w:qFormat/>
    <w:rsid w:val="003E501C"/>
    <w:pPr>
      <w:spacing w:after="0" w:line="240" w:lineRule="auto"/>
    </w:pPr>
    <w:rPr>
      <w:rFonts w:ascii="Tahoma" w:hAnsi="Tahoma" w:cs="Tahoma"/>
      <w:sz w:val="16"/>
      <w:szCs w:val="16"/>
    </w:rPr>
  </w:style>
  <w:style w:type="paragraph" w:customStyle="1" w:styleId="Corpodetextorecuado">
    <w:name w:val="Corpo de texto recuado"/>
    <w:basedOn w:val="Normal"/>
    <w:link w:val="RecuodecorpodetextoChar"/>
    <w:rsid w:val="00BA308C"/>
    <w:pPr>
      <w:spacing w:after="0" w:line="360" w:lineRule="auto"/>
      <w:ind w:firstLine="284"/>
      <w:jc w:val="both"/>
    </w:pPr>
    <w:rPr>
      <w:rFonts w:ascii="Arial" w:eastAsia="Times New Roman" w:hAnsi="Arial" w:cs="Times New Roman"/>
      <w:sz w:val="24"/>
      <w:szCs w:val="24"/>
      <w:lang w:val="en-US"/>
    </w:rPr>
  </w:style>
  <w:style w:type="paragraph" w:styleId="Header">
    <w:name w:val="header"/>
    <w:basedOn w:val="Normal"/>
    <w:link w:val="HeaderChar"/>
    <w:uiPriority w:val="99"/>
    <w:semiHidden/>
    <w:unhideWhenUsed/>
    <w:rsid w:val="00354390"/>
    <w:pPr>
      <w:tabs>
        <w:tab w:val="center" w:pos="4252"/>
        <w:tab w:val="right" w:pos="8504"/>
      </w:tabs>
      <w:spacing w:after="0" w:line="240" w:lineRule="auto"/>
    </w:pPr>
  </w:style>
  <w:style w:type="paragraph" w:styleId="Footer">
    <w:name w:val="footer"/>
    <w:basedOn w:val="Normal"/>
    <w:link w:val="FooterChar"/>
    <w:uiPriority w:val="99"/>
    <w:semiHidden/>
    <w:unhideWhenUsed/>
    <w:rsid w:val="00354390"/>
    <w:pPr>
      <w:tabs>
        <w:tab w:val="center" w:pos="4252"/>
        <w:tab w:val="right" w:pos="8504"/>
      </w:tabs>
      <w:spacing w:after="0" w:line="240" w:lineRule="auto"/>
    </w:pPr>
  </w:style>
  <w:style w:type="paragraph" w:customStyle="1" w:styleId="Ttulo1">
    <w:name w:val="Título1"/>
    <w:basedOn w:val="Normal"/>
    <w:qFormat/>
    <w:rsid w:val="00D23CC9"/>
    <w:pPr>
      <w:spacing w:beforeAutospacing="1" w:afterAutospacing="1" w:line="240" w:lineRule="auto"/>
    </w:pPr>
    <w:rPr>
      <w:rFonts w:ascii="Times New Roman" w:eastAsia="Times New Roman" w:hAnsi="Times New Roman" w:cs="Times New Roman"/>
      <w:sz w:val="24"/>
      <w:szCs w:val="24"/>
    </w:rPr>
  </w:style>
  <w:style w:type="paragraph" w:customStyle="1" w:styleId="desc">
    <w:name w:val="desc"/>
    <w:basedOn w:val="Normal"/>
    <w:qFormat/>
    <w:rsid w:val="00D23CC9"/>
    <w:pPr>
      <w:spacing w:beforeAutospacing="1" w:afterAutospacing="1" w:line="240" w:lineRule="auto"/>
    </w:pPr>
    <w:rPr>
      <w:rFonts w:ascii="Times New Roman" w:eastAsia="Times New Roman" w:hAnsi="Times New Roman" w:cs="Times New Roman"/>
      <w:sz w:val="24"/>
      <w:szCs w:val="24"/>
    </w:rPr>
  </w:style>
  <w:style w:type="paragraph" w:customStyle="1" w:styleId="details">
    <w:name w:val="details"/>
    <w:basedOn w:val="Normal"/>
    <w:qFormat/>
    <w:rsid w:val="00D23CC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00E7"/>
    <w:pPr>
      <w:ind w:left="720"/>
      <w:contextualSpacing/>
    </w:pPr>
  </w:style>
  <w:style w:type="table" w:styleId="TableGrid">
    <w:name w:val="Table Grid"/>
    <w:basedOn w:val="TableNormal"/>
    <w:uiPriority w:val="39"/>
    <w:rsid w:val="0002379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TableNormal"/>
    <w:next w:val="TableGrid"/>
    <w:uiPriority w:val="59"/>
    <w:rsid w:val="00FD1BA6"/>
    <w:rPr>
      <w:kern w:val="2"/>
      <w:sz w:val="21"/>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nabsatz1">
    <w:name w:val="Listenabsatz1"/>
    <w:basedOn w:val="Normal"/>
    <w:rsid w:val="000148F8"/>
    <w:pPr>
      <w:suppressAutoHyphens/>
      <w:spacing w:after="0" w:line="240" w:lineRule="auto"/>
      <w:ind w:left="720"/>
    </w:pPr>
    <w:rPr>
      <w:rFonts w:ascii="Cambria" w:eastAsia="SimSun" w:hAnsi="Cambria" w:cs="Cambria"/>
      <w:kern w:val="1"/>
      <w:sz w:val="24"/>
      <w:szCs w:val="24"/>
      <w:lang w:val="de-DE" w:eastAsia="ar-SA"/>
    </w:rPr>
  </w:style>
  <w:style w:type="paragraph" w:customStyle="1" w:styleId="MTDisplayEquation">
    <w:name w:val="MTDisplayEquation"/>
    <w:basedOn w:val="Normal"/>
    <w:next w:val="Normal"/>
    <w:link w:val="MTDisplayEquationChar"/>
    <w:rsid w:val="00FA06B2"/>
    <w:pPr>
      <w:tabs>
        <w:tab w:val="center" w:pos="4240"/>
        <w:tab w:val="right" w:pos="8500"/>
      </w:tabs>
      <w:spacing w:after="0" w:line="480" w:lineRule="auto"/>
      <w:ind w:firstLine="708"/>
      <w:jc w:val="both"/>
    </w:pPr>
    <w:rPr>
      <w:rFonts w:ascii="Arial" w:hAnsi="Arial" w:cs="Arial"/>
      <w:lang w:val="en-US"/>
    </w:rPr>
  </w:style>
  <w:style w:type="character" w:customStyle="1" w:styleId="MTDisplayEquationChar">
    <w:name w:val="MTDisplayEquation Char"/>
    <w:basedOn w:val="DefaultParagraphFont"/>
    <w:link w:val="MTDisplayEquation"/>
    <w:rsid w:val="00FA06B2"/>
    <w:rPr>
      <w:rFonts w:ascii="Arial" w:hAnsi="Arial"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qFormat/>
    <w:rsid w:val="00BA308C"/>
    <w:pPr>
      <w:keepNext/>
      <w:spacing w:after="0" w:line="360" w:lineRule="auto"/>
      <w:ind w:firstLine="284"/>
      <w:jc w:val="both"/>
      <w:outlineLvl w:val="0"/>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E501C"/>
    <w:rPr>
      <w:rFonts w:ascii="Tahoma" w:hAnsi="Tahoma" w:cs="Tahoma"/>
      <w:sz w:val="16"/>
      <w:szCs w:val="16"/>
    </w:rPr>
  </w:style>
  <w:style w:type="character" w:customStyle="1" w:styleId="Heading1Char">
    <w:name w:val="Heading 1 Char"/>
    <w:basedOn w:val="DefaultParagraphFont"/>
    <w:link w:val="Heading1"/>
    <w:qFormat/>
    <w:rsid w:val="00BA308C"/>
    <w:rPr>
      <w:rFonts w:ascii="Arial" w:eastAsia="Times New Roman" w:hAnsi="Arial" w:cs="Times New Roman"/>
      <w:b/>
      <w:bCs/>
      <w:sz w:val="24"/>
      <w:szCs w:val="24"/>
      <w:lang w:eastAsia="pt-BR"/>
    </w:rPr>
  </w:style>
  <w:style w:type="character" w:customStyle="1" w:styleId="RecuodecorpodetextoChar">
    <w:name w:val="Recuo de corpo de texto Char"/>
    <w:basedOn w:val="DefaultParagraphFont"/>
    <w:link w:val="Corpodetextorecuado"/>
    <w:qFormat/>
    <w:rsid w:val="00BA308C"/>
    <w:rPr>
      <w:rFonts w:ascii="Arial" w:eastAsia="Times New Roman" w:hAnsi="Arial" w:cs="Times New Roman"/>
      <w:sz w:val="24"/>
      <w:szCs w:val="24"/>
      <w:lang w:val="en-US" w:eastAsia="pt-BR"/>
    </w:rPr>
  </w:style>
  <w:style w:type="character" w:customStyle="1" w:styleId="LinkdaInternet">
    <w:name w:val="Link da Internet"/>
    <w:basedOn w:val="DefaultParagraphFont"/>
    <w:rsid w:val="00E24F35"/>
    <w:rPr>
      <w:color w:val="0000FF"/>
      <w:u w:val="single"/>
    </w:rPr>
  </w:style>
  <w:style w:type="character" w:customStyle="1" w:styleId="HeaderChar">
    <w:name w:val="Header Char"/>
    <w:basedOn w:val="DefaultParagraphFont"/>
    <w:link w:val="Header"/>
    <w:uiPriority w:val="99"/>
    <w:semiHidden/>
    <w:qFormat/>
    <w:rsid w:val="00354390"/>
  </w:style>
  <w:style w:type="character" w:customStyle="1" w:styleId="FooterChar">
    <w:name w:val="Footer Char"/>
    <w:basedOn w:val="DefaultParagraphFont"/>
    <w:link w:val="Footer"/>
    <w:uiPriority w:val="99"/>
    <w:semiHidden/>
    <w:qFormat/>
    <w:rsid w:val="00354390"/>
  </w:style>
  <w:style w:type="character" w:customStyle="1" w:styleId="apple-converted-space">
    <w:name w:val="apple-converted-space"/>
    <w:basedOn w:val="DefaultParagraphFont"/>
    <w:qFormat/>
    <w:rsid w:val="00D23CC9"/>
  </w:style>
  <w:style w:type="character" w:customStyle="1" w:styleId="jrnl">
    <w:name w:val="jrnl"/>
    <w:basedOn w:val="DefaultParagraphFont"/>
    <w:qFormat/>
    <w:rsid w:val="00D23CC9"/>
  </w:style>
  <w:style w:type="character" w:customStyle="1" w:styleId="ListLabel1">
    <w:name w:val="ListLabel 1"/>
    <w:qFormat/>
    <w:rPr>
      <w:rFonts w:ascii="Arial" w:hAnsi="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Title">
    <w:name w:val="Title"/>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BalloonText">
    <w:name w:val="Balloon Text"/>
    <w:basedOn w:val="Normal"/>
    <w:link w:val="BalloonTextChar"/>
    <w:uiPriority w:val="99"/>
    <w:semiHidden/>
    <w:unhideWhenUsed/>
    <w:qFormat/>
    <w:rsid w:val="003E501C"/>
    <w:pPr>
      <w:spacing w:after="0" w:line="240" w:lineRule="auto"/>
    </w:pPr>
    <w:rPr>
      <w:rFonts w:ascii="Tahoma" w:hAnsi="Tahoma" w:cs="Tahoma"/>
      <w:sz w:val="16"/>
      <w:szCs w:val="16"/>
    </w:rPr>
  </w:style>
  <w:style w:type="paragraph" w:customStyle="1" w:styleId="Corpodetextorecuado">
    <w:name w:val="Corpo de texto recuado"/>
    <w:basedOn w:val="Normal"/>
    <w:link w:val="RecuodecorpodetextoChar"/>
    <w:rsid w:val="00BA308C"/>
    <w:pPr>
      <w:spacing w:after="0" w:line="360" w:lineRule="auto"/>
      <w:ind w:firstLine="284"/>
      <w:jc w:val="both"/>
    </w:pPr>
    <w:rPr>
      <w:rFonts w:ascii="Arial" w:eastAsia="Times New Roman" w:hAnsi="Arial" w:cs="Times New Roman"/>
      <w:sz w:val="24"/>
      <w:szCs w:val="24"/>
      <w:lang w:val="en-US"/>
    </w:rPr>
  </w:style>
  <w:style w:type="paragraph" w:styleId="Header">
    <w:name w:val="header"/>
    <w:basedOn w:val="Normal"/>
    <w:link w:val="HeaderChar"/>
    <w:uiPriority w:val="99"/>
    <w:semiHidden/>
    <w:unhideWhenUsed/>
    <w:rsid w:val="00354390"/>
    <w:pPr>
      <w:tabs>
        <w:tab w:val="center" w:pos="4252"/>
        <w:tab w:val="right" w:pos="8504"/>
      </w:tabs>
      <w:spacing w:after="0" w:line="240" w:lineRule="auto"/>
    </w:pPr>
  </w:style>
  <w:style w:type="paragraph" w:styleId="Footer">
    <w:name w:val="footer"/>
    <w:basedOn w:val="Normal"/>
    <w:link w:val="FooterChar"/>
    <w:uiPriority w:val="99"/>
    <w:semiHidden/>
    <w:unhideWhenUsed/>
    <w:rsid w:val="00354390"/>
    <w:pPr>
      <w:tabs>
        <w:tab w:val="center" w:pos="4252"/>
        <w:tab w:val="right" w:pos="8504"/>
      </w:tabs>
      <w:spacing w:after="0" w:line="240" w:lineRule="auto"/>
    </w:pPr>
  </w:style>
  <w:style w:type="paragraph" w:customStyle="1" w:styleId="Ttulo1">
    <w:name w:val="Título1"/>
    <w:basedOn w:val="Normal"/>
    <w:qFormat/>
    <w:rsid w:val="00D23CC9"/>
    <w:pPr>
      <w:spacing w:beforeAutospacing="1" w:afterAutospacing="1" w:line="240" w:lineRule="auto"/>
    </w:pPr>
    <w:rPr>
      <w:rFonts w:ascii="Times New Roman" w:eastAsia="Times New Roman" w:hAnsi="Times New Roman" w:cs="Times New Roman"/>
      <w:sz w:val="24"/>
      <w:szCs w:val="24"/>
    </w:rPr>
  </w:style>
  <w:style w:type="paragraph" w:customStyle="1" w:styleId="desc">
    <w:name w:val="desc"/>
    <w:basedOn w:val="Normal"/>
    <w:qFormat/>
    <w:rsid w:val="00D23CC9"/>
    <w:pPr>
      <w:spacing w:beforeAutospacing="1" w:afterAutospacing="1" w:line="240" w:lineRule="auto"/>
    </w:pPr>
    <w:rPr>
      <w:rFonts w:ascii="Times New Roman" w:eastAsia="Times New Roman" w:hAnsi="Times New Roman" w:cs="Times New Roman"/>
      <w:sz w:val="24"/>
      <w:szCs w:val="24"/>
    </w:rPr>
  </w:style>
  <w:style w:type="paragraph" w:customStyle="1" w:styleId="details">
    <w:name w:val="details"/>
    <w:basedOn w:val="Normal"/>
    <w:qFormat/>
    <w:rsid w:val="00D23CC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00E7"/>
    <w:pPr>
      <w:ind w:left="720"/>
      <w:contextualSpacing/>
    </w:pPr>
  </w:style>
  <w:style w:type="table" w:styleId="TableGrid">
    <w:name w:val="Table Grid"/>
    <w:basedOn w:val="TableNormal"/>
    <w:uiPriority w:val="39"/>
    <w:rsid w:val="0002379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TableNormal"/>
    <w:next w:val="TableGrid"/>
    <w:uiPriority w:val="59"/>
    <w:rsid w:val="00FD1BA6"/>
    <w:rPr>
      <w:kern w:val="2"/>
      <w:sz w:val="21"/>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nabsatz1">
    <w:name w:val="Listenabsatz1"/>
    <w:basedOn w:val="Normal"/>
    <w:rsid w:val="000148F8"/>
    <w:pPr>
      <w:suppressAutoHyphens/>
      <w:spacing w:after="0" w:line="240" w:lineRule="auto"/>
      <w:ind w:left="720"/>
    </w:pPr>
    <w:rPr>
      <w:rFonts w:ascii="Cambria" w:eastAsia="SimSun" w:hAnsi="Cambria" w:cs="Cambria"/>
      <w:kern w:val="1"/>
      <w:sz w:val="24"/>
      <w:szCs w:val="24"/>
      <w:lang w:val="de-DE" w:eastAsia="ar-SA"/>
    </w:rPr>
  </w:style>
  <w:style w:type="paragraph" w:customStyle="1" w:styleId="MTDisplayEquation">
    <w:name w:val="MTDisplayEquation"/>
    <w:basedOn w:val="Normal"/>
    <w:next w:val="Normal"/>
    <w:link w:val="MTDisplayEquationChar"/>
    <w:rsid w:val="00FA06B2"/>
    <w:pPr>
      <w:tabs>
        <w:tab w:val="center" w:pos="4240"/>
        <w:tab w:val="right" w:pos="8500"/>
      </w:tabs>
      <w:spacing w:after="0" w:line="480" w:lineRule="auto"/>
      <w:ind w:firstLine="708"/>
      <w:jc w:val="both"/>
    </w:pPr>
    <w:rPr>
      <w:rFonts w:ascii="Arial" w:hAnsi="Arial" w:cs="Arial"/>
      <w:lang w:val="en-US"/>
    </w:rPr>
  </w:style>
  <w:style w:type="character" w:customStyle="1" w:styleId="MTDisplayEquationChar">
    <w:name w:val="MTDisplayEquation Char"/>
    <w:basedOn w:val="DefaultParagraphFont"/>
    <w:link w:val="MTDisplayEquation"/>
    <w:rsid w:val="00FA06B2"/>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rosikaizer@gmail.com" TargetMode="Externa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EAC99-938F-4C8F-AE5F-02384C88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4877</Words>
  <Characters>27800</Characters>
  <Application>Microsoft Office Word</Application>
  <DocSecurity>0</DocSecurity>
  <Lines>231</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Perin Ltda</Company>
  <LinksUpToDate>false</LinksUpToDate>
  <CharactersWithSpaces>32612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 K. Perin</dc:creator>
  <cp:lastModifiedBy>Babu, K R Ramesh, Crest</cp:lastModifiedBy>
  <cp:revision>95</cp:revision>
  <dcterms:created xsi:type="dcterms:W3CDTF">2018-03-22T11:04:00Z</dcterms:created>
  <dcterms:modified xsi:type="dcterms:W3CDTF">2018-10-26T04:34:00Z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Perin Ltda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TWinEqns">
    <vt:bool>true</vt:bool>
  </property>
</Properties>
</file>