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71A2B"/>
          <w:sz w:val="56"/>
          <w:szCs w:val="56"/>
        </w:rPr>
        <w:t xml:space="preserve">GroundwireAI</w:t>
      </w:r>
    </w:p>
    <w:p>
      <w:pPr>
        <w:spacing w:after="300"/>
        <w:jc w:val="center"/>
      </w:pPr>
      <w:r>
        <w:rPr>
          <w:i/>
          <w:iCs/>
          <w:color w:val="3357E8"/>
          <w:sz w:val="22"/>
          <w:szCs w:val="22"/>
        </w:rPr>
        <w:t xml:space="preserve">Build. Transform. Scale. Enterprise AI.</w:t>
      </w:r>
    </w:p>
    <w:p>
      <w:pPr>
        <w:spacing w:after="60"/>
        <w:jc w:val="center"/>
      </w:pPr>
      <w:r>
        <w:rPr>
          <w:b/>
          <w:bCs/>
          <w:color w:val="171A2B"/>
          <w:sz w:val="24"/>
          <w:szCs w:val="24"/>
        </w:rPr>
        <w:t xml:space="preserve">COMPANY DESCRIPTION / BUSINESS PROFILE</w:t>
      </w:r>
    </w:p>
    <w:p>
      <w:pPr>
        <w:spacing w:after="40"/>
        <w:jc w:val="center"/>
      </w:pPr>
      <w:r>
        <w:rPr>
          <w:color w:val="63677C"/>
          <w:sz w:val="20"/>
          <w:szCs w:val="20"/>
        </w:rPr>
        <w:t xml:space="preserve">Prepared to support company incorporation in India</w:t>
      </w:r>
    </w:p>
    <w:p>
      <w:pPr>
        <w:pBdr>
          <w:bottom w:val="single" w:color="D9D9D9" w:sz="6" w:space="12"/>
        </w:pBdr>
        <w:spacing w:after="300"/>
        <w:jc w:val="center"/>
      </w:pPr>
      <w:r>
        <w:rPr>
          <w:i/>
          <w:iCs/>
          <w:color w:val="63677C"/>
          <w:sz w:val="18"/>
          <w:szCs w:val="18"/>
        </w:rPr>
        <w:t xml:space="preserve">Draft — for review with a Company Secretary / Chartered Accountant before filing</w:t>
      </w:r>
    </w:p>
    <w:p>
      <w:pPr>
        <w:pStyle w:val="Heading2"/>
        <w:spacing w:after="120" w:before="260"/>
      </w:pPr>
      <w:r>
        <w:rPr>
          <w:b/>
          <w:bCs/>
          <w:color w:val="171A2B"/>
          <w:sz w:val="24"/>
          <w:szCs w:val="24"/>
        </w:rPr>
        <w:t xml:space="preserve">1. Basic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EBDD" w:val="clear"/>
            <w:tcMar>
              <w:top w:type="dxa" w:w="100"/>
              <w:left w:type="dxa" w:w="120"/>
              <w:bottom w:type="dxa" w:w="100"/>
              <w:right w:type="dxa" w:w="120"/>
            </w:tcMar>
          </w:tcPr>
          <w:p>
            <w:r>
              <w:rPr>
                <w:b/>
                <w:bCs/>
                <w:color w:val="171A2B"/>
                <w:sz w:val="20"/>
                <w:szCs w:val="20"/>
              </w:rPr>
              <w:t xml:space="preserve">Proposed Company Name</w:t>
            </w:r>
          </w:p>
        </w:tc>
        <w:tc>
          <w:tcPr>
            <w:tcW w:type="dxa" w:w="6300"/>
            <w:tcMar>
              <w:top w:type="dxa" w:w="100"/>
              <w:left w:type="dxa" w:w="120"/>
              <w:bottom w:type="dxa" w:w="100"/>
              <w:right w:type="dxa" w:w="120"/>
            </w:tcMar>
          </w:tcPr>
          <w:p>
            <w:r>
              <w:rPr>
                <w:color w:val="222222"/>
                <w:sz w:val="20"/>
                <w:szCs w:val="20"/>
              </w:rPr>
              <w:t xml:space="preserve">GroundwireAI Private Limited *</w:t>
            </w:r>
          </w:p>
        </w:tc>
      </w:tr>
      <w:tr>
        <w:tc>
          <w:tcPr>
            <w:tcW w:type="dxa" w:w="2700"/>
            <w:shd w:fill="F1EBDD" w:val="clear"/>
            <w:tcMar>
              <w:top w:type="dxa" w:w="100"/>
              <w:left w:type="dxa" w:w="120"/>
              <w:bottom w:type="dxa" w:w="100"/>
              <w:right w:type="dxa" w:w="120"/>
            </w:tcMar>
          </w:tcPr>
          <w:p>
            <w:r>
              <w:rPr>
                <w:b/>
                <w:bCs/>
                <w:color w:val="171A2B"/>
                <w:sz w:val="20"/>
                <w:szCs w:val="20"/>
              </w:rPr>
              <w:t xml:space="preserve">Proposed Legal Structure</w:t>
            </w:r>
          </w:p>
        </w:tc>
        <w:tc>
          <w:tcPr>
            <w:tcW w:type="dxa" w:w="6300"/>
            <w:tcMar>
              <w:top w:type="dxa" w:w="100"/>
              <w:left w:type="dxa" w:w="120"/>
              <w:bottom w:type="dxa" w:w="100"/>
              <w:right w:type="dxa" w:w="120"/>
            </w:tcMar>
          </w:tcPr>
          <w:p>
            <w:r>
              <w:rPr>
                <w:color w:val="222222"/>
                <w:sz w:val="20"/>
                <w:szCs w:val="20"/>
              </w:rPr>
              <w:t xml:space="preserve">Private Limited Company</w:t>
            </w:r>
          </w:p>
        </w:tc>
      </w:tr>
      <w:tr>
        <w:tc>
          <w:tcPr>
            <w:tcW w:type="dxa" w:w="2700"/>
            <w:shd w:fill="F1EBDD" w:val="clear"/>
            <w:tcMar>
              <w:top w:type="dxa" w:w="100"/>
              <w:left w:type="dxa" w:w="120"/>
              <w:bottom w:type="dxa" w:w="100"/>
              <w:right w:type="dxa" w:w="120"/>
            </w:tcMar>
          </w:tcPr>
          <w:p>
            <w:r>
              <w:rPr>
                <w:b/>
                <w:bCs/>
                <w:color w:val="171A2B"/>
                <w:sz w:val="20"/>
                <w:szCs w:val="20"/>
              </w:rPr>
              <w:t xml:space="preserve">Website</w:t>
            </w:r>
          </w:p>
        </w:tc>
        <w:tc>
          <w:tcPr>
            <w:tcW w:type="dxa" w:w="6300"/>
            <w:tcMar>
              <w:top w:type="dxa" w:w="100"/>
              <w:left w:type="dxa" w:w="120"/>
              <w:bottom w:type="dxa" w:w="100"/>
              <w:right w:type="dxa" w:w="120"/>
            </w:tcMar>
          </w:tcPr>
          <w:p>
            <w:r>
              <w:rPr>
                <w:color w:val="222222"/>
                <w:sz w:val="20"/>
                <w:szCs w:val="20"/>
              </w:rPr>
              <w:t xml:space="preserve">https://groundwireai.vercel.app</w:t>
            </w:r>
          </w:p>
        </w:tc>
      </w:tr>
      <w:tr>
        <w:tc>
          <w:tcPr>
            <w:tcW w:type="dxa" w:w="2700"/>
            <w:shd w:fill="F1EBDD" w:val="clear"/>
            <w:tcMar>
              <w:top w:type="dxa" w:w="100"/>
              <w:left w:type="dxa" w:w="120"/>
              <w:bottom w:type="dxa" w:w="100"/>
              <w:right w:type="dxa" w:w="120"/>
            </w:tcMar>
          </w:tcPr>
          <w:p>
            <w:r>
              <w:rPr>
                <w:b/>
                <w:bCs/>
                <w:color w:val="171A2B"/>
                <w:sz w:val="20"/>
                <w:szCs w:val="20"/>
              </w:rPr>
              <w:t xml:space="preserve">Contact Email</w:t>
            </w:r>
          </w:p>
        </w:tc>
        <w:tc>
          <w:tcPr>
            <w:tcW w:type="dxa" w:w="6300"/>
            <w:tcMar>
              <w:top w:type="dxa" w:w="100"/>
              <w:left w:type="dxa" w:w="120"/>
              <w:bottom w:type="dxa" w:w="100"/>
              <w:right w:type="dxa" w:w="120"/>
            </w:tcMar>
          </w:tcPr>
          <w:p>
            <w:r>
              <w:rPr>
                <w:color w:val="222222"/>
                <w:sz w:val="20"/>
                <w:szCs w:val="20"/>
              </w:rPr>
              <w:t xml:space="preserve">avi.amit.collab@gmail.com</w:t>
            </w:r>
          </w:p>
        </w:tc>
      </w:tr>
      <w:tr>
        <w:tc>
          <w:tcPr>
            <w:tcW w:type="dxa" w:w="2700"/>
            <w:shd w:fill="F1EBDD" w:val="clear"/>
            <w:tcMar>
              <w:top w:type="dxa" w:w="100"/>
              <w:left w:type="dxa" w:w="120"/>
              <w:bottom w:type="dxa" w:w="100"/>
              <w:right w:type="dxa" w:w="120"/>
            </w:tcMar>
          </w:tcPr>
          <w:p>
            <w:r>
              <w:rPr>
                <w:b/>
                <w:bCs/>
                <w:color w:val="171A2B"/>
                <w:sz w:val="20"/>
                <w:szCs w:val="20"/>
              </w:rPr>
              <w:t xml:space="preserve">Date of Document</w:t>
            </w:r>
          </w:p>
        </w:tc>
        <w:tc>
          <w:tcPr>
            <w:tcW w:type="dxa" w:w="6300"/>
            <w:tcMar>
              <w:top w:type="dxa" w:w="100"/>
              <w:left w:type="dxa" w:w="120"/>
              <w:bottom w:type="dxa" w:w="100"/>
              <w:right w:type="dxa" w:w="120"/>
            </w:tcMar>
          </w:tcPr>
          <w:p>
            <w:r>
              <w:rPr>
                <w:color w:val="222222"/>
                <w:sz w:val="20"/>
                <w:szCs w:val="20"/>
              </w:rPr>
              <w:t xml:space="preserve">30 July 2026</w:t>
            </w:r>
          </w:p>
        </w:tc>
      </w:tr>
    </w:tbl>
    <w:p>
      <w:pPr>
        <w:spacing w:after="240" w:before="140"/>
      </w:pPr>
      <w:r>
        <w:rPr>
          <w:i/>
          <w:iCs/>
          <w:color w:val="63677C"/>
          <w:sz w:val="18"/>
          <w:szCs w:val="18"/>
        </w:rPr>
        <w:t xml:space="preserve">* Subject to name availability check and reservation via the MCA RUN / SPICe+ Part A service. See Section 6 below.</w:t>
      </w:r>
    </w:p>
    <w:p>
      <w:pPr>
        <w:pStyle w:val="Heading2"/>
        <w:spacing w:after="120" w:before="260"/>
      </w:pPr>
      <w:r>
        <w:rPr>
          <w:b/>
          <w:bCs/>
          <w:color w:val="171A2B"/>
          <w:sz w:val="24"/>
          <w:szCs w:val="24"/>
        </w:rPr>
        <w:t xml:space="preserve">2. Founders</w:t>
      </w:r>
    </w:p>
    <w:p>
      <w:pPr>
        <w:spacing w:after="120"/>
      </w:pPr>
      <w:r>
        <w:rPr>
          <w:b/>
          <w:bCs/>
          <w:color w:val="171A2B"/>
          <w:sz w:val="22"/>
          <w:szCs w:val="22"/>
        </w:rPr>
        <w:t xml:space="preserve">Amit Kayal — Co-Founder</w:t>
      </w:r>
    </w:p>
    <w:p>
      <w:pPr>
        <w:spacing w:after="160" w:line="300"/>
      </w:pPr>
      <w:r>
        <w:rPr>
          <w:color w:val="222222"/>
          <w:sz w:val="22"/>
          <w:szCs w:val="22"/>
        </w:rPr>
        <w:t xml:space="preserve">Technology leader focused on AI-first, cloud-native enterprise platforms — architecture, agentic AI, and AWS-native systems. Has deployed production AI agent fleets, cut AI operating cost by 30% through model routing, and driven AI-based CPQ automation that cut quote turnaround time by 30% while achieving SOC 2 certification for the platforms he has led. AWS Community Builder and Perplexity Business Fellow.</w:t>
      </w:r>
    </w:p>
    <w:p>
      <w:pPr>
        <w:spacing w:after="120" w:before="100"/>
      </w:pPr>
      <w:r>
        <w:rPr>
          <w:b/>
          <w:bCs/>
          <w:color w:val="171A2B"/>
          <w:sz w:val="22"/>
          <w:szCs w:val="22"/>
        </w:rPr>
        <w:t xml:space="preserve">Avishek Das — Co-Founder</w:t>
      </w:r>
    </w:p>
    <w:p>
      <w:pPr>
        <w:spacing w:after="160" w:line="300"/>
      </w:pPr>
      <w:r>
        <w:rPr>
          <w:color w:val="222222"/>
          <w:sz w:val="22"/>
          <w:szCs w:val="22"/>
        </w:rPr>
        <w:t xml:space="preserve">QA Architect with 13+ years building test architecture and automation at scale, now focused on quality engineering for LLM-powered products. Built the QA function and a Playwright-based evaluation framework for an AI-native SaaS platform from the ground up — golden datasets, LLM-as-judge scoring, prompt regression gates, and agent trajectory testing.</w:t>
      </w:r>
    </w:p>
    <w:p>
      <w:pPr>
        <w:pStyle w:val="Heading2"/>
        <w:spacing w:after="120" w:before="260"/>
      </w:pPr>
      <w:r>
        <w:rPr>
          <w:b/>
          <w:bCs/>
          <w:color w:val="171A2B"/>
          <w:sz w:val="24"/>
          <w:szCs w:val="24"/>
        </w:rPr>
        <w:t xml:space="preserve">3. Business Overview</w:t>
      </w:r>
    </w:p>
    <w:p>
      <w:pPr>
        <w:spacing w:after="160" w:line="300"/>
      </w:pPr>
      <w:r>
        <w:rPr>
          <w:color w:val="222222"/>
          <w:sz w:val="22"/>
          <w:szCs w:val="22"/>
        </w:rPr>
        <w:t xml:space="preserve">GroundwireAI is an Enterprise AI company. Its mission is to help organizations move beyond AI experimentation into production-grade adoption — training the people who build AI systems, guiding organizations through responsible AI transformation, and building AI products to the same production standards it teaches and consults on.</w:t>
      </w:r>
    </w:p>
    <w:p>
      <w:pPr>
        <w:spacing w:after="160" w:line="300"/>
      </w:pPr>
      <w:r>
        <w:rPr>
          <w:color w:val="222222"/>
          <w:sz w:val="22"/>
          <w:szCs w:val="22"/>
        </w:rPr>
        <w:t xml:space="preserve">The company operates across three business pillars:</w:t>
      </w:r>
    </w:p>
    <w:p>
      <w:pPr>
        <w:pStyle w:val="Heading2"/>
        <w:spacing w:after="120" w:before="260"/>
      </w:pPr>
      <w:r>
        <w:rPr>
          <w:b/>
          <w:bCs/>
          <w:color w:val="171A2B"/>
          <w:sz w:val="24"/>
          <w:szCs w:val="24"/>
        </w:rPr>
        <w:t xml:space="preserve">3.1 Enterprise AI Academy</w:t>
      </w:r>
    </w:p>
    <w:p>
      <w:pPr>
        <w:spacing w:after="160" w:line="300"/>
      </w:pPr>
      <w:r>
        <w:rPr>
          <w:color w:val="222222"/>
          <w:sz w:val="22"/>
          <w:szCs w:val="22"/>
        </w:rPr>
        <w:t xml:space="preserve">A live, cohort-based training program teaching production-first AI engineering. The program runs 12 weeks, covering 14 modules across four phases — Foundations, Building with LLMs, Agentic Systems, and Production &amp; Governance — culminating in a capstone project and certification.</w:t>
      </w:r>
    </w:p>
    <w:p>
      <w:pPr>
        <w:pStyle w:val="Heading2"/>
        <w:spacing w:after="120" w:before="260"/>
      </w:pPr>
      <w:r>
        <w:rPr>
          <w:b/>
          <w:bCs/>
          <w:color w:val="171A2B"/>
          <w:sz w:val="24"/>
          <w:szCs w:val="24"/>
        </w:rPr>
        <w:t xml:space="preserve">3.2 AI Transformation Consulting</w:t>
      </w:r>
    </w:p>
    <w:p>
      <w:pPr>
        <w:spacing w:after="160" w:line="300"/>
      </w:pPr>
      <w:r>
        <w:rPr>
          <w:color w:val="222222"/>
          <w:sz w:val="22"/>
          <w:szCs w:val="22"/>
        </w:rPr>
        <w:t xml:space="preserve">Enterprise consulting services helping organizations adopt AI responsibly, from initial readiness through to governed production deployment:</w:t>
      </w:r>
    </w:p>
    <w:p>
      <w:pPr>
        <w:pStyle w:val="ListParagraph"/>
        <w:numPr>
          <w:ilvl w:val="0"/>
          <w:numId w:val="2"/>
        </w:numPr>
        <w:spacing w:after="100" w:line="280"/>
      </w:pPr>
      <w:r>
        <w:rPr>
          <w:color w:val="222222"/>
          <w:sz w:val="22"/>
          <w:szCs w:val="22"/>
        </w:rPr>
        <w:t xml:space="preserve">AI Readiness Assessment</w:t>
      </w:r>
    </w:p>
    <w:p>
      <w:pPr>
        <w:pStyle w:val="ListParagraph"/>
        <w:numPr>
          <w:ilvl w:val="0"/>
          <w:numId w:val="2"/>
        </w:numPr>
        <w:spacing w:after="100" w:line="280"/>
      </w:pPr>
      <w:r>
        <w:rPr>
          <w:color w:val="222222"/>
          <w:sz w:val="22"/>
          <w:szCs w:val="22"/>
        </w:rPr>
        <w:t xml:space="preserve">AI Governance</w:t>
      </w:r>
    </w:p>
    <w:p>
      <w:pPr>
        <w:pStyle w:val="ListParagraph"/>
        <w:numPr>
          <w:ilvl w:val="0"/>
          <w:numId w:val="2"/>
        </w:numPr>
        <w:spacing w:after="100" w:line="280"/>
      </w:pPr>
      <w:r>
        <w:rPr>
          <w:color w:val="222222"/>
          <w:sz w:val="22"/>
          <w:szCs w:val="22"/>
        </w:rPr>
        <w:t xml:space="preserve">AI Architecture</w:t>
      </w:r>
    </w:p>
    <w:p>
      <w:pPr>
        <w:pStyle w:val="ListParagraph"/>
        <w:numPr>
          <w:ilvl w:val="0"/>
          <w:numId w:val="2"/>
        </w:numPr>
        <w:spacing w:after="100" w:line="280"/>
      </w:pPr>
      <w:r>
        <w:rPr>
          <w:color w:val="222222"/>
          <w:sz w:val="22"/>
          <w:szCs w:val="22"/>
        </w:rPr>
        <w:t xml:space="preserve">AI Center of Excellence</w:t>
      </w:r>
    </w:p>
    <w:p>
      <w:pPr>
        <w:pStyle w:val="ListParagraph"/>
        <w:numPr>
          <w:ilvl w:val="0"/>
          <w:numId w:val="2"/>
        </w:numPr>
        <w:spacing w:after="100" w:line="280"/>
      </w:pPr>
      <w:r>
        <w:rPr>
          <w:color w:val="222222"/>
          <w:sz w:val="22"/>
          <w:szCs w:val="22"/>
        </w:rPr>
        <w:t xml:space="preserve">Production Deployment</w:t>
      </w:r>
    </w:p>
    <w:p>
      <w:pPr>
        <w:pStyle w:val="ListParagraph"/>
        <w:numPr>
          <w:ilvl w:val="0"/>
          <w:numId w:val="2"/>
        </w:numPr>
        <w:spacing w:after="100" w:line="280"/>
      </w:pPr>
      <w:r>
        <w:rPr>
          <w:color w:val="222222"/>
          <w:sz w:val="22"/>
          <w:szCs w:val="22"/>
        </w:rPr>
        <w:t xml:space="preserve">Managed AI Services</w:t>
      </w:r>
    </w:p>
    <w:p>
      <w:pPr>
        <w:pStyle w:val="Heading2"/>
        <w:spacing w:after="120" w:before="260"/>
      </w:pPr>
      <w:r>
        <w:rPr>
          <w:b/>
          <w:bCs/>
          <w:color w:val="171A2B"/>
          <w:sz w:val="24"/>
          <w:szCs w:val="24"/>
        </w:rPr>
        <w:t xml:space="preserve">3.3 AI Products</w:t>
      </w:r>
    </w:p>
    <w:p>
      <w:pPr>
        <w:spacing w:after="160" w:line="300"/>
      </w:pPr>
      <w:r>
        <w:rPr>
          <w:color w:val="222222"/>
          <w:sz w:val="22"/>
          <w:szCs w:val="22"/>
        </w:rPr>
        <w:t xml:space="preserve">Design and development of AI SaaS products and agent platforms, built to the same production standards the company teaches and consults on.</w:t>
      </w:r>
    </w:p>
    <w:p>
      <w:pPr>
        <w:pStyle w:val="Heading2"/>
        <w:spacing w:after="120" w:before="260"/>
      </w:pPr>
      <w:r>
        <w:rPr>
          <w:b/>
          <w:bCs/>
          <w:color w:val="171A2B"/>
          <w:sz w:val="24"/>
          <w:szCs w:val="24"/>
        </w:rPr>
        <w:t xml:space="preserve">4. Objects of the Company (Draft — for legal review)</w:t>
      </w:r>
    </w:p>
    <w:p>
      <w:pPr>
        <w:spacing w:after="160" w:line="300"/>
      </w:pPr>
      <w:r>
        <w:rPr>
          <w:color w:val="222222"/>
          <w:sz w:val="22"/>
          <w:szCs w:val="22"/>
        </w:rPr>
        <w:t xml:space="preserve">The following follows the standard Memorandum of Association convention for describing a company's business — a Main Objects clause, followed by Objects Incidental or Ancillary to those main objects. It is a drafting starting point; final wording should be reviewed and formalized by a Company Secretary or legal counsel in the form required by the Ministry of Corporate Affairs.</w:t>
      </w:r>
    </w:p>
    <w:p>
      <w:pPr>
        <w:spacing w:after="120" w:before="160"/>
      </w:pPr>
      <w:r>
        <w:rPr>
          <w:b/>
          <w:bCs/>
          <w:color w:val="171A2B"/>
          <w:sz w:val="22"/>
          <w:szCs w:val="22"/>
        </w:rPr>
        <w:t xml:space="preserve">(A) Main Objects to be Pursued by the Company on its Incorporation</w:t>
      </w:r>
    </w:p>
    <w:p>
      <w:pPr>
        <w:pStyle w:val="ListParagraph"/>
        <w:numPr>
          <w:ilvl w:val="0"/>
          <w:numId w:val="3"/>
        </w:numPr>
        <w:spacing w:after="140" w:line="280"/>
      </w:pPr>
      <w:r>
        <w:rPr>
          <w:color w:val="222222"/>
          <w:sz w:val="22"/>
          <w:szCs w:val="22"/>
        </w:rPr>
        <w:t xml:space="preserve">To carry on in India and abroad the business of providing training, education, coaching, and certification services in artificial intelligence, machine learning, and related emerging technologies, including the design and delivery of cohort-based and instructor-led programs for individuals, corporates, and educational institutions.</w:t>
      </w:r>
    </w:p>
    <w:p>
      <w:pPr>
        <w:pStyle w:val="ListParagraph"/>
        <w:numPr>
          <w:ilvl w:val="0"/>
          <w:numId w:val="3"/>
        </w:numPr>
        <w:spacing w:after="140" w:line="280"/>
      </w:pPr>
      <w:r>
        <w:rPr>
          <w:color w:val="222222"/>
          <w:sz w:val="22"/>
          <w:szCs w:val="22"/>
        </w:rPr>
        <w:t xml:space="preserve">To carry on the business of providing consulting, advisory, and professional services relating to artificial intelligence strategy, readiness assessment, governance, architecture, and production deployment for enterprises and other organizations.</w:t>
      </w:r>
    </w:p>
    <w:p>
      <w:pPr>
        <w:pStyle w:val="ListParagraph"/>
        <w:numPr>
          <w:ilvl w:val="0"/>
          <w:numId w:val="3"/>
        </w:numPr>
        <w:spacing w:after="140" w:line="280"/>
      </w:pPr>
      <w:r>
        <w:rPr>
          <w:color w:val="222222"/>
          <w:sz w:val="22"/>
          <w:szCs w:val="22"/>
        </w:rPr>
        <w:t xml:space="preserve">To carry on the business of designing, developing, licensing, marketing, and selling computer software, including artificial-intelligence-based Software-as-a-Service (SaaS) products and autonomous agent platforms, and to provide implementation, support, and managed services in connection therewith.</w:t>
      </w:r>
    </w:p>
    <w:p>
      <w:pPr>
        <w:spacing w:after="120" w:before="220"/>
      </w:pPr>
      <w:r>
        <w:rPr>
          <w:b/>
          <w:bCs/>
          <w:color w:val="171A2B"/>
          <w:sz w:val="22"/>
          <w:szCs w:val="22"/>
        </w:rPr>
        <w:t xml:space="preserve">(B) Objects Incidental or Ancillary to the Attainment of the Main Objects</w:t>
      </w:r>
    </w:p>
    <w:p>
      <w:pPr>
        <w:pStyle w:val="ListParagraph"/>
        <w:numPr>
          <w:ilvl w:val="0"/>
          <w:numId w:val="4"/>
        </w:numPr>
        <w:spacing w:after="140" w:line="280"/>
      </w:pPr>
      <w:r>
        <w:rPr>
          <w:color w:val="222222"/>
          <w:sz w:val="22"/>
          <w:szCs w:val="22"/>
        </w:rPr>
        <w:t xml:space="preserve">To enter into arrangements, collaborations, and partnerships with individuals, companies, institutions, or other entities, in India or abroad, in furtherance of the main objects.</w:t>
      </w:r>
    </w:p>
    <w:p>
      <w:pPr>
        <w:pStyle w:val="ListParagraph"/>
        <w:numPr>
          <w:ilvl w:val="0"/>
          <w:numId w:val="4"/>
        </w:numPr>
        <w:spacing w:after="140" w:line="280"/>
      </w:pPr>
      <w:r>
        <w:rPr>
          <w:color w:val="222222"/>
          <w:sz w:val="22"/>
          <w:szCs w:val="22"/>
        </w:rPr>
        <w:t xml:space="preserve">To recruit, train, and employ instructors, consultants, engineers, and other personnel necessary for carrying on the business of the Company.</w:t>
      </w:r>
    </w:p>
    <w:p>
      <w:pPr>
        <w:pStyle w:val="ListParagraph"/>
        <w:numPr>
          <w:ilvl w:val="0"/>
          <w:numId w:val="4"/>
        </w:numPr>
        <w:spacing w:after="140" w:line="280"/>
      </w:pPr>
      <w:r>
        <w:rPr>
          <w:color w:val="222222"/>
          <w:sz w:val="22"/>
          <w:szCs w:val="22"/>
        </w:rPr>
        <w:t xml:space="preserve">To acquire, develop, protect, and exploit intellectual property, including software, curricula, trademarks, and technical know-how, relating to the Company's business.</w:t>
      </w:r>
    </w:p>
    <w:p>
      <w:pPr>
        <w:pStyle w:val="ListParagraph"/>
        <w:numPr>
          <w:ilvl w:val="0"/>
          <w:numId w:val="4"/>
        </w:numPr>
        <w:spacing w:after="140" w:line="280"/>
      </w:pPr>
      <w:r>
        <w:rPr>
          <w:color w:val="222222"/>
          <w:sz w:val="22"/>
          <w:szCs w:val="22"/>
        </w:rPr>
        <w:t xml:space="preserve">To do all such other lawful things as are incidental or conducive to the attainment of the above objects.</w:t>
      </w:r>
    </w:p>
    <w:p>
      <w:pPr>
        <w:pStyle w:val="Heading2"/>
        <w:spacing w:after="120" w:before="260"/>
      </w:pPr>
      <w:r>
        <w:rPr>
          <w:b/>
          <w:bCs/>
          <w:color w:val="171A2B"/>
          <w:sz w:val="24"/>
          <w:szCs w:val="24"/>
        </w:rPr>
        <w:t xml:space="preserve">5. Target Market</w:t>
      </w:r>
    </w:p>
    <w:p>
      <w:pPr>
        <w:spacing w:after="160" w:line="300"/>
      </w:pPr>
      <w:r>
        <w:rPr>
          <w:color w:val="222222"/>
          <w:sz w:val="22"/>
          <w:szCs w:val="22"/>
        </w:rPr>
        <w:t xml:space="preserve">Primary customers are enterprises and institutions seeking to adopt AI capabilities — spanning corporate training buyers (Academy), enterprise technology and business leadership (Consulting), and organizations seeking AI-based software solutions (Products). The company's initial focus is India, with the underlying content, technology stack, and delivery model designed to extend to international clients.</w:t>
      </w:r>
    </w:p>
    <w:p>
      <w:pPr>
        <w:pStyle w:val="Heading2"/>
        <w:spacing w:after="120" w:before="260"/>
      </w:pPr>
      <w:r>
        <w:rPr>
          <w:b/>
          <w:bCs/>
          <w:color w:val="171A2B"/>
          <w:sz w:val="24"/>
          <w:szCs w:val="24"/>
        </w:rPr>
        <w:t xml:space="preserve">6. Notes on This Description</w:t>
      </w:r>
    </w:p>
    <w:p>
      <w:pPr>
        <w:spacing w:after="160" w:line="300"/>
      </w:pPr>
      <w:r>
        <w:rPr>
          <w:color w:val="222222"/>
          <w:sz w:val="22"/>
          <w:szCs w:val="22"/>
        </w:rPr>
        <w:t xml:space="preserve">This document describes the nature and activities of the proposed business only. It does not address registration mechanics (registered office, capital structure, DIN/DSC, PAN/TAN/GST, etc.), which are handled separately as part of the incorporation filing itself. Two items specific to this description are worth flagging:</w:t>
      </w:r>
    </w:p>
    <w:p>
      <w:pPr>
        <w:pStyle w:val="ListParagraph"/>
        <w:numPr>
          <w:ilvl w:val="0"/>
          <w:numId w:val="2"/>
        </w:numPr>
        <w:spacing w:after="100" w:line="280"/>
      </w:pPr>
      <w:r>
        <w:rPr>
          <w:color w:val="222222"/>
          <w:sz w:val="22"/>
          <w:szCs w:val="22"/>
        </w:rPr>
        <w:t xml:space="preserve">Company name availability — "GroundwireAI" has not yet been checked against the MCA company name register or the trademark register for conflicts.</w:t>
      </w:r>
    </w:p>
    <w:p>
      <w:pPr>
        <w:pStyle w:val="ListParagraph"/>
        <w:numPr>
          <w:ilvl w:val="0"/>
          <w:numId w:val="2"/>
        </w:numPr>
        <w:spacing w:after="100" w:line="280"/>
      </w:pPr>
      <w:r>
        <w:rPr>
          <w:color w:val="222222"/>
          <w:sz w:val="22"/>
          <w:szCs w:val="22"/>
        </w:rPr>
        <w:t xml:space="preserve">The Objects Clause wording in Section 4 is a drafting starting point, styled on the standard Memorandum of Association convention; a Company Secretary or legal counsel should confirm the final phrasing before it is used in an actual MOA filing.</w:t>
      </w:r>
    </w:p>
    <w:p>
      <w:pPr>
        <w:pBdr>
          <w:top w:val="single" w:color="D9D9D9" w:sz="6" w:space="12"/>
        </w:pBdr>
        <w:spacing w:before="300"/>
      </w:pPr>
      <w:r>
        <w:rPr>
          <w:i/>
          <w:iCs/>
          <w:color w:val="63677C"/>
          <w:sz w:val="18"/>
          <w:szCs w:val="18"/>
        </w:rPr>
        <w:t xml:space="preserve">This document was prepared from GroundwireAI's public website content and founder-provided background information, describing the nature of the business for company-formation purposes.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2026-07-30T11:03:07.651Z</dcterms:created>
  <dcterms:modified xsi:type="dcterms:W3CDTF">2026-07-30T11:03:07.655Z</dcterms:modified>
</cp:coreProperties>
</file>

<file path=docProps/custom.xml><?xml version="1.0" encoding="utf-8"?>
<Properties xmlns="http://schemas.openxmlformats.org/officeDocument/2006/custom-properties" xmlns:vt="http://schemas.openxmlformats.org/officeDocument/2006/docPropsVTypes"/>
</file>