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44"/>
          <w:szCs w:val="44"/>
          <w:rtl w:val="0"/>
        </w:rPr>
        <w:t xml:space="preserve">Aviana Weist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Rule="auto"/>
        <w:jc w:val="center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555555"/>
          <w:sz w:val="16"/>
          <w:szCs w:val="16"/>
          <w:rtl w:val="0"/>
        </w:rPr>
        <w:t xml:space="preserve"> linkedin.com/in/avianaweist  |  avianaweist@gmail.com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1b2a4a" w:space="1" w:sz="5" w:val="single"/>
        </w:pBdr>
        <w:spacing w:after="50" w:before="120" w:lineRule="auto"/>
        <w:rPr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1"/>
          <w:szCs w:val="21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right" w:leader="none" w:pos="9026"/>
        </w:tabs>
        <w:spacing w:after="12" w:before="100" w:lineRule="auto"/>
        <w:rPr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1"/>
          <w:szCs w:val="21"/>
          <w:rtl w:val="0"/>
        </w:rPr>
        <w:t xml:space="preserve">TDA Media LLC</w:t>
      </w:r>
      <w:r w:rsidDel="00000000" w:rsidR="00000000" w:rsidRPr="00000000">
        <w:rPr>
          <w:rFonts w:ascii="Arial" w:cs="Arial" w:eastAsia="Arial" w:hAnsi="Arial"/>
          <w:color w:val="555555"/>
          <w:sz w:val="21"/>
          <w:szCs w:val="21"/>
          <w:rtl w:val="0"/>
        </w:rPr>
        <w:t xml:space="preserve">  | 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1"/>
          <w:szCs w:val="21"/>
          <w:rtl w:val="0"/>
        </w:rPr>
        <w:t xml:space="preserve">Founder &amp; CEO  (LLC Formation in Progress) | </w:t>
      </w:r>
      <w:r w:rsidDel="00000000" w:rsidR="00000000" w:rsidRPr="00000000">
        <w:rPr>
          <w:rFonts w:ascii="Arial" w:cs="Arial" w:eastAsia="Arial" w:hAnsi="Arial"/>
          <w:color w:val="555555"/>
          <w:sz w:val="21"/>
          <w:szCs w:val="21"/>
          <w:rtl w:val="0"/>
        </w:rPr>
        <w:t xml:space="preserve">May 2025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" w:before="12" w:line="240" w:lineRule="auto"/>
        <w:ind w:left="300" w:right="0" w:hanging="150"/>
        <w:jc w:val="left"/>
        <w:rPr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Founded and operate a digital media company for personal brand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thedailyavi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generating 23.5M+ TikTok views in the past year and 21,000+ followers across TikTok, Instagram, and YouTube; secured paid brand partnerships with Apple, PopCorners,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Sleepyhead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, and more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" w:before="12" w:line="240" w:lineRule="auto"/>
        <w:ind w:left="300" w:right="0" w:hanging="150"/>
        <w:jc w:val="left"/>
        <w:rPr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Manage full brand strategy, cross-platform content calendar, partnership lifecycle, and affiliate revenue across Amazon, LTK, and ShopMy, analyzing performance data to drive measurable audience and revenue growth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right" w:leader="none" w:pos="9026"/>
        </w:tabs>
        <w:spacing w:after="4" w:before="100" w:lineRule="auto"/>
        <w:rPr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1"/>
          <w:szCs w:val="21"/>
          <w:rtl w:val="0"/>
        </w:rPr>
        <w:t xml:space="preserve">Kauffman Foundation</w:t>
      </w:r>
      <w:r w:rsidDel="00000000" w:rsidR="00000000" w:rsidRPr="00000000">
        <w:rPr>
          <w:rFonts w:ascii="Arial" w:cs="Arial" w:eastAsia="Arial" w:hAnsi="Arial"/>
          <w:color w:val="555555"/>
          <w:sz w:val="21"/>
          <w:szCs w:val="21"/>
          <w:rtl w:val="0"/>
        </w:rPr>
        <w:t xml:space="preserve">  | 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1"/>
          <w:szCs w:val="21"/>
          <w:rtl w:val="0"/>
        </w:rPr>
        <w:t xml:space="preserve">Contracted Social Media &amp; Marketing Specialist | </w:t>
      </w:r>
      <w:r w:rsidDel="00000000" w:rsidR="00000000" w:rsidRPr="00000000">
        <w:rPr>
          <w:rFonts w:ascii="Arial" w:cs="Arial" w:eastAsia="Arial" w:hAnsi="Arial"/>
          <w:color w:val="555555"/>
          <w:sz w:val="21"/>
          <w:szCs w:val="21"/>
          <w:rtl w:val="0"/>
        </w:rPr>
        <w:t xml:space="preserve">May 2024 – Aug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" w:before="0" w:lineRule="auto"/>
        <w:rPr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1"/>
          <w:szCs w:val="21"/>
          <w:rtl w:val="0"/>
        </w:rPr>
        <w:t xml:space="preserve">Contract — 40 hrs/week (summer) | 10–20 hrs/week (academic year)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" w:before="12" w:line="240" w:lineRule="auto"/>
        <w:ind w:left="300" w:right="0" w:hanging="150"/>
        <w:jc w:val="left"/>
        <w:rPr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Drove 42.9% Instagram engagement growth for the Real World Learning initiative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 Kauffman Foundation program spanning 34 school districts and 100,000+ Kansas City area students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through data-informed short-form content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" w:before="12" w:line="240" w:lineRule="auto"/>
        <w:ind w:left="300" w:right="0" w:hanging="150"/>
        <w:jc w:val="left"/>
        <w:rPr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Led intern training sessions and represented Real World Learning as a weekly speaker to ~600 students; supported community events including the ProX Showcase and Get on the Bus</w:t>
      </w:r>
    </w:p>
    <w:p w:rsidR="00000000" w:rsidDel="00000000" w:rsidP="00000000" w:rsidRDefault="00000000" w:rsidRPr="00000000" w14:paraId="0000000B">
      <w:pPr>
        <w:pBdr>
          <w:bottom w:color="1b2a4a" w:space="1" w:sz="5" w:val="single"/>
        </w:pBdr>
        <w:spacing w:after="50" w:before="12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1"/>
          <w:szCs w:val="21"/>
          <w:rtl w:val="0"/>
        </w:rPr>
        <w:t xml:space="preserve">Internships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right" w:leader="none" w:pos="9026"/>
        </w:tabs>
        <w:spacing w:after="12" w:before="100" w:lineRule="auto"/>
        <w:rPr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1"/>
          <w:szCs w:val="21"/>
          <w:rtl w:val="0"/>
        </w:rPr>
        <w:t xml:space="preserve">TVH</w:t>
      </w:r>
      <w:r w:rsidDel="00000000" w:rsidR="00000000" w:rsidRPr="00000000">
        <w:rPr>
          <w:rFonts w:ascii="Arial" w:cs="Arial" w:eastAsia="Arial" w:hAnsi="Arial"/>
          <w:color w:val="555555"/>
          <w:sz w:val="21"/>
          <w:szCs w:val="21"/>
          <w:rtl w:val="0"/>
        </w:rPr>
        <w:t xml:space="preserve">  | 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1"/>
          <w:szCs w:val="21"/>
          <w:rtl w:val="0"/>
        </w:rPr>
        <w:t xml:space="preserve">Marketing Intern | </w:t>
      </w:r>
      <w:r w:rsidDel="00000000" w:rsidR="00000000" w:rsidRPr="00000000">
        <w:rPr>
          <w:rFonts w:ascii="Arial" w:cs="Arial" w:eastAsia="Arial" w:hAnsi="Arial"/>
          <w:color w:val="555555"/>
          <w:sz w:val="21"/>
          <w:szCs w:val="21"/>
          <w:rtl w:val="0"/>
        </w:rPr>
        <w:t xml:space="preserve">May 2026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" w:before="12" w:line="240" w:lineRule="auto"/>
        <w:ind w:left="300" w:right="0" w:hanging="150"/>
        <w:jc w:val="left"/>
        <w:rPr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Buil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ding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AI-powered marketing automation system using Google Apps Script and Gemini, auto-generating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email reminders and calendar entries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; authored email campaigns, web copy, and Showpad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right" w:leader="none" w:pos="9026"/>
        </w:tabs>
        <w:spacing w:after="12" w:before="100" w:lineRule="auto"/>
        <w:rPr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1"/>
          <w:szCs w:val="21"/>
          <w:rtl w:val="0"/>
        </w:rPr>
        <w:t xml:space="preserve">Kauffman Foundation</w:t>
      </w:r>
      <w:r w:rsidDel="00000000" w:rsidR="00000000" w:rsidRPr="00000000">
        <w:rPr>
          <w:rFonts w:ascii="Arial" w:cs="Arial" w:eastAsia="Arial" w:hAnsi="Arial"/>
          <w:color w:val="555555"/>
          <w:sz w:val="21"/>
          <w:szCs w:val="21"/>
          <w:rtl w:val="0"/>
        </w:rPr>
        <w:t xml:space="preserve">  | 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1"/>
          <w:szCs w:val="21"/>
          <w:rtl w:val="0"/>
        </w:rPr>
        <w:t xml:space="preserve">ProX Social Media Intern | </w:t>
      </w:r>
      <w:r w:rsidDel="00000000" w:rsidR="00000000" w:rsidRPr="00000000">
        <w:rPr>
          <w:rFonts w:ascii="Arial" w:cs="Arial" w:eastAsia="Arial" w:hAnsi="Arial"/>
          <w:color w:val="555555"/>
          <w:sz w:val="21"/>
          <w:szCs w:val="21"/>
          <w:rtl w:val="0"/>
        </w:rPr>
        <w:t>Jun 2022 – Apr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" w:before="12" w:line="240" w:lineRule="auto"/>
        <w:ind w:left="300" w:right="0" w:hanging="150"/>
        <w:jc w:val="left"/>
        <w:rPr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Managed digital communication strategy for 600+ high school interns; trained 19 participants in social media marketing and campaign execution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right" w:leader="none" w:pos="9026"/>
        </w:tabs>
        <w:spacing w:after="12" w:before="100" w:lineRule="auto"/>
        <w:rPr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1"/>
          <w:szCs w:val="21"/>
          <w:rtl w:val="0"/>
        </w:rPr>
        <w:t xml:space="preserve">Go Local Interactive</w:t>
      </w:r>
      <w:r w:rsidDel="00000000" w:rsidR="00000000" w:rsidRPr="00000000">
        <w:rPr>
          <w:rFonts w:ascii="Arial" w:cs="Arial" w:eastAsia="Arial" w:hAnsi="Arial"/>
          <w:color w:val="555555"/>
          <w:sz w:val="21"/>
          <w:szCs w:val="21"/>
          <w:rtl w:val="0"/>
        </w:rPr>
        <w:t xml:space="preserve">  | 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1"/>
          <w:szCs w:val="21"/>
          <w:rtl w:val="0"/>
        </w:rPr>
        <w:t xml:space="preserve">SEO Intern | </w:t>
      </w:r>
      <w:r w:rsidDel="00000000" w:rsidR="00000000" w:rsidRPr="00000000">
        <w:rPr>
          <w:rFonts w:ascii="Arial" w:cs="Arial" w:eastAsia="Arial" w:hAnsi="Arial"/>
          <w:color w:val="555555"/>
          <w:sz w:val="21"/>
          <w:szCs w:val="21"/>
          <w:rtl w:val="0"/>
        </w:rPr>
        <w:t xml:space="preserve">Summer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" w:before="12" w:line="240" w:lineRule="auto"/>
        <w:ind w:left="300" w:right="0" w:hanging="150"/>
        <w:jc w:val="left"/>
        <w:rPr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Executed SEO across multiple client accounts — Google Business Profile optimization, metadata, HTML tags, internal linking; utilized Google Analytics to deliver data-driven performance insights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right" w:leader="none" w:pos="9026"/>
        </w:tabs>
        <w:spacing w:after="12" w:before="100" w:lineRule="auto"/>
        <w:rPr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1"/>
          <w:szCs w:val="21"/>
          <w:rtl w:val="0"/>
        </w:rPr>
        <w:t xml:space="preserve">Cornerstone Executive Search</w:t>
      </w:r>
      <w:r w:rsidDel="00000000" w:rsidR="00000000" w:rsidRPr="00000000">
        <w:rPr>
          <w:rFonts w:ascii="Arial" w:cs="Arial" w:eastAsia="Arial" w:hAnsi="Arial"/>
          <w:color w:val="555555"/>
          <w:sz w:val="21"/>
          <w:szCs w:val="21"/>
          <w:rtl w:val="0"/>
        </w:rPr>
        <w:t xml:space="preserve">  | 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1"/>
          <w:szCs w:val="21"/>
          <w:rtl w:val="0"/>
        </w:rPr>
        <w:t xml:space="preserve">Digital Marketing Intern | </w:t>
      </w:r>
      <w:r w:rsidDel="00000000" w:rsidR="00000000" w:rsidRPr="00000000">
        <w:rPr>
          <w:rFonts w:ascii="Arial" w:cs="Arial" w:eastAsia="Arial" w:hAnsi="Arial"/>
          <w:color w:val="555555"/>
          <w:sz w:val="21"/>
          <w:szCs w:val="21"/>
          <w:rtl w:val="0"/>
        </w:rPr>
        <w:t xml:space="preserve">Summer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" w:before="12" w:line="240" w:lineRule="auto"/>
        <w:ind w:left="300" w:right="0" w:hanging="150"/>
        <w:jc w:val="left"/>
        <w:rPr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Managed LinkedIn content strategy and MailChimp email campaigns; deployed market research surveys to support data-driven business development decisions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right" w:leader="none" w:pos="9026"/>
        </w:tabs>
        <w:spacing w:after="12" w:before="100" w:lineRule="auto"/>
        <w:rPr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1"/>
          <w:szCs w:val="21"/>
          <w:rtl w:val="0"/>
        </w:rPr>
        <w:t xml:space="preserve">Pipeline Entrepreneurial Fellowship</w:t>
      </w:r>
      <w:r w:rsidDel="00000000" w:rsidR="00000000" w:rsidRPr="00000000">
        <w:rPr>
          <w:rFonts w:ascii="Arial" w:cs="Arial" w:eastAsia="Arial" w:hAnsi="Arial"/>
          <w:color w:val="555555"/>
          <w:sz w:val="21"/>
          <w:szCs w:val="21"/>
          <w:rtl w:val="0"/>
        </w:rPr>
        <w:t xml:space="preserve">  | 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1"/>
          <w:szCs w:val="21"/>
          <w:rtl w:val="0"/>
        </w:rPr>
        <w:t xml:space="preserve">Social Media Marketing Intern — YEP KC Scholar | </w:t>
      </w:r>
      <w:r w:rsidDel="00000000" w:rsidR="00000000" w:rsidRPr="00000000">
        <w:rPr>
          <w:rFonts w:ascii="Arial" w:cs="Arial" w:eastAsia="Arial" w:hAnsi="Arial"/>
          <w:color w:val="555555"/>
          <w:sz w:val="21"/>
          <w:szCs w:val="21"/>
          <w:rtl w:val="0"/>
        </w:rPr>
        <w:t xml:space="preserve">Summer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" w:before="12" w:line="240" w:lineRule="auto"/>
        <w:ind w:left="300" w:right="0" w:hanging="150"/>
        <w:jc w:val="left"/>
        <w:rPr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Selected as YEP KC Scholar;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collaborated 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organization's social media strategy and produced long-form YouTube content with the creative director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bottom w:color="1b2a4a" w:space="1" w:sz="5" w:val="single"/>
        </w:pBdr>
        <w:spacing w:after="50" w:before="120" w:lineRule="auto"/>
        <w:rPr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1"/>
          <w:szCs w:val="21"/>
          <w:rtl w:val="0"/>
        </w:rPr>
        <w:t xml:space="preserve">Leadership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right" w:leader="none" w:pos="9026"/>
        </w:tabs>
        <w:spacing w:after="12" w:before="100" w:lineRule="auto"/>
        <w:rPr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1"/>
          <w:szCs w:val="21"/>
          <w:rtl w:val="0"/>
        </w:rPr>
        <w:t xml:space="preserve">Women in Business — University of Tampa</w:t>
      </w:r>
      <w:r w:rsidDel="00000000" w:rsidR="00000000" w:rsidRPr="00000000">
        <w:rPr>
          <w:rFonts w:ascii="Arial" w:cs="Arial" w:eastAsia="Arial" w:hAnsi="Arial"/>
          <w:color w:val="555555"/>
          <w:sz w:val="21"/>
          <w:szCs w:val="21"/>
          <w:rtl w:val="0"/>
        </w:rPr>
        <w:t xml:space="preserve">  | 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1"/>
          <w:szCs w:val="21"/>
          <w:rtl w:val="0"/>
        </w:rPr>
        <w:t xml:space="preserve">Founder &amp; President </w:t>
      </w:r>
      <w:r w:rsidDel="00000000" w:rsidR="00000000" w:rsidRPr="00000000">
        <w:rPr>
          <w:rFonts w:ascii="Arial" w:cs="Arial" w:eastAsia="Arial" w:hAnsi="Arial"/>
          <w:color w:val="555555"/>
          <w:sz w:val="21"/>
          <w:szCs w:val="21"/>
          <w:rtl w:val="0"/>
        </w:rPr>
        <w:t xml:space="preserve">Spring 2026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" w:before="12" w:line="240" w:lineRule="auto"/>
        <w:ind w:left="300" w:right="0" w:hanging="150"/>
        <w:jc w:val="left"/>
        <w:rPr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Founded UTampa's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Women in Business chapter; recruited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leadership team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; directing marketing, social media, and cross-functional executive 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bottom w:color="1b2a4a" w:space="1" w:sz="5" w:val="single"/>
        </w:pBdr>
        <w:spacing w:after="50" w:before="120" w:lineRule="auto"/>
        <w:rPr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1"/>
          <w:szCs w:val="21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right" w:leader="none" w:pos="9026"/>
        </w:tabs>
        <w:spacing w:after="8" w:before="70" w:lineRule="auto"/>
        <w:rPr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University of Tampa</w:t>
      </w:r>
      <w:r w:rsidDel="00000000" w:rsidR="00000000" w:rsidRPr="00000000">
        <w:rPr>
          <w:rFonts w:ascii="Arial" w:cs="Arial" w:eastAsia="Arial" w:hAnsi="Arial"/>
          <w:color w:val="555555"/>
          <w:sz w:val="21"/>
          <w:szCs w:val="21"/>
          <w:rtl w:val="0"/>
        </w:rPr>
        <w:t xml:space="preserve">  —  M.S., Marketing | Aug 2026 – May 2027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right" w:leader="none" w:pos="9026"/>
        </w:tabs>
        <w:spacing w:after="8" w:before="8" w:lineRule="auto"/>
        <w:rPr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University of Tampa</w:t>
      </w:r>
      <w:r w:rsidDel="00000000" w:rsidR="00000000" w:rsidRPr="00000000">
        <w:rPr>
          <w:rFonts w:ascii="Arial" w:cs="Arial" w:eastAsia="Arial" w:hAnsi="Arial"/>
          <w:color w:val="555555"/>
          <w:sz w:val="21"/>
          <w:szCs w:val="21"/>
          <w:rtl w:val="0"/>
        </w:rPr>
        <w:t xml:space="preserve">  —  B.S., Marketing  |  GPA: 3.97  |  Presidential Scholarship  |  Beta Gamma Sigma  |  Phi Kappa Phi | Aug 2024 – Dec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bottom w:color="1b2a4a" w:space="1" w:sz="5" w:val="single"/>
        </w:pBdr>
        <w:spacing w:after="50" w:before="120" w:lineRule="auto"/>
        <w:rPr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1"/>
          <w:szCs w:val="21"/>
          <w:rtl w:val="0"/>
        </w:rPr>
        <w:t xml:space="preserve">Skills &amp; 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0" w:before="40" w:lineRule="auto"/>
        <w:rPr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Skills: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Brand Strategy, Social Media Strategy, Content Marketing, Email Marketing, SEO, Influencer Marketing, Marketing Automation, Campaign Analytics, Copywriting, Cross-Channel Marketing, Data-Driven Decision Making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0" w:before="10" w:lineRule="auto"/>
        <w:rPr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Tools: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Google Analytics, Looker Studio, Google Apps Script, Showpad, MailChimp, HubSpot, Sprout Social, Canva, CapCut, WordPress, Excel, Google Workspace, Gemini, Claude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" w:before="10" w:lineRule="auto"/>
        <w:rPr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Certifications: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Google Analytics  |  Google Ads Search &amp; Display  |  HubSpot Social Media Marketing</w:t>
      </w:r>
      <w:r w:rsidDel="00000000" w:rsidR="00000000" w:rsidRPr="00000000">
        <w:rPr>
          <w:rtl w:val="0"/>
        </w:rPr>
      </w:r>
    </w:p>
    <w:sectPr>
      <w:pgSz w:h="15840" w:w="12240" w:orient="portrait"/>
      <w:pgMar w:bottom="648" w:top="648" w:left="864" w:right="86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00" w:hanging="15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