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Benchmark Contamination as a Privacy and Security Vulnerability in Large Language Models</w:t>
      </w:r>
    </w:p>
    <w:p>
      <w:pPr>
        <w:pStyle w:val="FirstParagraph"/>
      </w:pPr>
      <w:r>
        <w:t xml:space="preserve">Large language models are ranked and certified as safe on public benchmarks whose validity</w:t>
      </w:r>
      <w:r>
        <w:t xml:space="preserve"> </w:t>
      </w:r>
      <w:r>
        <w:t xml:space="preserve">rests on the benchmark not appearing in pre-training. We study</w:t>
      </w:r>
      <w:r>
        <w:t xml:space="preserve"> </w:t>
      </w:r>
      <w:r>
        <w:rPr>
          <w:iCs/>
          <w:i/>
        </w:rPr>
        <w:t xml:space="preserve">benchmark contamination</w:t>
      </w:r>
      <w:r>
        <w:t xml:space="preserve"> </w:t>
      </w:r>
      <w:r>
        <w:t xml:space="preserve">not as a measurement-hygiene problem but as a privacy/security vulnerability: contamination is a</w:t>
      </w:r>
      <w:r>
        <w:t xml:space="preserve"> </w:t>
      </w:r>
      <w:r>
        <w:t xml:space="preserve">visible symptom of memorization, and memorization is the mechanism by which sensitive content</w:t>
      </w:r>
      <w:r>
        <w:t xml:space="preserve"> </w:t>
      </w:r>
      <w:r>
        <w:t xml:space="preserve">leaks. Using the Pythia suite trained on the public Pile, so that membership is ground truth</w:t>
      </w:r>
      <w:r>
        <w:t xml:space="preserve"> </w:t>
      </w:r>
      <w:r>
        <w:t xml:space="preserve">rather than an inferred label, we run a systematic, pre-registered comparison of existing</w:t>
      </w:r>
      <w:r>
        <w:t xml:space="preserve"> </w:t>
      </w:r>
      <w:r>
        <w:t xml:space="preserve">contamination/membership detectors (LOSS, Min-K%, Min-K%++, zlib) against a per-item</w:t>
      </w:r>
      <w:r>
        <w:t xml:space="preserve"> </w:t>
      </w:r>
      <w:r>
        <w:rPr>
          <w:iCs/>
          <w:i/>
        </w:rPr>
        <w:t xml:space="preserve">extraction</w:t>
      </w:r>
      <w:r>
        <w:t xml:space="preserve"> </w:t>
      </w:r>
      <w:r>
        <w:t xml:space="preserve">outcome. We make no claim to a new detector or metric. Our contribution is a</w:t>
      </w:r>
      <w:r>
        <w:t xml:space="preserve"> </w:t>
      </w:r>
      <w:r>
        <w:rPr>
          <w:iCs/>
          <w:i/>
        </w:rPr>
        <w:t xml:space="preserve">controlled</w:t>
      </w:r>
      <w:r>
        <w:t xml:space="preserve"> </w:t>
      </w:r>
      <w:r>
        <w:t xml:space="preserve">result: a pre-registered partial-correlation and mediation analysis that</w:t>
      </w:r>
      <w:r>
        <w:t xml:space="preserve"> </w:t>
      </w:r>
      <w:r>
        <w:t xml:space="preserve">isolates the role of raw per-item loss. We find that the apparent contamination→leakage</w:t>
      </w:r>
      <w:r>
        <w:t xml:space="preserve"> </w:t>
      </w:r>
      <w:r>
        <w:t xml:space="preserve">association is</w:t>
      </w:r>
      <w:r>
        <w:t xml:space="preserve"> </w:t>
      </w:r>
      <w:r>
        <w:rPr>
          <w:iCs/>
          <w:i/>
        </w:rPr>
        <w:t xml:space="preserve">loss-mediated to the resolution of this experiment</w:t>
      </w:r>
      <w:r>
        <w:t xml:space="preserve">: the calibrated</w:t>
      </w:r>
      <w:r>
        <w:t xml:space="preserve"> </w:t>
      </w:r>
      <w:r>
        <w:t xml:space="preserve">reference-free detectors, which are themselves strongly-to-moderately collinear with loss</w:t>
      </w:r>
      <w:r>
        <w:t xml:space="preserve"> </w:t>
      </w:r>
      <w:r>
        <w:t xml:space="preserve">(Spearman 0.74–0.90), add no positive predictive value beyond it, and their residual partials</w:t>
      </w:r>
      <w:r>
        <w:t xml:space="preserve"> </w:t>
      </w:r>
      <w:r>
        <w:t xml:space="preserve">are null or, for the most loss-collinear detector (Min-K%), weakly negative in a manner consistent</w:t>
      </w:r>
      <w:r>
        <w:t xml:space="preserve"> </w:t>
      </w:r>
      <w:r>
        <w:t xml:space="preserve">with a suppression artifact rather than substantive inverse prediction. This absence of positive</w:t>
      </w:r>
      <w:r>
        <w:t xml:space="preserve"> </w:t>
      </w:r>
      <w:r>
        <w:t xml:space="preserve">residual survives a non-linear (cubic-residual and decile-stratified) loss control and</w:t>
      </w:r>
      <w:r>
        <w:t xml:space="preserve"> </w:t>
      </w:r>
      <w:r>
        <w:t xml:space="preserve">deduplication, and is not explained by token frequency or the zero-inflated outcome. We frame this</w:t>
      </w:r>
      <w:r>
        <w:t xml:space="preserve"> </w:t>
      </w:r>
      <w:r>
        <w:t xml:space="preserve">as a</w:t>
      </w:r>
      <w:r>
        <w:t xml:space="preserve"> </w:t>
      </w:r>
      <w:r>
        <w:rPr>
          <w:iCs/>
          <w:i/>
        </w:rPr>
        <w:t xml:space="preserve">membership-detection-versus-leakage-prediction divergence</w:t>
      </w:r>
      <w:r>
        <w:t xml:space="preserve">: the detectors the field</w:t>
      </w:r>
      <w:r>
        <w:t xml:space="preserve"> </w:t>
      </w:r>
      <w:r>
        <w:t xml:space="preserve">optimizes for membership are not the right instrument for the privacy question.</w:t>
      </w:r>
      <w:r>
        <w:t xml:space="preserve"> </w:t>
      </w:r>
      <w:r>
        <w:rPr>
          <w:bCs/>
          <w:b/>
        </w:rPr>
        <w:t xml:space="preserve">These results are preliminary,</w:t>
      </w:r>
      <w:r>
        <w:rPr>
          <w:bCs/>
          <w:b/>
        </w:rPr>
        <w:t xml:space="preserve"> </w:t>
      </w:r>
      <w:r>
        <w:rPr>
          <w:bCs/>
          <w:b/>
        </w:rPr>
        <w:t xml:space="preserve">obtained on the smallest (160M) Pythia model on CPU. The pipeline is built so that the</w:t>
      </w:r>
      <w:r>
        <w:rPr>
          <w:bCs/>
          <w:b/>
        </w:rPr>
        <w:t xml:space="preserve"> </w:t>
      </w:r>
      <w:r>
        <w:rPr>
          <w:bCs/>
          <w:b/>
        </w:rPr>
        <w:t xml:space="preserve">GPU-scale replication is a single configuration change.</w:t>
      </w:r>
      <w:r>
        <w:t xml:space="preserve"> </w:t>
      </w:r>
      <w:r>
        <w:t xml:space="preserve">All analyses are pre-registered and every</w:t>
      </w:r>
      <w:r>
        <w:t xml:space="preserve"> </w:t>
      </w:r>
      <w:r>
        <w:t xml:space="preserve">number is reproducible from a seeded script.</w:t>
      </w:r>
    </w:p>
    <w:bookmarkStart w:id="21" w:name="sec:intro"/>
    <w:p>
      <w:pPr>
        <w:pStyle w:val="Heading1"/>
      </w:pPr>
      <w:r>
        <w:t xml:space="preserve">I. Introduction</w:t>
      </w:r>
    </w:p>
    <w:p>
      <w:pPr>
        <w:pStyle w:val="FirstParagraph"/>
      </w:pPr>
      <w:r>
        <w:t xml:space="preserve">Large language models (LLMs) are ranked, selected, and certified as safe largely on</w:t>
      </w:r>
      <w:r>
        <w:t xml:space="preserve"> </w:t>
      </w:r>
      <w:r>
        <w:t xml:space="preserve">the basis of their scores on public benchmarks </w:t>
      </w:r>
      <w:r>
        <w:t xml:space="preserve">(Cobbe et al., 2021; Hendrycks et al., 2021)</w:t>
      </w:r>
      <w:r>
        <w:t xml:space="preserve">.</w:t>
      </w:r>
      <w:r>
        <w:t xml:space="preserve"> </w:t>
      </w:r>
      <w:r>
        <w:t xml:space="preserve">Those scores are only meaningful under one assumption: that the evaluation data was</w:t>
      </w:r>
      <w:r>
        <w:t xml:space="preserve"> </w:t>
      </w:r>
      <w:r>
        <w:t xml:space="preserve">absent from pre-training. The assumption is increasingly untenable. Benchmarks are</w:t>
      </w:r>
      <w:r>
        <w:t xml:space="preserve"> </w:t>
      </w:r>
      <w:r>
        <w:t xml:space="preserve">small, static, and endlessly redistributed across the web, while training corpora are</w:t>
      </w:r>
      <w:r>
        <w:t xml:space="preserve"> </w:t>
      </w:r>
      <w:r>
        <w:t xml:space="preserve">weakly filtered crawls assembled at the scale of hundreds of gigabytes to</w:t>
      </w:r>
      <w:r>
        <w:t xml:space="preserve"> </w:t>
      </w:r>
      <w:r>
        <w:t xml:space="preserve">petabytes </w:t>
      </w:r>
      <w:r>
        <w:t xml:space="preserve">(Common Crawl Foundation, n.d.; Gao et al., 2020)</w:t>
      </w:r>
      <w:r>
        <w:t xml:space="preserve">. Benchmark items are therefore swept into the</w:t>
      </w:r>
      <w:r>
        <w:t xml:space="preserve"> </w:t>
      </w:r>
      <w:r>
        <w:t xml:space="preserve">next crawl by ordinary copying, with no adversary required. The resulting</w:t>
      </w:r>
      <w:r>
        <w:t xml:space="preserve"> </w:t>
      </w:r>
      <w:r>
        <w:rPr>
          <w:iCs/>
          <w:i/>
        </w:rPr>
        <w:t xml:space="preserve">benchmark contamination</w:t>
      </w:r>
      <w:r>
        <w:t xml:space="preserve">, the presence of evaluation data in the training</w:t>
      </w:r>
      <w:r>
        <w:t xml:space="preserve"> </w:t>
      </w:r>
      <w:r>
        <w:t xml:space="preserve">corpus </w:t>
      </w:r>
      <w:r>
        <w:t xml:space="preserve">(Golchin &amp; Surdeanu, 2024)</w:t>
      </w:r>
      <w:r>
        <w:t xml:space="preserve">, is usually treated as a measurement-hygiene</w:t>
      </w:r>
      <w:r>
        <w:t xml:space="preserve"> </w:t>
      </w:r>
      <w:r>
        <w:t xml:space="preserve">problem: a contaminated score over-states capability </w:t>
      </w:r>
      <w:r>
        <w:t xml:space="preserve">(Ravaut et al., 2024)</w:t>
      </w:r>
      <w:r>
        <w:t xml:space="preserve">.</w:t>
      </w:r>
    </w:p>
    <w:p>
      <w:pPr>
        <w:pStyle w:val="BodyText"/>
      </w:pPr>
      <w:r>
        <w:t xml:space="preserve">We argue that contamination is better understood as a</w:t>
      </w:r>
      <w:r>
        <w:t xml:space="preserve"> </w:t>
      </w:r>
      <w:r>
        <w:rPr>
          <w:iCs/>
          <w:i/>
        </w:rPr>
        <w:t xml:space="preserve">privacy and security</w:t>
      </w:r>
      <w:r>
        <w:t xml:space="preserve"> </w:t>
      </w:r>
      <w:r>
        <w:t xml:space="preserve">vulnerability, and we study it as one. The same over-parameterized models that score</w:t>
      </w:r>
      <w:r>
        <w:t xml:space="preserve"> </w:t>
      </w:r>
      <w:r>
        <w:t xml:space="preserve">highly on a leaked benchmark also memorize and can regurgitate verbatim training</w:t>
      </w:r>
      <w:r>
        <w:t xml:space="preserve"> </w:t>
      </w:r>
      <w:r>
        <w:t xml:space="preserve">sequences, including personally identifiable information (PII) that co-occurs in the</w:t>
      </w:r>
      <w:r>
        <w:t xml:space="preserve"> </w:t>
      </w:r>
      <w:r>
        <w:t xml:space="preserve">same corpora </w:t>
      </w:r>
      <w:r>
        <w:t xml:space="preserve">(Carlini et al., 2021; Carlini et al., 2023)</w:t>
      </w:r>
      <w:r>
        <w:t xml:space="preserve">. Contamination, in</w:t>
      </w:r>
      <w:r>
        <w:t xml:space="preserve"> </w:t>
      </w:r>
      <w:r>
        <w:t xml:space="preserve">this view, is a visible symptom of unintended memorization, and memorization is the</w:t>
      </w:r>
      <w:r>
        <w:t xml:space="preserve"> </w:t>
      </w:r>
      <w:r>
        <w:t xml:space="preserve">mechanism by which sensitive content leaks. If a cheap, model-side contamination signal</w:t>
      </w:r>
      <w:r>
        <w:t xml:space="preserve"> </w:t>
      </w:r>
      <w:r>
        <w:t xml:space="preserve">predicts which items the model has memorized, then the act of contaminating a benchmark</w:t>
      </w:r>
      <w:r>
        <w:t xml:space="preserve"> </w:t>
      </w:r>
      <w:r>
        <w:t xml:space="preserve">is not merely inflating a metric. It is exposing a leakage channel. We make this</w:t>
      </w:r>
      <w:r>
        <w:t xml:space="preserve"> </w:t>
      </w:r>
      <w:r>
        <w:t xml:space="preserve">contamination → memorization → leakage chain the object of</w:t>
      </w:r>
      <w:r>
        <w:t xml:space="preserve"> </w:t>
      </w:r>
      <w:r>
        <w:t xml:space="preserve">empirical study, on models whose training corpus is fully public so that membership is</w:t>
      </w:r>
      <w:r>
        <w:t xml:space="preserve"> </w:t>
      </w:r>
      <w:r>
        <w:t xml:space="preserve">ground truth rather than a guess.</w:t>
      </w:r>
    </w:p>
    <w:p>
      <w:pPr>
        <w:pStyle w:val="BodyText"/>
      </w:pPr>
      <w:r>
        <w:t xml:space="preserve">The privacy/security community has, however, established that membership signal on</w:t>
      </w:r>
      <w:r>
        <w:t xml:space="preserve"> </w:t>
      </w:r>
      <w:r>
        <w:t xml:space="preserve">pre-trained LLMs is weak: large-scale audits on the Pythia suite and The Pile report</w:t>
      </w:r>
      <w:r>
        <w:t xml:space="preserve"> </w:t>
      </w:r>
      <w:r>
        <w:t xml:space="preserve">that membership-inference attacks (MIAs) barely exceed chance, and that apparent</w:t>
      </w:r>
      <w:r>
        <w:t xml:space="preserve"> </w:t>
      </w:r>
      <w:r>
        <w:t xml:space="preserve">successes often reflect distribution shift between the member and non-member sets rather</w:t>
      </w:r>
      <w:r>
        <w:t xml:space="preserve"> </w:t>
      </w:r>
      <w:r>
        <w:t xml:space="preserve">than membership itself </w:t>
      </w:r>
      <w:r>
        <w:t xml:space="preserve">(Duan et al., 2024)</w:t>
      </w:r>
      <w:r>
        <w:t xml:space="preserve">. We take this finding as a constraint, not an</w:t>
      </w:r>
      <w:r>
        <w:t xml:space="preserve"> </w:t>
      </w:r>
      <w:r>
        <w:t xml:space="preserve">obstacle. Rather than claim a stronger attack, we ask a sharper, security-relevant</w:t>
      </w:r>
      <w:r>
        <w:t xml:space="preserve"> </w:t>
      </w:r>
      <w:r>
        <w:t xml:space="preserve">question:</w:t>
      </w:r>
      <w:r>
        <w:t xml:space="preserve"> </w:t>
      </w:r>
      <w:r>
        <w:rPr>
          <w:iCs/>
          <w:i/>
        </w:rPr>
        <w:t xml:space="preserve">even where the membership signal is weak, does it still predict concrete</w:t>
      </w:r>
      <w:r>
        <w:rPr>
          <w:iCs/>
          <w:i/>
        </w:rPr>
        <w:t xml:space="preserve"> </w:t>
      </w:r>
      <w:r>
        <w:rPr>
          <w:iCs/>
          <w:i/>
        </w:rPr>
        <w:t xml:space="preserve">leakage?</w:t>
      </w:r>
      <w:r>
        <w:t xml:space="preserve"> </w:t>
      </w:r>
      <w:r>
        <w:t xml:space="preserve">Answering it requires the evaluation discipline that security venues expect of</w:t>
      </w:r>
      <w:r>
        <w:t xml:space="preserve"> </w:t>
      </w:r>
      <w:r>
        <w:t xml:space="preserve">a privacy attack, true-positive rate at a low, fixed false-positive rate, read off a</w:t>
      </w:r>
      <w:r>
        <w:t xml:space="preserve"> </w:t>
      </w:r>
      <w:r>
        <w:t xml:space="preserve">log-scale ROC curve, rather than an average-case AUC that hides whether the attack ever</w:t>
      </w:r>
      <w:r>
        <w:t xml:space="preserve"> </w:t>
      </w:r>
      <w:r>
        <w:t xml:space="preserve">fires confidently </w:t>
      </w:r>
      <w:r>
        <w:t xml:space="preserve">(Carlini et al., 2022)</w:t>
      </w:r>
      <w:r>
        <w:t xml:space="preserve">. It also exposes a question the</w:t>
      </w:r>
      <w:r>
        <w:t xml:space="preserve"> </w:t>
      </w:r>
      <w:r>
        <w:t xml:space="preserve">membership-inference literature does not ask: detectors are tuned and ranked by how well</w:t>
      </w:r>
      <w:r>
        <w:t xml:space="preserve"> </w:t>
      </w:r>
      <w:r>
        <w:t xml:space="preserve">they separate members from non-members, but leakage is a property of</w:t>
      </w:r>
      <w:r>
        <w:t xml:space="preserve"> </w:t>
      </w:r>
      <w:r>
        <w:rPr>
          <w:iCs/>
          <w:i/>
        </w:rPr>
        <w:t xml:space="preserve">how much</w:t>
      </w:r>
      <w:r>
        <w:t xml:space="preserve"> </w:t>
      </w:r>
      <w:r>
        <w:t xml:space="preserve">the</w:t>
      </w:r>
      <w:r>
        <w:t xml:space="preserve"> </w:t>
      </w:r>
      <w:r>
        <w:t xml:space="preserve">model memorized a specific item. We therefore evaluate each detector not only as a</w:t>
      </w:r>
      <w:r>
        <w:t xml:space="preserve"> </w:t>
      </w:r>
      <w:r>
        <w:t xml:space="preserve">membership classifier but as a predictor of concrete leakage, and ask whether the two</w:t>
      </w:r>
      <w:r>
        <w:t xml:space="preserve"> </w:t>
      </w:r>
      <w:r>
        <w:t xml:space="preserve">objectives coincide, finding that they do not.</w:t>
      </w:r>
    </w:p>
    <w:bookmarkStart w:id="20" w:name="Xb3ff82b12d6d68e44f66ba36b47dba2928db3be"/>
    <w:p>
      <w:pPr>
        <w:pStyle w:val="Heading4"/>
      </w:pPr>
      <w:r>
        <w:t xml:space="preserve">Contributions (and explicit non-contributions).</w:t>
      </w:r>
    </w:p>
    <w:p>
      <w:pPr>
        <w:pStyle w:val="FirstParagraph"/>
      </w:pPr>
      <w:r>
        <w:t xml:space="preserve">We are deliberate about what this paper is and is not. It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 new detector,</w:t>
      </w:r>
      <w:r>
        <w:t xml:space="preserve"> </w:t>
      </w:r>
      <w:r>
        <w:t xml:space="preserve">attack, or metric: every detection method we run is from prior</w:t>
      </w:r>
      <w:r>
        <w:t xml:space="preserve"> </w:t>
      </w:r>
      <w:r>
        <w:t xml:space="preserve">work </w:t>
      </w:r>
      <w:r>
        <w:t xml:space="preserve">(Brown et al., 2020; Carlini et al., 2021; Oren et al., 2024; Shi et al., 2024; Yeom et al., 2018; J. Zhang et al., 2025)</w:t>
      </w:r>
      <w:r>
        <w:t xml:space="preserve">,</w:t>
      </w:r>
      <w:r>
        <w:t xml:space="preserve"> </w:t>
      </w:r>
      <w:r>
        <w:t xml:space="preserve">and our evaluation protocol is the established low-FPR convention of</w:t>
      </w:r>
      <w:r>
        <w:t xml:space="preserve"> </w:t>
      </w:r>
      <w:r>
        <w:t xml:space="preserve">Carlini et al. (2022)</w:t>
      </w:r>
      <w:r>
        <w:t xml:space="preserve">. Within that honest scope, our contributions are: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 security reframing and threat model.</w:t>
      </w:r>
      <w:r>
        <w:t xml:space="preserve"> </w:t>
      </w:r>
      <w:r>
        <w:t xml:space="preserve">We recast benchmark</w:t>
      </w:r>
      <w:r>
        <w:t xml:space="preserve"> </w:t>
      </w:r>
      <w:r>
        <w:t xml:space="preserve">contamination as a membership/exposure vulnerability with an explicit adversary and</w:t>
      </w:r>
      <w:r>
        <w:t xml:space="preserve"> </w:t>
      </w:r>
      <w:r>
        <w:t xml:space="preserve">graded goals, membership inference on a single item, benchmark-level contamination</w:t>
      </w:r>
      <w:r>
        <w:t xml:space="preserve"> </w:t>
      </w:r>
      <w:r>
        <w:t xml:space="preserve">confirmation, and verbatim/PII extraction, rather than as a measurement artifact</w:t>
      </w:r>
      <w:r>
        <w:t xml:space="preserve"> </w:t>
      </w:r>
      <w:r>
        <w:t xml:space="preserve">(Section </w:t>
      </w:r>
      <w:hyperlink w:anchor="sec:background">
        <w:r>
          <w:rPr>
            <w:rStyle w:val="Hyperlink"/>
          </w:rPr>
          <w:t xml:space="preserve">2</w:t>
        </w:r>
      </w:hyperlink>
      <w:r>
        <w:t xml:space="preserve">, Section </w:t>
      </w:r>
      <w:hyperlink w:anchor="sec:eval">
        <w:r>
          <w:rPr>
            <w:rStyle w:val="Hyperlink"/>
          </w:rPr>
          <w:t xml:space="preserve">5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 systematic comparative evaluation of existing detectors under the S&amp;P</w:t>
      </w:r>
      <w:r>
        <w:rPr>
          <w:bCs/>
          <w:b/>
        </w:rPr>
        <w:t xml:space="preserve"> </w:t>
      </w:r>
      <w:r>
        <w:rPr>
          <w:bCs/>
          <w:b/>
        </w:rPr>
        <w:t xml:space="preserve">low-FPR protocol on ground-truth Pile membership.</w:t>
      </w:r>
      <w:r>
        <w:t xml:space="preserve"> </w:t>
      </w:r>
      <w:r>
        <w:t xml:space="preserve">We evaluate LOSS/perplexity,</w:t>
      </w:r>
      <w:r>
        <w:t xml:space="preserve"> </w:t>
      </w:r>
      <w:r>
        <w:t xml:space="preserve">Min-K%, Min-K%++, and the zlib ratio as membership detectors, the corpus-side</w:t>
      </w:r>
      <w:r>
        <w:t xml:space="preserve"> </w:t>
      </w:r>
      <w:r>
        <w:t xml:space="preserve">n-gram overlap test as a contamination-label oracle, and the Oren</w:t>
      </w:r>
      <w:r>
        <w:t xml:space="preserve"> </w:t>
      </w:r>
      <w:r>
        <w:t xml:space="preserve">permutation/exchangeability test at the benchmark level, all on Pythia trained on the</w:t>
      </w:r>
      <w:r>
        <w:t xml:space="preserve"> </w:t>
      </w:r>
      <w:r>
        <w:t xml:space="preserve">public Pile, reporting TPR at 0.1% and 1% FPR with log-scale ROC and bootstrap</w:t>
      </w:r>
      <w:r>
        <w:t xml:space="preserve"> </w:t>
      </w:r>
      <w:r>
        <w:t xml:space="preserve">confidence intervals, with explicit controls for the frequency, duplication, and</w:t>
      </w:r>
      <w:r>
        <w:t xml:space="preserve"> </w:t>
      </w:r>
      <w:r>
        <w:t xml:space="preserve">temporal confounds that prior work</w:t>
      </w:r>
      <w:r>
        <w:t xml:space="preserve"> </w:t>
      </w:r>
      <w:r>
        <w:t xml:space="preserve">identifies </w:t>
      </w:r>
      <w:r>
        <w:t xml:space="preserve">(Biderman et al., 2023; Duan et al., 2024; Gao et al., 2020)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 pre-registered measurement of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which</w:t>
      </w:r>
      <w:r>
        <w:rPr>
          <w:bCs/>
          <w:b/>
        </w:rPr>
        <w:t xml:space="preserve"> </w:t>
      </w:r>
      <w:r>
        <w:rPr>
          <w:bCs/>
          <w:b/>
        </w:rPr>
        <w:t xml:space="preserve">contamination signal predicts</w:t>
      </w:r>
      <w:r>
        <w:rPr>
          <w:bCs/>
          <w:b/>
        </w:rPr>
        <w:t xml:space="preserve"> </w:t>
      </w:r>
      <w:r>
        <w:rPr>
          <w:bCs/>
          <w:b/>
        </w:rPr>
        <w:t xml:space="preserve">leakage, and which does not.</w:t>
      </w:r>
      <w:r>
        <w:t xml:space="preserve"> </w:t>
      </w:r>
      <w:r>
        <w:t xml:space="preserve">We correlate per-item contamination scores against an</w:t>
      </w:r>
      <w:r>
        <w:t xml:space="preserve"> </w:t>
      </w:r>
      <w:r>
        <w:t xml:space="preserve">extraction outcome, prefix-continuation extractable memorization under greedy</w:t>
      </w:r>
      <w:r>
        <w:t xml:space="preserve"> </w:t>
      </w:r>
      <w:r>
        <w:t xml:space="preserve">decoding </w:t>
      </w:r>
      <w:r>
        <w:t xml:space="preserve">(Carlini et al., 2023)</w:t>
      </w:r>
      <w:r>
        <w:t xml:space="preserve">, and, on the Enron Emails subset that already</w:t>
      </w:r>
      <w:r>
        <w:t xml:space="preserve"> </w:t>
      </w:r>
      <w:r>
        <w:t xml:space="preserve">sits inside the Pile, against regex-detected PII leakage </w:t>
      </w:r>
      <w:r>
        <w:t xml:space="preserve">(Lukas et al., 2023)</w:t>
      </w:r>
      <w:r>
        <w:t xml:space="preserve">. A</w:t>
      </w:r>
      <w:r>
        <w:t xml:space="preserve"> </w:t>
      </w:r>
      <w:r>
        <w:t xml:space="preserve">pre-registered partial-correlation and mediation control then isolates the role of raw</w:t>
      </w:r>
      <w:r>
        <w:t xml:space="preserve"> </w:t>
      </w:r>
      <w:r>
        <w:t xml:space="preserve">loss. In our ground-truth 160M-parameter setting we find that the</w:t>
      </w:r>
      <w:r>
        <w:t xml:space="preserve"> </w:t>
      </w:r>
      <w:r>
        <w:t xml:space="preserve">contamination→leakage association is</w:t>
      </w:r>
      <w:r>
        <w:t xml:space="preserve"> </w:t>
      </w:r>
      <w:r>
        <w:rPr>
          <w:iCs/>
          <w:i/>
        </w:rPr>
        <w:t xml:space="preserve">loss-mediated to the resolution of</w:t>
      </w:r>
      <w:r>
        <w:rPr>
          <w:iCs/>
          <w:i/>
        </w:rPr>
        <w:t xml:space="preserve"> </w:t>
      </w:r>
      <w:r>
        <w:rPr>
          <w:iCs/>
          <w:i/>
        </w:rPr>
        <w:t xml:space="preserve">this experiment</w:t>
      </w:r>
      <w:r>
        <w:t xml:space="preserve">: once loss is held fixed, the calibrated reference-free detectors</w:t>
      </w:r>
      <w:r>
        <w:t xml:space="preserve"> </w:t>
      </w:r>
      <w:r>
        <w:t xml:space="preserve">(Min-K%, Min-K%++, zlib) add no positive predictive value. These detectors are</w:t>
      </w:r>
      <w:r>
        <w:t xml:space="preserve"> </w:t>
      </w:r>
      <w:r>
        <w:t xml:space="preserve">themselves near-collinear transforms of loss (Spearman 0.74–0.90), so we read a</w:t>
      </w:r>
      <w:r>
        <w:t xml:space="preserve"> </w:t>
      </w:r>
      <w:r>
        <w:t xml:space="preserve">negative residual for the most collinear of them (Min-K%) as a likely suppression</w:t>
      </w:r>
      <w:r>
        <w:t xml:space="preserve"> </w:t>
      </w:r>
      <w:r>
        <w:t xml:space="preserve">artifact rather than substantive inverse prediction, and claim only the conservative</w:t>
      </w:r>
      <w:r>
        <w:t xml:space="preserve"> </w:t>
      </w:r>
      <w:r>
        <w:t xml:space="preserve">result: no positive signal beyond loss. The calibrations that improve membership-detection</w:t>
      </w:r>
      <w:r>
        <w:t xml:space="preserve"> </w:t>
      </w:r>
      <w:r>
        <w:t xml:space="preserve">AUC thus do not retain the loss-magnitude signal that predicts leakage, a divergence</w:t>
      </w:r>
      <w:r>
        <w:t xml:space="preserve"> </w:t>
      </w:r>
      <w:r>
        <w:t xml:space="preserve">between membership detection and leakage prediction that we report as our central empirical</w:t>
      </w:r>
      <w:r>
        <w:t xml:space="preserve"> </w:t>
      </w:r>
      <w:r>
        <w:t xml:space="preserve">finding (robust to deduplication and a non-linear loss control, and not explained by token</w:t>
      </w:r>
      <w:r>
        <w:t xml:space="preserve"> </w:t>
      </w:r>
      <w:r>
        <w:t xml:space="preserve">frequency or the zero-inflated outcome).</w:t>
      </w:r>
    </w:p>
    <w:p>
      <w:pPr>
        <w:pStyle w:val="FirstParagraph"/>
      </w:pPr>
      <w:r>
        <w:t xml:space="preserve">We do not propose internal-probe or other novel detectors as contributions, do not train</w:t>
      </w:r>
      <w:r>
        <w:t xml:space="preserve"> </w:t>
      </w:r>
      <w:r>
        <w:t xml:space="preserve">or fine-tune models, and do not attack closed production systems for real third-party</w:t>
      </w:r>
      <w:r>
        <w:t xml:space="preserve"> </w:t>
      </w:r>
      <w:r>
        <w:t xml:space="preserve">PII. Differential privacy and related defenses are discussed as the mitigation direction</w:t>
      </w:r>
      <w:r>
        <w:t xml:space="preserve"> </w:t>
      </w:r>
      <w:r>
        <w:t xml:space="preserve">only.</w:t>
      </w:r>
    </w:p>
    <w:bookmarkEnd w:id="20"/>
    <w:bookmarkEnd w:id="21"/>
    <w:bookmarkStart w:id="25" w:name="sec:background"/>
    <w:p>
      <w:pPr>
        <w:pStyle w:val="Heading1"/>
      </w:pPr>
      <w:r>
        <w:t xml:space="preserve">II. Background: LLM Evaluation Benchmarks as an Attack Surface</w:t>
      </w:r>
    </w:p>
    <w:bookmarkStart w:id="22" w:name="X48be4a3b942b9c5d21068d12252d5fd26d1297c"/>
    <w:p>
      <w:pPr>
        <w:pStyle w:val="Heading2"/>
      </w:pPr>
      <w:r>
        <w:t xml:space="preserve">A. Benchmarks as proxies for latent capabilities</w:t>
      </w:r>
    </w:p>
    <w:p>
      <w:pPr>
        <w:pStyle w:val="FirstParagraph"/>
      </w:pPr>
      <w:r>
        <w:t xml:space="preserve">Large language model (LLM) benchmarks function as</w:t>
      </w:r>
      <w:r>
        <w:t xml:space="preserve"> </w:t>
      </w:r>
      <w:r>
        <w:rPr>
          <w:iCs/>
          <w:i/>
        </w:rPr>
        <w:t xml:space="preserve">proxies</w:t>
      </w:r>
      <w:r>
        <w:t xml:space="preserve"> </w:t>
      </w:r>
      <w:r>
        <w:t xml:space="preserve">for latent</w:t>
      </w:r>
      <w:r>
        <w:t xml:space="preserve"> </w:t>
      </w:r>
      <w:r>
        <w:t xml:space="preserve">capabilities, reasoning, comprehension, factual knowledge, coding proficiency, that</w:t>
      </w:r>
      <w:r>
        <w:t xml:space="preserve"> </w:t>
      </w:r>
      <w:r>
        <w:t xml:space="preserve">cannot be measured directly. By scoring a model on a fixed set of standardized tasks,</w:t>
      </w:r>
      <w:r>
        <w:t xml:space="preserve"> </w:t>
      </w:r>
      <w:r>
        <w:t xml:space="preserve">the community infers a model’s likely utility (and, increasingly, its safety) in</w:t>
      </w:r>
      <w:r>
        <w:t xml:space="preserve"> </w:t>
      </w:r>
      <w:r>
        <w:t xml:space="preserve">deployment </w:t>
      </w:r>
      <w:r>
        <w:t xml:space="preserve">(Hendrycks et al., 2021)</w:t>
      </w:r>
      <w:r>
        <w:t xml:space="preserve">. Canonical examples target distinct competencies:</w:t>
      </w:r>
      <w:r>
        <w:t xml:space="preserve"> </w:t>
      </w:r>
      <w:r>
        <w:t xml:space="preserve">MMLU for broad multitask knowledge across 57 subjects </w:t>
      </w:r>
      <w:r>
        <w:t xml:space="preserve">(Hendrycks et al., 2021)</w:t>
      </w:r>
      <w:r>
        <w:t xml:space="preserve">, GSM8K</w:t>
      </w:r>
      <w:r>
        <w:t xml:space="preserve"> </w:t>
      </w:r>
      <w:r>
        <w:t xml:space="preserve">for multi-step mathematical reasoning </w:t>
      </w:r>
      <w:r>
        <w:t xml:space="preserve">(Cobbe et al., 2021)</w:t>
      </w:r>
      <w:r>
        <w:t xml:space="preserve">, and HumanEval for</w:t>
      </w:r>
      <w:r>
        <w:t xml:space="preserve"> </w:t>
      </w:r>
      <w:r>
        <w:t xml:space="preserve">functional code generation </w:t>
      </w:r>
      <w:r>
        <w:t xml:space="preserve">(M. Chen et al., 2021)</w:t>
      </w:r>
      <w:r>
        <w:t xml:space="preserve">. Reported scores on these suites</w:t>
      </w:r>
      <w:r>
        <w:t xml:space="preserve"> </w:t>
      </w:r>
      <w:r>
        <w:t xml:space="preserve">drive model-selection decisions, leaderboard rankings, and published claims of progress.</w:t>
      </w:r>
    </w:p>
    <w:bookmarkEnd w:id="22"/>
    <w:bookmarkStart w:id="23" w:name="the-core-validity-assumption"/>
    <w:p>
      <w:pPr>
        <w:pStyle w:val="Heading2"/>
      </w:pPr>
      <w:r>
        <w:t xml:space="preserve">B. The core validity assumption</w:t>
      </w:r>
    </w:p>
    <w:p>
      <w:pPr>
        <w:pStyle w:val="FirstParagraph"/>
      </w:pPr>
      <w:r>
        <w:t xml:space="preserve">The inferential validity of benchmark evaluation rests on one strict assumption:</w:t>
      </w:r>
      <w:r>
        <w:t xml:space="preserve"> </w:t>
      </w:r>
      <w:r>
        <w:rPr>
          <w:iCs/>
          <w:i/>
        </w:rPr>
        <w:t xml:space="preserve">the test data was not seen during pre-training</w:t>
      </w:r>
      <w:r>
        <w:t xml:space="preserve">. Only under this assumption does</w:t>
      </w:r>
      <w:r>
        <w:t xml:space="preserve"> </w:t>
      </w:r>
      <w:r>
        <w:t xml:space="preserve">high benchmark performance license the intended conclusion, that the model</w:t>
      </w:r>
      <w:r>
        <w:t xml:space="preserve"> </w:t>
      </w:r>
      <w:r>
        <w:rPr>
          <w:iCs/>
          <w:i/>
        </w:rPr>
        <w:t xml:space="preserve">generalizes</w:t>
      </w:r>
      <w:r>
        <w:t xml:space="preserve"> </w:t>
      </w:r>
      <w:r>
        <w:t xml:space="preserve">(applies learned regularities to novel inputs) rather than</w:t>
      </w:r>
      <w:r>
        <w:t xml:space="preserve"> </w:t>
      </w:r>
      <w:r>
        <w:rPr>
          <w:iCs/>
          <w:i/>
        </w:rPr>
        <w:t xml:space="preserve">memorizes</w:t>
      </w:r>
      <w:r>
        <w:t xml:space="preserve"> </w:t>
      </w:r>
      <w:r>
        <w:t xml:space="preserve">(retrieves specific training instances). When the assumption is</w:t>
      </w:r>
      <w:r>
        <w:t xml:space="preserve"> </w:t>
      </w:r>
      <w:r>
        <w:t xml:space="preserve">violated, the benchmark no longer measures capability. A memorized test item inflates</w:t>
      </w:r>
      <w:r>
        <w:t xml:space="preserve"> </w:t>
      </w:r>
      <w:r>
        <w:t xml:space="preserve">the score without any corresponding gain in generalization, rendering the metric an</w:t>
      </w:r>
      <w:r>
        <w:t xml:space="preserve"> </w:t>
      </w:r>
      <w:r>
        <w:t xml:space="preserve">unreliable estimator of the construct it claims to measure. The generalization-versus-</w:t>
      </w:r>
      <w:r>
        <w:t xml:space="preserve"> </w:t>
      </w:r>
      <w:r>
        <w:t xml:space="preserve">memorization distinction is not merely conceptual: memorization is directly measurable</w:t>
      </w:r>
      <w:r>
        <w:t xml:space="preserve"> </w:t>
      </w:r>
      <w:r>
        <w:t xml:space="preserve">as the verbatim regeneration of training sequences and grows predictably, log-linearly</w:t>
      </w:r>
      <w:r>
        <w:t xml:space="preserve"> </w:t>
      </w:r>
      <w:r>
        <w:t xml:space="preserve">in model scale, data duplication, and context length </w:t>
      </w:r>
      <w:r>
        <w:t xml:space="preserve">(Carlini et al., 2023)</w:t>
      </w:r>
      <w:r>
        <w:t xml:space="preserve">. The</w:t>
      </w:r>
      <w:r>
        <w:t xml:space="preserve"> </w:t>
      </w:r>
      <w:r>
        <w:t xml:space="preserve">same phenomenon has a sharper, privacy-relevant form: a planted secret’s</w:t>
      </w:r>
      <w:r>
        <w:t xml:space="preserve"> </w:t>
      </w:r>
      <w:r>
        <w:rPr>
          <w:iCs/>
          <w:i/>
        </w:rPr>
        <w:t xml:space="preserve">exposure</w:t>
      </w:r>
      <w:r>
        <w:t xml:space="preserve">, the model’s tendency to rank that secret above random alternatives,</w:t>
      </w:r>
      <w:r>
        <w:t xml:space="preserve"> </w:t>
      </w:r>
      <w:r>
        <w:t xml:space="preserve">rises with how often it was seen during training </w:t>
      </w:r>
      <w:r>
        <w:t xml:space="preserve">(Carlini et al., 2019)</w:t>
      </w:r>
      <w:r>
        <w:t xml:space="preserve">, and which</w:t>
      </w:r>
      <w:r>
        <w:t xml:space="preserve"> </w:t>
      </w:r>
      <w:r>
        <w:t xml:space="preserve">specific examples a model memorizes is itself a measurable, example-level property rather</w:t>
      </w:r>
      <w:r>
        <w:t xml:space="preserve"> </w:t>
      </w:r>
      <w:r>
        <w:t xml:space="preserve">than a uniform background rate </w:t>
      </w:r>
      <w:r>
        <w:t xml:space="preserve">(C. Zhang et al., 2023)</w:t>
      </w:r>
      <w:r>
        <w:t xml:space="preserve">. A memorized benchmark item</w:t>
      </w:r>
      <w:r>
        <w:t xml:space="preserve"> </w:t>
      </w:r>
      <w:r>
        <w:t xml:space="preserve">is thus the visible end of the same mechanism that retains rare, sensitive strings.</w:t>
      </w:r>
    </w:p>
    <w:bookmarkEnd w:id="23"/>
    <w:bookmarkStart w:id="24" w:name="X39f9bea91464233268b9a4bcce366cee82be645"/>
    <w:p>
      <w:pPr>
        <w:pStyle w:val="Heading2"/>
      </w:pPr>
      <w:r>
        <w:t xml:space="preserve">C. Static test sets meet weakly filtered corpora</w:t>
      </w:r>
    </w:p>
    <w:p>
      <w:pPr>
        <w:pStyle w:val="FirstParagraph"/>
      </w:pPr>
      <w:r>
        <w:t xml:space="preserve">The security-relevant tension is structural. Evaluation benchmarks are</w:t>
      </w:r>
      <w:r>
        <w:t xml:space="preserve"> </w:t>
      </w:r>
      <w:r>
        <w:rPr>
          <w:iCs/>
          <w:i/>
        </w:rPr>
        <w:t xml:space="preserve">static,</w:t>
      </w:r>
      <w:r>
        <w:rPr>
          <w:iCs/>
          <w:i/>
        </w:rPr>
        <w:t xml:space="preserve"> </w:t>
      </w:r>
      <w:r>
        <w:rPr>
          <w:iCs/>
          <w:i/>
        </w:rPr>
        <w:t xml:space="preserve">small, widely circulated, and publicly indexed</w:t>
      </w:r>
      <w:r>
        <w:t xml:space="preserve">: once published, an MMLU or GSM8K item</w:t>
      </w:r>
      <w:r>
        <w:t xml:space="preserve"> </w:t>
      </w:r>
      <w:r>
        <w:t xml:space="preserve">is copied into papers, blog posts, GitHub repositories, and discussion forums. Training</w:t>
      </w:r>
      <w:r>
        <w:t xml:space="preserve"> </w:t>
      </w:r>
      <w:r>
        <w:t xml:space="preserve">corpora, by contrast, are</w:t>
      </w:r>
      <w:r>
        <w:t xml:space="preserve"> </w:t>
      </w:r>
      <w:r>
        <w:rPr>
          <w:iCs/>
          <w:i/>
        </w:rPr>
        <w:t xml:space="preserve">massive web scrapes with weak filtering</w:t>
      </w:r>
      <w:r>
        <w:t xml:space="preserve">, Common</w:t>
      </w:r>
      <w:r>
        <w:t xml:space="preserve"> </w:t>
      </w:r>
      <w:r>
        <w:t xml:space="preserve">Crawl </w:t>
      </w:r>
      <w:r>
        <w:t xml:space="preserve">(Common Crawl Foundation, n.d.)</w:t>
      </w:r>
      <w:r>
        <w:t xml:space="preserve"> </w:t>
      </w:r>
      <w:r>
        <w:t xml:space="preserve">and The Pile </w:t>
      </w:r>
      <w:r>
        <w:t xml:space="preserve">(Gao et al., 2020)</w:t>
      </w:r>
      <w:r>
        <w:t xml:space="preserve"> </w:t>
      </w:r>
      <w:r>
        <w:t xml:space="preserve">are assembled at the scale of</w:t>
      </w:r>
      <w:r>
        <w:t xml:space="preserve"> </w:t>
      </w:r>
      <w:r>
        <w:t xml:space="preserve">hundreds of gigabytes to petabytes, where exhaustive removal of any particular short</w:t>
      </w:r>
      <w:r>
        <w:t xml:space="preserve"> </w:t>
      </w:r>
      <w:r>
        <w:t xml:space="preserve">string is impractical. The natural consequence is that benchmark items are swept into</w:t>
      </w:r>
      <w:r>
        <w:t xml:space="preserve"> </w:t>
      </w:r>
      <w:r>
        <w:t xml:space="preserve">training corpora through ordinary web redistribution, with no adversary required. This</w:t>
      </w:r>
      <w:r>
        <w:t xml:space="preserve"> </w:t>
      </w:r>
      <w:r>
        <w:t xml:space="preserve">makes a public benchmark a persistent, low-effort</w:t>
      </w:r>
      <w:r>
        <w:t xml:space="preserve"> </w:t>
      </w:r>
      <w:r>
        <w:rPr>
          <w:iCs/>
          <w:i/>
        </w:rPr>
        <w:t xml:space="preserve">attack surface</w:t>
      </w:r>
      <w:r>
        <w:t xml:space="preserve">: the same</w:t>
      </w:r>
      <w:r>
        <w:t xml:space="preserve"> </w:t>
      </w:r>
      <w:r>
        <w:t xml:space="preserve">property that makes a benchmark useful (stable, shared, citable) is what guarantees its</w:t>
      </w:r>
      <w:r>
        <w:t xml:space="preserve"> </w:t>
      </w:r>
      <w:r>
        <w:t xml:space="preserve">eventual presence in the next corpus crawl.</w:t>
      </w:r>
    </w:p>
    <w:p>
      <w:pPr>
        <w:pStyle w:val="BodyText"/>
      </w:pPr>
      <w:r>
        <w:t xml:space="preserve">We argue this is best understood through a security lens rather than purely as a</w:t>
      </w:r>
      <w:r>
        <w:t xml:space="preserve"> </w:t>
      </w:r>
      <w:r>
        <w:t xml:space="preserve">measurement-hygiene problem. Contamination converts an evaluation artifact into a</w:t>
      </w:r>
      <w:r>
        <w:t xml:space="preserve"> </w:t>
      </w:r>
      <w:r>
        <w:t xml:space="preserve">channel that (i) invalidates the safety and capability claims downstream decisions rely</w:t>
      </w:r>
      <w:r>
        <w:t xml:space="preserve"> </w:t>
      </w:r>
      <w:r>
        <w:t xml:space="preserve">on, and (ii), the focus of this paper, couples directly to</w:t>
      </w:r>
      <w:r>
        <w:t xml:space="preserve"> </w:t>
      </w:r>
      <w:r>
        <w:rPr>
          <w:iCs/>
          <w:i/>
        </w:rPr>
        <w:t xml:space="preserve">memorization</w:t>
      </w:r>
      <w:r>
        <w:t xml:space="preserve">, and</w:t>
      </w:r>
      <w:r>
        <w:t xml:space="preserve"> </w:t>
      </w:r>
      <w:r>
        <w:t xml:space="preserve">through memorization to the leakage of sensitive content that co-occurs in the same</w:t>
      </w:r>
      <w:r>
        <w:t xml:space="preserve"> </w:t>
      </w:r>
      <w:r>
        <w:t xml:space="preserve">weakly filtered corpora. Section </w:t>
      </w:r>
      <w:hyperlink w:anchor="sec:relatedwork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formalizes contamination, its</w:t>
      </w:r>
      <w:r>
        <w:t xml:space="preserve"> </w:t>
      </w:r>
      <w:r>
        <w:t xml:space="preserve">typology, and the detection and memorization literature on which our evaluation builds.</w:t>
      </w:r>
    </w:p>
    <w:bookmarkEnd w:id="24"/>
    <w:bookmarkEnd w:id="25"/>
    <w:bookmarkStart w:id="30" w:name="sec:threat"/>
    <w:p>
      <w:pPr>
        <w:pStyle w:val="Heading1"/>
      </w:pPr>
      <w:r>
        <w:t xml:space="preserve">III. Threat Model</w:t>
      </w:r>
    </w:p>
    <w:p>
      <w:pPr>
        <w:pStyle w:val="FirstParagraph"/>
      </w:pPr>
      <w:r>
        <w:t xml:space="preserve">We frame contamination detection as a membership/exposure attack and state the adversary</w:t>
      </w:r>
      <w:r>
        <w:t xml:space="preserve"> </w:t>
      </w:r>
      <w:r>
        <w:t xml:space="preserve">explicitly, following the convention that a privacy attack must be evaluated by its behaviour at a</w:t>
      </w:r>
      <w:r>
        <w:t xml:space="preserve"> </w:t>
      </w:r>
      <w:r>
        <w:t xml:space="preserve">low false-positive operating point rather than on average </w:t>
      </w:r>
      <w:r>
        <w:t xml:space="preserve">(Carlini et al., 2022)</w:t>
      </w:r>
      <w:r>
        <w:t xml:space="preserve">.</w:t>
      </w:r>
    </w:p>
    <w:bookmarkStart w:id="26" w:name="adversary-goals-graded."/>
    <w:p>
      <w:pPr>
        <w:pStyle w:val="Heading4"/>
      </w:pPr>
      <w:r>
        <w:t xml:space="preserve">Adversary goals (graded).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G1: membership inference.</w:t>
      </w:r>
      <w:r>
        <w:t xml:space="preserve"> </w:t>
      </w:r>
      <w:r>
        <w:t xml:space="preserve">Decide whether a specific sequence (a benchmark item,</w:t>
      </w:r>
      <w:r>
        <w:t xml:space="preserve"> </w:t>
      </w:r>
      <w:r>
        <w:t xml:space="preserve">document, or record) was in the training corpus.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G2: benchmark-level contamination confirmation.</w:t>
      </w:r>
      <w:r>
        <w:t xml:space="preserve"> </w:t>
      </w:r>
      <w:r>
        <w:t xml:space="preserve">Decide, with a controlled</w:t>
      </w:r>
      <w:r>
        <w:t xml:space="preserve"> </w:t>
      </w:r>
      <w:r>
        <w:t xml:space="preserve">false-positive rate, whether an entire benchmark was trained on.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G3: extraction / leakage.</w:t>
      </w:r>
      <w:r>
        <w:t xml:space="preserve"> </w:t>
      </w:r>
      <w:r>
        <w:t xml:space="preserve">Recover verbatim content (and, on a controlled</w:t>
      </w:r>
      <w:r>
        <w:t xml:space="preserve"> </w:t>
      </w:r>
      <w:r>
        <w:t xml:space="preserve">corpus, PII) that was in training. This is the concrete harm, and G1–G2 are of interest largely</w:t>
      </w:r>
      <w:r>
        <w:t xml:space="preserve"> </w:t>
      </w:r>
      <w:r>
        <w:t xml:space="preserve">insofar as they predict G3.</w:t>
      </w:r>
    </w:p>
    <w:bookmarkEnd w:id="26"/>
    <w:bookmarkStart w:id="27" w:name="adversary-knowledge-and-access."/>
    <w:p>
      <w:pPr>
        <w:pStyle w:val="Heading4"/>
      </w:pPr>
      <w:r>
        <w:t xml:space="preserve">Adversary knowledge and access.</w:t>
      </w:r>
    </w:p>
    <w:p>
      <w:pPr>
        <w:pStyle w:val="FirstParagraph"/>
      </w:pPr>
      <w:r>
        <w:t xml:space="preserve">We grade detectors by the minimum access each requires:</w:t>
      </w:r>
      <w:r>
        <w:t xml:space="preserve"> </w:t>
      </w:r>
      <w:r>
        <w:rPr>
          <w:iCs/>
          <w:i/>
        </w:rPr>
        <w:t xml:space="preserve">black-box</w:t>
      </w:r>
      <w:r>
        <w:t xml:space="preserve"> </w:t>
      </w:r>
      <w:r>
        <w:t xml:space="preserve">(text in, text out, e.g. guided prompting, which we do not evaluate),</w:t>
      </w:r>
      <w:r>
        <w:t xml:space="preserve"> </w:t>
      </w:r>
      <w:r>
        <w:rPr>
          <w:iCs/>
          <w:i/>
        </w:rPr>
        <w:t xml:space="preserve">gray-box</w:t>
      </w:r>
      <w:r>
        <w:t xml:space="preserve"> </w:t>
      </w:r>
      <w:r>
        <w:t xml:space="preserve">(per-token log-probabilities / loss, e.g. LOSS, Min-K%, zlib), and</w:t>
      </w:r>
      <w:r>
        <w:t xml:space="preserve"> </w:t>
      </w:r>
      <w:r>
        <w:rPr>
          <w:iCs/>
          <w:i/>
        </w:rPr>
        <w:t xml:space="preserve">white-box</w:t>
      </w:r>
      <w:r>
        <w:t xml:space="preserve"> </w:t>
      </w:r>
      <w:r>
        <w:t xml:space="preserve">(the full next-token distribution, e.g. Min-K%++). The corpus-side n-gram test instead assumes access</w:t>
      </w:r>
      <w:r>
        <w:t xml:space="preserve"> </w:t>
      </w:r>
      <w:r>
        <w:t xml:space="preserve">to the training corpus (available here because the Pile is public) and is used to construct</w:t>
      </w:r>
      <w:r>
        <w:t xml:space="preserve"> </w:t>
      </w:r>
      <w:r>
        <w:t xml:space="preserve">ground-truth contamination labels, not as a model-access attack. For our ground-truth experiments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auditor</w:t>
      </w:r>
      <w:r>
        <w:t xml:space="preserve"> </w:t>
      </w:r>
      <w:r>
        <w:t xml:space="preserve">additionally knows the public training corpus. The modelled attacker does not</w:t>
      </w:r>
      <w:r>
        <w:t xml:space="preserve"> </w:t>
      </w:r>
      <w:r>
        <w:t xml:space="preserve">need corpus access for G1/G3.</w:t>
      </w:r>
    </w:p>
    <w:bookmarkEnd w:id="27"/>
    <w:bookmarkStart w:id="28" w:name="success-criteria."/>
    <w:p>
      <w:pPr>
        <w:pStyle w:val="Heading4"/>
      </w:pPr>
      <w:r>
        <w:t xml:space="preserve">Success criteria.</w:t>
      </w:r>
    </w:p>
    <w:p>
      <w:pPr>
        <w:pStyle w:val="FirstParagraph"/>
      </w:pPr>
      <w:r>
        <w:t xml:space="preserve">G1: true-positive rate at 0.1% and 1% false-positive rate</w:t>
      </w:r>
      <w:r>
        <w:t xml:space="preserve"> </w:t>
      </w:r>
      <w:r>
        <w:t xml:space="preserve">(log-scale ROC), with AUC secondary and bootstrap confidence intervals. G2: a permutation-test</w:t>
      </w:r>
      <w:r>
        <w:t xml:space="preserve"> </w:t>
      </w:r>
      <w:r>
        <w:t xml:space="preserve">p-value below threshold with a controlled false-positive rate </w:t>
      </w:r>
      <w:r>
        <w:t xml:space="preserve">(Oren et al., 2024)</w:t>
      </w:r>
      <w:r>
        <w:t xml:space="preserve">. G3: a</w:t>
      </w:r>
      <w:r>
        <w:t xml:space="preserve"> </w:t>
      </w:r>
      <w:r>
        <w:t xml:space="preserve">non-zero extraction rate and, as our headline analysis, a positive association between a per-item</w:t>
      </w:r>
      <w:r>
        <w:t xml:space="preserve"> </w:t>
      </w:r>
      <w:r>
        <w:t xml:space="preserve">contamination score and the per-item extraction outcome that</w:t>
      </w:r>
      <w:r>
        <w:t xml:space="preserve"> </w:t>
      </w:r>
      <w:r>
        <w:rPr>
          <w:iCs/>
          <w:i/>
        </w:rPr>
        <w:t xml:space="preserve">survives controlling for raw</w:t>
      </w:r>
      <w:r>
        <w:rPr>
          <w:iCs/>
          <w:i/>
        </w:rPr>
        <w:t xml:space="preserve"> </w:t>
      </w:r>
      <w:r>
        <w:rPr>
          <w:iCs/>
          <w:i/>
        </w:rPr>
        <w:t xml:space="preserve">loss</w:t>
      </w:r>
      <w:r>
        <w:t xml:space="preserve">. The last criterion is what distinguishes a contamination signal that genuinely predicts</w:t>
      </w:r>
      <w:r>
        <w:t xml:space="preserve"> </w:t>
      </w:r>
      <w:r>
        <w:t xml:space="preserve">leakage from one that merely restates the model’s loss.</w:t>
      </w:r>
    </w:p>
    <w:bookmarkEnd w:id="28"/>
    <w:bookmarkStart w:id="29" w:name="out-of-scope."/>
    <w:p>
      <w:pPr>
        <w:pStyle w:val="Heading4"/>
      </w:pPr>
      <w:r>
        <w:t xml:space="preserve">Out of scope.</w:t>
      </w:r>
    </w:p>
    <w:p>
      <w:pPr>
        <w:pStyle w:val="FirstParagraph"/>
      </w:pPr>
      <w:r>
        <w:t xml:space="preserve">We do not attack closed production models for real third-party PII, do not</w:t>
      </w:r>
      <w:r>
        <w:t xml:space="preserve"> </w:t>
      </w:r>
      <w:r>
        <w:t xml:space="preserve">train or fine-tune models, and propose no new detector. Differential privacy is discussed as the</w:t>
      </w:r>
      <w:r>
        <w:t xml:space="preserve"> </w:t>
      </w:r>
      <w:r>
        <w:t xml:space="preserve">producer-side mitigation our threat model motivates (Section </w:t>
      </w:r>
      <w:hyperlink w:anchor="sec:dp">
        <w:r>
          <w:rPr>
            <w:rStyle w:val="Hyperlink"/>
          </w:rPr>
          <w:t xml:space="preserve">4.5</w:t>
        </w:r>
      </w:hyperlink>
      <w:r>
        <w:t xml:space="preserve">), not implemented.</w:t>
      </w:r>
    </w:p>
    <w:bookmarkEnd w:id="29"/>
    <w:bookmarkEnd w:id="30"/>
    <w:bookmarkStart w:id="40" w:name="sec:relatedwork"/>
    <w:p>
      <w:pPr>
        <w:pStyle w:val="Heading1"/>
      </w:pPr>
      <w:r>
        <w:t xml:space="preserve">IV. Related Work: Contamination, Memorization, and Privacy Leakage</w:t>
      </w:r>
    </w:p>
    <w:bookmarkStart w:id="31" w:name="defining-benchmark-contamination"/>
    <w:p>
      <w:pPr>
        <w:pStyle w:val="Heading2"/>
      </w:pPr>
      <w:r>
        <w:t xml:space="preserve">A. Defining benchmark contamination</w:t>
      </w:r>
    </w:p>
    <w:p>
      <w:pPr>
        <w:pStyle w:val="FirstParagraph"/>
      </w:pPr>
      <w:r>
        <w:t xml:space="preserve">We adopt the standard definition:</w:t>
      </w:r>
      <w:r>
        <w:t xml:space="preserve"> </w:t>
      </w:r>
      <w:r>
        <w:rPr>
          <w:iCs/>
          <w:i/>
        </w:rPr>
        <w:t xml:space="preserve">benchmark contamination</w:t>
      </w:r>
      <w:r>
        <w:t xml:space="preserve"> </w:t>
      </w:r>
      <w:r>
        <w:t xml:space="preserve">is the presence of</w:t>
      </w:r>
      <w:r>
        <w:t xml:space="preserve"> </w:t>
      </w:r>
      <w:r>
        <w:t xml:space="preserve">evaluation data, inputs, labels, or accompanying metadata, within a model’s</w:t>
      </w:r>
      <w:r>
        <w:t xml:space="preserve"> </w:t>
      </w:r>
      <w:r>
        <w:t xml:space="preserve">pre-training corpus </w:t>
      </w:r>
      <w:r>
        <w:t xml:space="preserve">(Golchin &amp; Surdeanu, 2024)</w:t>
      </w:r>
      <w:r>
        <w:t xml:space="preserve">. Contamination matters for two</w:t>
      </w:r>
      <w:r>
        <w:t xml:space="preserve"> </w:t>
      </w:r>
      <w:r>
        <w:t xml:space="preserve">reasons that this paper treats as inseparable. First, it invalidates evaluation: a</w:t>
      </w:r>
      <w:r>
        <w:t xml:space="preserve"> </w:t>
      </w:r>
      <w:r>
        <w:t xml:space="preserve">contaminated score conflates capability with retrieval, so the metric no longer</w:t>
      </w:r>
      <w:r>
        <w:t xml:space="preserve"> </w:t>
      </w:r>
      <w:r>
        <w:t xml:space="preserve">estimates generalization. Second, and central to our thesis, contamination is a</w:t>
      </w:r>
      <w:r>
        <w:t xml:space="preserve"> </w:t>
      </w:r>
      <w:r>
        <w:rPr>
          <w:iCs/>
          <w:i/>
        </w:rPr>
        <w:t xml:space="preserve">symptom of, and a measurable proxy for, unintended memorization</w:t>
      </w:r>
      <w:r>
        <w:t xml:space="preserve">, and</w:t>
      </w:r>
      <w:r>
        <w:t xml:space="preserve"> </w:t>
      </w:r>
      <w:r>
        <w:t xml:space="preserve">memorization of evaluation data sits on the same mechanism that leaks sensitive</w:t>
      </w:r>
      <w:r>
        <w:t xml:space="preserve"> </w:t>
      </w:r>
      <w:r>
        <w:t xml:space="preserve">content from the corpus. We make this contamination → memorization → leakage chain the object of empirical study.</w:t>
      </w:r>
    </w:p>
    <w:bookmarkEnd w:id="31"/>
    <w:bookmarkStart w:id="32" w:name="a-typology-of-contamination"/>
    <w:p>
      <w:pPr>
        <w:pStyle w:val="Heading2"/>
      </w:pPr>
      <w:r>
        <w:t xml:space="preserve">B. A typology of contamination</w:t>
      </w:r>
    </w:p>
    <w:p>
      <w:pPr>
        <w:pStyle w:val="FirstParagraph"/>
      </w:pPr>
      <w:r>
        <w:t xml:space="preserve">Following the project’s framing and the contamination-detection</w:t>
      </w:r>
      <w:r>
        <w:t xml:space="preserve"> </w:t>
      </w:r>
      <w:r>
        <w:t xml:space="preserve">survey </w:t>
      </w:r>
      <w:r>
        <w:t xml:space="preserve">(Ravaut et al., 2024)</w:t>
      </w:r>
      <w:r>
        <w:t xml:space="preserve">, we distinguish three forms by the transformation</w:t>
      </w:r>
      <w:r>
        <w:t xml:space="preserve"> </w:t>
      </w:r>
      <w:r>
        <w:t xml:space="preserve">between the corpus copy and the benchmark item: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Verbatim contamination.</w:t>
      </w:r>
      <w:r>
        <w:t xml:space="preserve"> </w:t>
      </w:r>
      <w:r>
        <w:t xml:space="preserve">The exact token sequence of a test item</w:t>
      </w:r>
      <w:r>
        <w:t xml:space="preserve"> </w:t>
      </w:r>
      <w:r>
        <w:t xml:space="preserve">appears in training data. This is what classical n-gram decontamination targets</w:t>
      </w:r>
      <w:r>
        <w:t xml:space="preserve"> </w:t>
      </w:r>
      <w:r>
        <w:t xml:space="preserve">(e.g., the 13-gram overlap test introduced for GPT-3 </w:t>
      </w:r>
      <w:r>
        <w:t xml:space="preserve">(Brown et al., 2020)</w:t>
      </w:r>
      <w:r>
        <w:t xml:space="preserve">) and what</w:t>
      </w:r>
      <w:r>
        <w:t xml:space="preserve"> </w:t>
      </w:r>
      <w:r>
        <w:t xml:space="preserve">verbatim-extraction memorization measures </w:t>
      </w:r>
      <w:r>
        <w:t xml:space="preserve">(Carlini et al., 2023)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Paraphrased contamination.</w:t>
      </w:r>
      <w:r>
        <w:t xml:space="preserve"> </w:t>
      </w:r>
      <w:r>
        <w:t xml:space="preserve">The semantic content is present but</w:t>
      </w:r>
      <w:r>
        <w:t xml:space="preserve"> </w:t>
      </w:r>
      <w:r>
        <w:t xml:space="preserve">reworded, so surface-level n-gram matching misses it. A perfect verbatim filter</w:t>
      </w:r>
      <w:r>
        <w:t xml:space="preserve"> </w:t>
      </w:r>
      <w:r>
        <w:t xml:space="preserve">provides only a false sense of safety, since style-transfer rephrasings evade it</w:t>
      </w:r>
      <w:r>
        <w:t xml:space="preserve"> </w:t>
      </w:r>
      <w:r>
        <w:t xml:space="preserve">while preserving the leaked information </w:t>
      </w:r>
      <w:r>
        <w:t xml:space="preserve">(Ippolito et al., 2023)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Semantic contamination.</w:t>
      </w:r>
      <w:r>
        <w:t xml:space="preserve"> </w:t>
      </w:r>
      <w:r>
        <w:t xml:space="preserve">The underlying knowledge or answer is encoded</w:t>
      </w:r>
      <w:r>
        <w:t xml:space="preserve"> </w:t>
      </w:r>
      <w:r>
        <w:t xml:space="preserve">without lexical overlap (e.g., the same question-answer mapping in a different</w:t>
      </w:r>
      <w:r>
        <w:t xml:space="preserve"> </w:t>
      </w:r>
      <w:r>
        <w:t xml:space="preserve">format). Detecting it requires model-behavioral or distributional signals rather than</w:t>
      </w:r>
      <w:r>
        <w:t xml:space="preserve"> </w:t>
      </w:r>
      <w:r>
        <w:t xml:space="preserve">string matching.</w:t>
      </w:r>
    </w:p>
    <w:p>
      <w:pPr>
        <w:pStyle w:val="FirstParagraph"/>
      </w:pPr>
      <w:r>
        <w:t xml:space="preserve">A second, orthogonal severity axis is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is contaminated: input-only leakage</w:t>
      </w:r>
      <w:r>
        <w:t xml:space="preserve"> </w:t>
      </w:r>
      <w:r>
        <w:t xml:space="preserve">inflates familiarity, whereas joint input–label leakage enables direct answer</w:t>
      </w:r>
      <w:r>
        <w:t xml:space="preserve"> </w:t>
      </w:r>
      <w:r>
        <w:t xml:space="preserve">retrieval and is the most damaging to evaluation validity. Empirically, overlap between</w:t>
      </w:r>
      <w:r>
        <w:t xml:space="preserve"> </w:t>
      </w:r>
      <w:r>
        <w:t xml:space="preserve">open-model training data and benchmarks such as GSM8K has been reported for models</w:t>
      </w:r>
      <w:r>
        <w:t xml:space="preserve"> </w:t>
      </w:r>
      <w:r>
        <w:t xml:space="preserve">trained on largely undisclosed corpora </w:t>
      </w:r>
      <w:r>
        <w:t xml:space="preserve">(Touvron et al., 2023)</w:t>
      </w:r>
      <w:r>
        <w:t xml:space="preserve">, motivating</w:t>
      </w:r>
      <w:r>
        <w:t xml:space="preserve"> </w:t>
      </w:r>
      <w:r>
        <w:t xml:space="preserve">ground-truth-controlled study on models whose corpus is fully public.</w:t>
      </w:r>
    </w:p>
    <w:bookmarkEnd w:id="32"/>
    <w:bookmarkStart w:id="33" w:name="Xe12dbe27dbcaf1043c3536f365596c2c06dcc1b"/>
    <w:p>
      <w:pPr>
        <w:pStyle w:val="Heading2"/>
      </w:pPr>
      <w:r>
        <w:t xml:space="preserve">C. Why memorization is a security and privacy problem</w:t>
      </w:r>
    </w:p>
    <w:p>
      <w:pPr>
        <w:pStyle w:val="FirstParagraph"/>
      </w:pPr>
      <w:r>
        <w:t xml:space="preserve">Memorization is not a benign curiosity. Over-parameterized models trained on</w:t>
      </w:r>
      <w:r>
        <w:t xml:space="preserve"> </w:t>
      </w:r>
      <w:r>
        <w:t xml:space="preserve">web-scale scrapes retain and can regurgitate verbatim sequences, including personally</w:t>
      </w:r>
      <w:r>
        <w:t xml:space="preserve"> </w:t>
      </w:r>
      <w:r>
        <w:t xml:space="preserve">identifiable information (PII) such as names, emails, and phone</w:t>
      </w:r>
      <w:r>
        <w:t xml:space="preserve"> </w:t>
      </w:r>
      <w:r>
        <w:t xml:space="preserve">numbers </w:t>
      </w:r>
      <w:r>
        <w:t xml:space="preserve">(Carlini et al., 2021)</w:t>
      </w:r>
      <w:r>
        <w:t xml:space="preserve">. This has been formalized along several axes that</w:t>
      </w:r>
      <w:r>
        <w:t xml:space="preserve"> </w:t>
      </w:r>
      <w:r>
        <w:t xml:space="preserve">we reuse as outcome variables: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k-eidetic / extractable memorization.</w:t>
      </w:r>
      <w:r>
        <w:t xml:space="preserve"> </w:t>
      </w:r>
      <w:r>
        <w:t xml:space="preserve">A string is extractable if a</w:t>
      </w:r>
      <w:r>
        <w:t xml:space="preserve"> </w:t>
      </w:r>
      <w:r>
        <w:t xml:space="preserve">prefix makes the model regenerate it, and is k-eidetic if it occurs in at most k</w:t>
      </w:r>
      <w:r>
        <w:t xml:space="preserve"> </w:t>
      </w:r>
      <w:r>
        <w:t xml:space="preserve">training documents </w:t>
      </w:r>
      <w:r>
        <w:t xml:space="preserve">(Carlini et al., 2021)</w:t>
      </w:r>
      <w:r>
        <w:t xml:space="preserve">. The prefix-continuation form under</w:t>
      </w:r>
      <w:r>
        <w:t xml:space="preserve"> </w:t>
      </w:r>
      <w:r>
        <w:t xml:space="preserve">greedy decoding makes this directly measurable </w:t>
      </w:r>
      <w:r>
        <w:t xml:space="preserve">(Carlini et al., 2023)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Exposure and example-level memorization.</w:t>
      </w:r>
      <w:r>
        <w:t xml:space="preserve"> </w:t>
      </w:r>
      <w:r>
        <w:t xml:space="preserve">Injecting a canary secret and</w:t>
      </w:r>
      <w:r>
        <w:t xml:space="preserve"> </w:t>
      </w:r>
      <w:r>
        <w:t xml:space="preserve">measuring its</w:t>
      </w:r>
      <w:r>
        <w:t xml:space="preserve"> </w:t>
      </w:r>
      <w:r>
        <w:rPr>
          <w:iCs/>
          <w:i/>
        </w:rPr>
        <w:t xml:space="preserve">exposure</w:t>
      </w:r>
      <w:r>
        <w:t xml:space="preserve">, its rank against random alternatives, quantifies</w:t>
      </w:r>
      <w:r>
        <w:t xml:space="preserve"> </w:t>
      </w:r>
      <w:r>
        <w:t xml:space="preserve">unintended memorization and its growth with occurrence count </w:t>
      </w:r>
      <w:r>
        <w:t xml:space="preserve">(Carlini et al., 2019)</w:t>
      </w:r>
      <w:r>
        <w:t xml:space="preserve">.</w:t>
      </w:r>
      <w:r>
        <w:t xml:space="preserve"> </w:t>
      </w:r>
      <w:r>
        <w:t xml:space="preserve">This requires control over the training process (canary insertion), which our</w:t>
      </w:r>
      <w:r>
        <w:t xml:space="preserve"> </w:t>
      </w:r>
      <w:r>
        <w:t xml:space="preserve">pretrained-checkpoint setting does not afford, so we use it for definitions rather than</w:t>
      </w:r>
      <w:r>
        <w:t xml:space="preserve"> </w:t>
      </w:r>
      <w:r>
        <w:t xml:space="preserve">as a measurement. Relatedly, memorization is concentrated on specific</w:t>
      </w:r>
      <w:r>
        <w:t xml:space="preserve"> </w:t>
      </w:r>
      <w:r>
        <w:t xml:space="preserve">examples </w:t>
      </w:r>
      <w:r>
        <w:t xml:space="preserve">(C. Zhang et al., 2023)</w:t>
      </w:r>
      <w:r>
        <w:t xml:space="preserve"> </w:t>
      </w:r>
      <w:r>
        <w:t xml:space="preserve">rather than spread uniformly, which is what</w:t>
      </w:r>
      <w:r>
        <w:t xml:space="preserve"> </w:t>
      </w:r>
      <w:r>
        <w:t xml:space="preserve">makes per-item contamination scores meaningful predictors of per-item leakage.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Extraction at scale.</w:t>
      </w:r>
      <w:r>
        <w:t xml:space="preserve"> </w:t>
      </w:r>
      <w:r>
        <w:t xml:space="preserve">Production models can be driven, via a divergence</w:t>
      </w:r>
      <w:r>
        <w:t xml:space="preserve"> </w:t>
      </w:r>
      <w:r>
        <w:t xml:space="preserve">attack, to emit memorized training data well above their nominal aligned rate,</w:t>
      </w:r>
      <w:r>
        <w:t xml:space="preserve"> </w:t>
      </w:r>
      <w:r>
        <w:t xml:space="preserve">recovering thousands of verbatim examples cheaply </w:t>
      </w:r>
      <w:r>
        <w:t xml:space="preserve">(Nasr et al., 2025)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PII leakage games.</w:t>
      </w:r>
      <w:r>
        <w:t xml:space="preserve"> </w:t>
      </w:r>
      <w:r>
        <w:t xml:space="preserve">Leakage of personally identifiable information</w:t>
      </w:r>
      <w:r>
        <w:t xml:space="preserve"> </w:t>
      </w:r>
      <w:r>
        <w:t xml:space="preserve">decomposes into extraction, reconstruction, and inference. Data scrubbing and</w:t>
      </w:r>
      <w:r>
        <w:t xml:space="preserve"> </w:t>
      </w:r>
      <w:r>
        <w:t xml:space="preserve">differential privacy reduce but do not eliminate it </w:t>
      </w:r>
      <w:r>
        <w:t xml:space="preserve">(Lukas et al., 2023)</w:t>
      </w:r>
      <w:r>
        <w:t xml:space="preserve">, models leak</w:t>
      </w:r>
      <w:r>
        <w:t xml:space="preserve"> </w:t>
      </w:r>
      <w:r>
        <w:t xml:space="preserve">PII through memorization more than through associative</w:t>
      </w:r>
      <w:r>
        <w:t xml:space="preserve"> </w:t>
      </w:r>
      <w:r>
        <w:t xml:space="preserve">inference </w:t>
      </w:r>
      <w:r>
        <w:t xml:space="preserve">(Huang et al., 2022)</w:t>
      </w:r>
      <w:r>
        <w:t xml:space="preserve">, and black-box probing tools can elicit a data</w:t>
      </w:r>
      <w:r>
        <w:t xml:space="preserve"> </w:t>
      </w:r>
      <w:r>
        <w:t xml:space="preserve">subject’s PII directly from a deployed model </w:t>
      </w:r>
      <w:r>
        <w:t xml:space="preserve">(Kim et al., 2023)</w:t>
      </w:r>
      <w:r>
        <w:t xml:space="preserve">.</w:t>
      </w:r>
    </w:p>
    <w:p>
      <w:pPr>
        <w:pStyle w:val="FirstParagraph"/>
      </w:pPr>
      <w:r>
        <w:t xml:space="preserve">The security framing follows directly: if contamination is a measurable proxy for</w:t>
      </w:r>
      <w:r>
        <w:t xml:space="preserve"> </w:t>
      </w:r>
      <w:r>
        <w:t xml:space="preserve">memorization, and memorization is the vector for PII and proprietary-data exposure,</w:t>
      </w:r>
      <w:r>
        <w:t xml:space="preserve"> </w:t>
      </w:r>
      <w:r>
        <w:t xml:space="preserve">then contamination is not only a metrics problem but a</w:t>
      </w:r>
      <w:r>
        <w:t xml:space="preserve"> </w:t>
      </w:r>
      <w:r>
        <w:rPr>
          <w:iCs/>
          <w:i/>
        </w:rPr>
        <w:t xml:space="preserve">privacy vulnerability</w:t>
      </w:r>
      <w:r>
        <w:t xml:space="preserve">.</w:t>
      </w:r>
    </w:p>
    <w:bookmarkEnd w:id="33"/>
    <w:bookmarkStart w:id="34" w:name="sec:mia-lineage"/>
    <w:p>
      <w:pPr>
        <w:pStyle w:val="Heading2"/>
      </w:pPr>
      <w:r>
        <w:t xml:space="preserve">D. The membership-inference lineage</w:t>
      </w:r>
    </w:p>
    <w:p>
      <w:pPr>
        <w:pStyle w:val="FirstParagraph"/>
      </w:pPr>
      <w:r>
        <w:t xml:space="preserve">Deciding whether a specific record was in a model’s training set is the canonical</w:t>
      </w:r>
      <w:r>
        <w:t xml:space="preserve"> </w:t>
      </w:r>
      <w:r>
        <w:t xml:space="preserve">privacy attack, and contamination detection is an instance of it. The lineage we build</w:t>
      </w:r>
      <w:r>
        <w:t xml:space="preserve"> </w:t>
      </w:r>
      <w:r>
        <w:t xml:space="preserve">on runs as follows.</w:t>
      </w:r>
      <w:r>
        <w:t xml:space="preserve"> </w:t>
      </w:r>
      <w:r>
        <w:rPr>
          <w:iCs/>
          <w:i/>
        </w:rPr>
        <w:t xml:space="preserve">Shadow-model</w:t>
      </w:r>
      <w:r>
        <w:t xml:space="preserve"> </w:t>
      </w:r>
      <w:r>
        <w:t xml:space="preserve">attacks established the threat: by training</w:t>
      </w:r>
      <w:r>
        <w:t xml:space="preserve"> </w:t>
      </w:r>
      <w:r>
        <w:t xml:space="preserve">reference models on data drawn from the same distribution, an adversary learns to</w:t>
      </w:r>
      <w:r>
        <w:t xml:space="preserve"> </w:t>
      </w:r>
      <w:r>
        <w:t xml:space="preserve">distinguish members from non-members from the target model’s</w:t>
      </w:r>
      <w:r>
        <w:t xml:space="preserve"> </w:t>
      </w:r>
      <w:r>
        <w:t xml:space="preserve">outputs </w:t>
      </w:r>
      <w:r>
        <w:t xml:space="preserve">(Shokri et al., 2017)</w:t>
      </w:r>
      <w:r>
        <w:t xml:space="preserve">.</w:t>
      </w:r>
      <w:r>
        <w:t xml:space="preserve"> </w:t>
      </w:r>
      <w:r>
        <w:t xml:space="preserve">Yeom et al. (2018)</w:t>
      </w:r>
      <w:r>
        <w:t xml:space="preserve"> </w:t>
      </w:r>
      <w:r>
        <w:t xml:space="preserve">tied attack success to overfitting and</w:t>
      </w:r>
      <w:r>
        <w:t xml:space="preserve"> </w:t>
      </w:r>
      <w:r>
        <w:t xml:space="preserve">gave the simplest practical baseline (thresholding the per-example loss) together with the</w:t>
      </w:r>
      <w:r>
        <w:t xml:space="preserve"> </w:t>
      </w:r>
      <w:r>
        <w:rPr>
          <w:iCs/>
          <w:i/>
        </w:rPr>
        <w:t xml:space="preserve">membership advantage</w:t>
      </w:r>
      <w:r>
        <w:t xml:space="preserve"> </w:t>
      </w:r>
      <w:r>
        <w:t xml:space="preserve">(TPR-FPR) figure of merit.</w:t>
      </w:r>
      <w:r>
        <w:t xml:space="preserve"> </w:t>
      </w:r>
      <w:r>
        <w:t xml:space="preserve">Carlini et al. (2022)</w:t>
      </w:r>
      <w:r>
        <w:t xml:space="preserve">’s</w:t>
      </w:r>
      <w:r>
        <w:t xml:space="preserve"> </w:t>
      </w:r>
      <w:r>
        <w:rPr>
          <w:iCs/>
          <w:i/>
        </w:rPr>
        <w:t xml:space="preserve">Likelihood Ratio Attack</w:t>
      </w:r>
      <w:r>
        <w:t xml:space="preserve"> </w:t>
      </w:r>
      <w:r>
        <w:t xml:space="preserve">(LiRA) then reframed MIA from first</w:t>
      </w:r>
      <w:r>
        <w:t xml:space="preserve"> </w:t>
      </w:r>
      <w:r>
        <w:t xml:space="preserve">principles as a per-example hypothesis test calibrated with shadow models, and, central</w:t>
      </w:r>
      <w:r>
        <w:t xml:space="preserve"> </w:t>
      </w:r>
      <w:r>
        <w:t xml:space="preserve">to our methodology, argued that average-case AUC is the wrong yardstick for a privacy</w:t>
      </w:r>
      <w:r>
        <w:t xml:space="preserve"> </w:t>
      </w:r>
      <w:r>
        <w:t xml:space="preserve">threat: an attack matters if it identifies</w:t>
      </w:r>
      <w:r>
        <w:t xml:space="preserve"> </w:t>
      </w:r>
      <w:r>
        <w:rPr>
          <w:iCs/>
          <w:i/>
        </w:rPr>
        <w:t xml:space="preserve">some</w:t>
      </w:r>
      <w:r>
        <w:t xml:space="preserve"> </w:t>
      </w:r>
      <w:r>
        <w:t xml:space="preserve">members with very few false</w:t>
      </w:r>
      <w:r>
        <w:t xml:space="preserve"> </w:t>
      </w:r>
      <w:r>
        <w:t xml:space="preserve">accusations, so the right report is TPR at a low, fixed FPR on a log-scale ROC</w:t>
      </w:r>
      <w:r>
        <w:t xml:space="preserve"> </w:t>
      </w:r>
      <w:r>
        <w:t xml:space="preserve">curve. Shadow-model calibration, however, is infeasible at</w:t>
      </w:r>
      <w:r>
        <w:t xml:space="preserve"> </w:t>
      </w:r>
      <w:r>
        <w:t xml:space="preserve">Pile/Pythia scale (it requires training many models on the training distribution), so we</w:t>
      </w:r>
      <w:r>
        <w:t xml:space="preserve"> </w:t>
      </w:r>
      <w:r>
        <w:t xml:space="preserve">adopt LiRA’s</w:t>
      </w:r>
      <w:r>
        <w:t xml:space="preserve"> </w:t>
      </w:r>
      <w:r>
        <w:rPr>
          <w:iCs/>
          <w:i/>
        </w:rPr>
        <w:t xml:space="preserve">metric</w:t>
      </w:r>
      <w:r>
        <w:t xml:space="preserve"> </w:t>
      </w:r>
      <w:r>
        <w:t xml:space="preserve">but not its</w:t>
      </w:r>
      <w:r>
        <w:t xml:space="preserve"> </w:t>
      </w:r>
      <w:r>
        <w:rPr>
          <w:iCs/>
          <w:i/>
        </w:rPr>
        <w:t xml:space="preserve">attack</w:t>
      </w:r>
      <w:r>
        <w:t xml:space="preserve">.</w:t>
      </w:r>
    </w:p>
    <w:p>
      <w:pPr>
        <w:pStyle w:val="BodyText"/>
      </w:pPr>
      <w:r>
        <w:t xml:space="preserve">For pre-trained LLMs, the field moved to</w:t>
      </w:r>
      <w:r>
        <w:t xml:space="preserve"> </w:t>
      </w:r>
      <w:r>
        <w:rPr>
          <w:iCs/>
          <w:i/>
        </w:rPr>
        <w:t xml:space="preserve">reference-free</w:t>
      </w:r>
      <w:r>
        <w:t xml:space="preserve"> </w:t>
      </w:r>
      <w:r>
        <w:t xml:space="preserve">likelihood signals that</w:t>
      </w:r>
      <w:r>
        <w:t xml:space="preserve"> </w:t>
      </w:r>
      <w:r>
        <w:t xml:space="preserve">need no shadow models. Min-K% Prob averages the log-probabilities of a sequence’s</w:t>
      </w:r>
      <w:r>
        <w:t xml:space="preserve"> </w:t>
      </w:r>
      <w:r>
        <w:t xml:space="preserve">lowest-probability k% of tokens, on the hypothesis that members lack</w:t>
      </w:r>
      <w:r>
        <w:t xml:space="preserve"> </w:t>
      </w:r>
      <w:r>
        <w:t xml:space="preserve">high-surprise outlier tokens </w:t>
      </w:r>
      <w:r>
        <w:t xml:space="preserve">(Shi et al., 2024)</w:t>
      </w:r>
      <w:r>
        <w:t xml:space="preserve">. Min-K%++ sharpens this by</w:t>
      </w:r>
      <w:r>
        <w:t xml:space="preserve"> </w:t>
      </w:r>
      <w:r>
        <w:t xml:space="preserve">z-scoring each token against the</w:t>
      </w:r>
      <w:r>
        <w:t xml:space="preserve"> </w:t>
      </w:r>
      <w:r>
        <w:rPr>
          <w:iCs/>
          <w:i/>
        </w:rPr>
        <w:t xml:space="preserve">full</w:t>
      </w:r>
      <w:r>
        <w:t xml:space="preserve"> </w:t>
      </w:r>
      <w:r>
        <w:t xml:space="preserve">next-token distribution before averaging,</w:t>
      </w:r>
      <w:r>
        <w:t xml:space="preserve"> </w:t>
      </w:r>
      <w:r>
        <w:t xml:space="preserve">detecting that the target token sits at a local maximum of the modeled</w:t>
      </w:r>
      <w:r>
        <w:t xml:space="preserve"> </w:t>
      </w:r>
      <w:r>
        <w:t xml:space="preserve">distribution </w:t>
      </w:r>
      <w:r>
        <w:t xml:space="preserve">(J. Zhang et al., 2025)</w:t>
      </w:r>
      <w:r>
        <w:t xml:space="preserve">. A parallel reference-free line, neighbourhood</w:t>
      </w:r>
      <w:r>
        <w:t xml:space="preserve"> </w:t>
      </w:r>
      <w:r>
        <w:t xml:space="preserve">comparison, calibrates a sample’s score against synthetically generated neighbour texts</w:t>
      </w:r>
      <w:r>
        <w:t xml:space="preserve"> </w:t>
      </w:r>
      <w:r>
        <w:t xml:space="preserve">instead of a reference model </w:t>
      </w:r>
      <w:r>
        <w:t xml:space="preserve">(Mattern et al., 2023)</w:t>
      </w:r>
      <w:r>
        <w:t xml:space="preserve">. We treat it as a related</w:t>
      </w:r>
      <w:r>
        <w:t xml:space="preserve"> </w:t>
      </w:r>
      <w:r>
        <w:t xml:space="preserve">approach we do not evaluate, since it needs many extra masked-LM forward passes per</w:t>
      </w:r>
      <w:r>
        <w:t xml:space="preserve"> </w:t>
      </w:r>
      <w:r>
        <w:t xml:space="preserve">example and, in the regime below, underperforms. The reality check on this whole line is</w:t>
      </w:r>
      <w:r>
        <w:t xml:space="preserve"> </w:t>
      </w:r>
      <w:r>
        <w:t xml:space="preserve">the MIMIR study: a large-scale audit on Pythia (160M–12B) and The Pile with</w:t>
      </w:r>
      <w:r>
        <w:t xml:space="preserve"> </w:t>
      </w:r>
      <w:r>
        <w:t xml:space="preserve">controlled member/non-member splits finds that these attacks barely exceed chance</w:t>
      </w:r>
      <w:r>
        <w:t xml:space="preserve"> </w:t>
      </w:r>
      <w:r>
        <w:t xml:space="preserve">(AUC ≈ 0.5–0.6), that LLMs see their corpus for too few epochs over too large</w:t>
      </w:r>
      <w:r>
        <w:t xml:space="preserve"> </w:t>
      </w:r>
      <w:r>
        <w:t xml:space="preserve">a dataset to memorize in the way classical MIA assumes, and that apparent successes</w:t>
      </w:r>
      <w:r>
        <w:t xml:space="preserve"> </w:t>
      </w:r>
      <w:r>
        <w:t xml:space="preserve">frequently reflect a temporal or topical</w:t>
      </w:r>
      <w:r>
        <w:t xml:space="preserve"> </w:t>
      </w:r>
      <w:r>
        <w:rPr>
          <w:iCs/>
          <w:i/>
        </w:rPr>
        <w:t xml:space="preserve">distribution shift</w:t>
      </w:r>
      <w:r>
        <w:t xml:space="preserve"> </w:t>
      </w:r>
      <w:r>
        <w:t xml:space="preserve">between the splits</w:t>
      </w:r>
      <w:r>
        <w:t xml:space="preserve"> </w:t>
      </w:r>
      <w:r>
        <w:t xml:space="preserve">rather than membership </w:t>
      </w:r>
      <w:r>
        <w:t xml:space="preserve">(Duan et al., 2024)</w:t>
      </w:r>
      <w:r>
        <w:t xml:space="preserve">. This finding defines our honesty constraint:</w:t>
      </w:r>
      <w:r>
        <w:t xml:space="preserve"> </w:t>
      </w:r>
      <w:r>
        <w:t xml:space="preserve">we do not claim to beat these numbers. We ask whether the weak signal that remains still</w:t>
      </w:r>
      <w:r>
        <w:t xml:space="preserve"> </w:t>
      </w:r>
      <w:r>
        <w:t xml:space="preserve">predicts leakage.</w:t>
      </w:r>
    </w:p>
    <w:bookmarkEnd w:id="34"/>
    <w:bookmarkStart w:id="35" w:name="sec:dp"/>
    <w:p>
      <w:pPr>
        <w:pStyle w:val="Heading2"/>
      </w:pPr>
      <w:r>
        <w:t xml:space="preserve">E. Differential privacy as the defense direction</w:t>
      </w:r>
    </w:p>
    <w:p>
      <w:pPr>
        <w:pStyle w:val="FirstParagraph"/>
      </w:pPr>
      <w:r>
        <w:t xml:space="preserve">The standard principled mitigation for training-data leakage is differential privacy.</w:t>
      </w:r>
      <w:r>
        <w:t xml:space="preserve"> </w:t>
      </w:r>
      <w:r>
        <w:t xml:space="preserve">DP-SGD bounds any single example’s influence on the trained model by clipping per-example</w:t>
      </w:r>
      <w:r>
        <w:t xml:space="preserve"> </w:t>
      </w:r>
      <w:r>
        <w:t xml:space="preserve">gradients and adding calibrated noise, with privacy accounted via the moments</w:t>
      </w:r>
      <w:r>
        <w:t xml:space="preserve"> </w:t>
      </w:r>
      <w:r>
        <w:t xml:space="preserve">accountant </w:t>
      </w:r>
      <w:r>
        <w:t xml:space="preserve">(Abadi et al., 2016)</w:t>
      </w:r>
      <w:r>
        <w:t xml:space="preserve">. Applied to language models, DP fine-tuning can retain</w:t>
      </w:r>
      <w:r>
        <w:t xml:space="preserve"> </w:t>
      </w:r>
      <w:r>
        <w:t xml:space="preserve">much of the utility of non-private training, particularly with large pre-trained</w:t>
      </w:r>
      <w:r>
        <w:t xml:space="preserve"> </w:t>
      </w:r>
      <w:r>
        <w:t xml:space="preserve">backbones </w:t>
      </w:r>
      <w:r>
        <w:t xml:space="preserve">(Li et al., 2022)</w:t>
      </w:r>
      <w:r>
        <w:t xml:space="preserve"> </w:t>
      </w:r>
      <w:r>
        <w:t xml:space="preserve">and parameter-efficient adaptation </w:t>
      </w:r>
      <w:r>
        <w:t xml:space="preserve">(Yu et al., 2022)</w:t>
      </w:r>
      <w:r>
        <w:t xml:space="preserve">.</w:t>
      </w:r>
      <w:r>
        <w:t xml:space="preserve"> </w:t>
      </w:r>
      <w:r>
        <w:t xml:space="preserve">DP bounds memorization and thereby the leakage we measure, but at a privacy–utility cost</w:t>
      </w:r>
      <w:r>
        <w:t xml:space="preserve"> </w:t>
      </w:r>
      <w:r>
        <w:t xml:space="preserve">and, crucially for us, it must be applied</w:t>
      </w:r>
      <w:r>
        <w:t xml:space="preserve"> </w:t>
      </w:r>
      <w:r>
        <w:rPr>
          <w:iCs/>
          <w:i/>
        </w:rPr>
        <w:t xml:space="preserve">at training time</w:t>
      </w:r>
      <w:r>
        <w:t xml:space="preserve">. It is a defense for</w:t>
      </w:r>
      <w:r>
        <w:t xml:space="preserve"> </w:t>
      </w:r>
      <w:r>
        <w:t xml:space="preserve">model producers, not a detector available to an auditor of an already-released model. We</w:t>
      </w:r>
      <w:r>
        <w:t xml:space="preserve"> </w:t>
      </w:r>
      <w:r>
        <w:t xml:space="preserve">therefore position DP as the mitigation our threat model motivates, and do not implement</w:t>
      </w:r>
      <w:r>
        <w:t xml:space="preserve"> </w:t>
      </w:r>
      <w:r>
        <w:t xml:space="preserve">it (we train no models).</w:t>
      </w:r>
    </w:p>
    <w:bookmarkEnd w:id="35"/>
    <w:bookmarkStart w:id="36" w:name="existing-detection-techniques"/>
    <w:p>
      <w:pPr>
        <w:pStyle w:val="Heading2"/>
      </w:pPr>
      <w:r>
        <w:t xml:space="preserve">F. Existing detection techniques</w:t>
      </w:r>
    </w:p>
    <w:p>
      <w:pPr>
        <w:pStyle w:val="FirstParagraph"/>
      </w:pPr>
      <w:r>
        <w:t xml:space="preserve">We describe the techniques we implement and compare. The comparative evaluation and</w:t>
      </w:r>
      <w:r>
        <w:t xml:space="preserve"> </w:t>
      </w:r>
      <w:r>
        <w:t xml:space="preserve">the access requirements appear in Section </w:t>
      </w:r>
      <w:hyperlink w:anchor="sec:eval">
        <w:r>
          <w:rPr>
            <w:rStyle w:val="Hyperlink"/>
          </w:rPr>
          <w:t xml:space="preserve">5</w:t>
        </w:r>
      </w:hyperlink>
      <w:r>
        <w:t xml:space="preserve">. All operate without any novel</w:t>
      </w:r>
      <w:r>
        <w:t xml:space="preserve"> </w:t>
      </w:r>
      <w:r>
        <w:t xml:space="preserve">detector of our own, our contribution is their security-framed, ground-truth</w:t>
      </w:r>
      <w:r>
        <w:t xml:space="preserve"> </w:t>
      </w:r>
      <w:r>
        <w:t xml:space="preserve">evaluation, not a new method.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n-gram / substring overlap.</w:t>
      </w:r>
      <w:r>
        <w:t xml:space="preserve"> </w:t>
      </w:r>
      <w:r>
        <w:t xml:space="preserve">Flag a benchmark item that shares an</w:t>
      </w:r>
      <w:r>
        <w:t xml:space="preserve"> </w:t>
      </w:r>
      <w:r>
        <w:t xml:space="preserve">N-gram with the corpus </w:t>
      </w:r>
      <w:r>
        <w:t xml:space="preserve">(Brown et al., 2020)</w:t>
      </w:r>
      <w:r>
        <w:t xml:space="preserve">. Requires corpus access, and misses</w:t>
      </w:r>
      <w:r>
        <w:t xml:space="preserve"> </w:t>
      </w:r>
      <w:r>
        <w:t xml:space="preserve">paraphrased and semantic contamination.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Loss / perplexity thresholding.</w:t>
      </w:r>
      <w:r>
        <w:t xml:space="preserve"> </w:t>
      </w:r>
      <w:r>
        <w:t xml:space="preserve">The mandatory membership-inference</w:t>
      </w:r>
      <w:r>
        <w:t xml:space="preserve"> </w:t>
      </w:r>
      <w:r>
        <w:t xml:space="preserve">baseline: members exhibit lower loss, with attack success tied to</w:t>
      </w:r>
      <w:r>
        <w:t xml:space="preserve"> </w:t>
      </w:r>
      <w:r>
        <w:t xml:space="preserve">overfitting </w:t>
      </w:r>
      <w:r>
        <w:t xml:space="preserve">(Yeom et al., 2018)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Min-K% Prob.</w:t>
      </w:r>
      <w:r>
        <w:t xml:space="preserve"> </w:t>
      </w:r>
      <w:r>
        <w:t xml:space="preserve">Average the log-probabilities of the lowest-probability</w:t>
      </w:r>
      <w:r>
        <w:t xml:space="preserve"> </w:t>
      </w:r>
      <w:r>
        <w:t xml:space="preserve">k% of tokens, reference-free and logprob-only </w:t>
      </w:r>
      <w:r>
        <w:t xml:space="preserve">(Shi et al., 2024)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Min-K%++.</w:t>
      </w:r>
      <w:r>
        <w:t xml:space="preserve"> </w:t>
      </w:r>
      <w:r>
        <w:t xml:space="preserve">Normalizes each token’s log-probability against the full</w:t>
      </w:r>
      <w:r>
        <w:t xml:space="preserve"> </w:t>
      </w:r>
      <w:r>
        <w:t xml:space="preserve">next-token distribution before the bottom-k% average, the current state of the art</w:t>
      </w:r>
      <w:r>
        <w:t xml:space="preserve"> </w:t>
      </w:r>
      <w:r>
        <w:t xml:space="preserve">among reference-free detectors </w:t>
      </w:r>
      <w:r>
        <w:t xml:space="preserve">(J. Zhang et al., 2025)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zlib-entropy ratio.</w:t>
      </w:r>
      <w:r>
        <w:t xml:space="preserve"> </w:t>
      </w:r>
      <w:r>
        <w:t xml:space="preserve">Calibrate model perplexity by the zlib-compressed</w:t>
      </w:r>
      <w:r>
        <w:t xml:space="preserve"> </w:t>
      </w:r>
      <w:r>
        <w:t xml:space="preserve">size of the text, controlling for intrinsic compressibility/frequency </w:t>
      </w:r>
      <w:r>
        <w:t xml:space="preserve">(Carlini et al., 2021)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Permutation / exchangeability test.</w:t>
      </w:r>
      <w:r>
        <w:t xml:space="preserve"> </w:t>
      </w:r>
      <w:r>
        <w:t xml:space="preserve">At the</w:t>
      </w:r>
      <w:r>
        <w:t xml:space="preserve"> </w:t>
      </w:r>
      <w:r>
        <w:rPr>
          <w:iCs/>
          <w:i/>
        </w:rPr>
        <w:t xml:space="preserve">benchmark</w:t>
      </w:r>
      <w:r>
        <w:t xml:space="preserve"> </w:t>
      </w:r>
      <w:r>
        <w:t xml:space="preserve">level rather</w:t>
      </w:r>
      <w:r>
        <w:t xml:space="preserve"> </w:t>
      </w:r>
      <w:r>
        <w:t xml:space="preserve">than per item, score each ordering of a benchmark’s examples by the log-likelihood of</w:t>
      </w:r>
      <w:r>
        <w:t xml:space="preserve"> </w:t>
      </w:r>
      <w:r>
        <w:t xml:space="preserve">their concatenation and compare the canonical (published) order against random</w:t>
      </w:r>
      <w:r>
        <w:t xml:space="preserve"> </w:t>
      </w:r>
      <w:r>
        <w:t xml:space="preserve">shufflings. A model trained on the benchmark in canonical order favours it beyond</w:t>
      </w:r>
      <w:r>
        <w:t xml:space="preserve"> </w:t>
      </w:r>
      <w:r>
        <w:t xml:space="preserve">chance, yielding a provable, FPR-controlled contamination</w:t>
      </w:r>
      <w:r>
        <w:t xml:space="preserve"> </w:t>
      </w:r>
      <w:r>
        <w:t xml:space="preserve">certificate </w:t>
      </w:r>
      <w:r>
        <w:t xml:space="preserve">(Oren et al., 2024)</w:t>
      </w:r>
      <w:r>
        <w:t xml:space="preserve">.</w:t>
      </w:r>
    </w:p>
    <w:p>
      <w:pPr>
        <w:pStyle w:val="FirstParagraph"/>
      </w:pPr>
      <w:r>
        <w:t xml:space="preserve">We additionally note two techniques we describe but</w:t>
      </w:r>
      <w:r>
        <w:t xml:space="preserve"> </w:t>
      </w:r>
      <w:r>
        <w:rPr>
          <w:iCs/>
          <w:i/>
        </w:rPr>
        <w:t xml:space="preserve">do not</w:t>
      </w:r>
      <w:r>
        <w:t xml:space="preserve"> </w:t>
      </w:r>
      <w:r>
        <w:t xml:space="preserve">evaluate, since our</w:t>
      </w:r>
      <w:r>
        <w:t xml:space="preserve"> </w:t>
      </w:r>
      <w:r>
        <w:t xml:space="preserve">ground-truth, logit-access setting makes likelihood-based detectors stronger and cleaner:</w:t>
      </w:r>
      <w:r>
        <w:t xml:space="preserve"> </w:t>
      </w:r>
      <w:r>
        <w:rPr>
          <w:iCs/>
          <w:i/>
        </w:rPr>
        <w:t xml:space="preserve">guided prompting</w:t>
      </w:r>
      <w:r>
        <w:t xml:space="preserve">, which prompts a model with dataset metadata and a partial</w:t>
      </w:r>
      <w:r>
        <w:t xml:space="preserve"> </w:t>
      </w:r>
      <w:r>
        <w:t xml:space="preserve">instance and tests for verbatim completion </w:t>
      </w:r>
      <w:r>
        <w:t xml:space="preserve">(Golchin &amp; Surdeanu, 2024)</w:t>
      </w:r>
      <w:r>
        <w:t xml:space="preserve">, a black-box</w:t>
      </w:r>
      <w:r>
        <w:t xml:space="preserve"> </w:t>
      </w:r>
      <w:r>
        <w:t xml:space="preserve">signal aimed at closed models, and the reference-free</w:t>
      </w:r>
      <w:r>
        <w:t xml:space="preserve"> </w:t>
      </w:r>
      <w:r>
        <w:rPr>
          <w:iCs/>
          <w:i/>
        </w:rPr>
        <w:t xml:space="preserve">neighbourhood</w:t>
      </w:r>
      <w:r>
        <w:t xml:space="preserve"> </w:t>
      </w:r>
      <w:r>
        <w:t xml:space="preserve">and</w:t>
      </w:r>
      <w:r>
        <w:t xml:space="preserve"> </w:t>
      </w:r>
      <w:r>
        <w:t xml:space="preserve">shadow-model</w:t>
      </w:r>
      <w:r>
        <w:t xml:space="preserve"> </w:t>
      </w:r>
      <w:r>
        <w:rPr>
          <w:iCs/>
          <w:i/>
        </w:rPr>
        <w:t xml:space="preserve">reference</w:t>
      </w:r>
      <w:r>
        <w:t xml:space="preserve"> </w:t>
      </w:r>
      <w:r>
        <w:t xml:space="preserve">attacks discussed in</w:t>
      </w:r>
      <w:r>
        <w:t xml:space="preserve"> </w:t>
      </w:r>
      <w:r>
        <w:t xml:space="preserve">Section </w:t>
      </w:r>
      <w:hyperlink w:anchor="sec:mia-lineage">
        <w:r>
          <w:rPr>
            <w:rStyle w:val="Hyperlink"/>
          </w:rPr>
          <w:t xml:space="preserve">4.4</w:t>
        </w:r>
      </w:hyperlink>
      <w:r>
        <w:t xml:space="preserve"> </w:t>
      </w:r>
      <w:r>
        <w:t xml:space="preserve">(Mattern et al., 2023; Shokri et al., 2017)</w:t>
      </w:r>
      <w:r>
        <w:t xml:space="preserve">.</w:t>
      </w:r>
    </w:p>
    <w:bookmarkEnd w:id="36"/>
    <w:bookmarkStart w:id="37" w:name="X882b10cb98da89b70d2d6917c98279f500b2cce"/>
    <w:p>
      <w:pPr>
        <w:pStyle w:val="Heading2"/>
      </w:pPr>
      <w:r>
        <w:t xml:space="preserve">G. Limitations of existing detection, and our positioning</w:t>
      </w:r>
    </w:p>
    <w:p>
      <w:pPr>
        <w:pStyle w:val="FirstParagraph"/>
      </w:pPr>
      <w:r>
        <w:t xml:space="preserve">Two limitations frame our contribution. First,</w:t>
      </w:r>
      <w:r>
        <w:t xml:space="preserve"> </w:t>
      </w:r>
      <w:r>
        <w:rPr>
          <w:iCs/>
          <w:i/>
        </w:rPr>
        <w:t xml:space="preserve">detection is fragile to the</w:t>
      </w:r>
      <w:r>
        <w:rPr>
          <w:iCs/>
          <w:i/>
        </w:rPr>
        <w:t xml:space="preserve"> </w:t>
      </w:r>
      <w:r>
        <w:rPr>
          <w:iCs/>
          <w:i/>
        </w:rPr>
        <w:t xml:space="preserve">transformation</w:t>
      </w:r>
      <w:r>
        <w:t xml:space="preserve">: string-matching misses paraphrased and semantic</w:t>
      </w:r>
      <w:r>
        <w:t xml:space="preserve"> </w:t>
      </w:r>
      <w:r>
        <w:t xml:space="preserve">contamination </w:t>
      </w:r>
      <w:r>
        <w:t xml:space="preserve">(Ippolito et al., 2023)</w:t>
      </w:r>
      <w:r>
        <w:t xml:space="preserve">, and likelihood-based membership inference is</w:t>
      </w:r>
      <w:r>
        <w:t xml:space="preserve"> </w:t>
      </w:r>
      <w:r>
        <w:t xml:space="preserve">known to barely exceed chance on pre-trained LLMs evaluated under controlled ground</w:t>
      </w:r>
      <w:r>
        <w:t xml:space="preserve"> </w:t>
      </w:r>
      <w:r>
        <w:t xml:space="preserve">truth, because the corpora are seen for few epochs and member/non-member boundaries are</w:t>
      </w:r>
      <w:r>
        <w:t xml:space="preserve"> </w:t>
      </w:r>
      <w:r>
        <w:t xml:space="preserve">fuzzy </w:t>
      </w:r>
      <w:r>
        <w:t xml:space="preserve">(Duan et al., 2024)</w:t>
      </w:r>
      <w:r>
        <w:t xml:space="preserve">. Second,</w:t>
      </w:r>
      <w:r>
        <w:t xml:space="preserve"> </w:t>
      </w:r>
      <w:r>
        <w:rPr>
          <w:iCs/>
          <w:i/>
        </w:rPr>
        <w:t xml:space="preserve">evaluation conventions matter</w:t>
      </w:r>
      <w:r>
        <w:t xml:space="preserve">: average-case</w:t>
      </w:r>
      <w:r>
        <w:t xml:space="preserve"> </w:t>
      </w:r>
      <w:r>
        <w:t xml:space="preserve">AUC or accuracy can mask whether an attack confidently identifies any members, so the</w:t>
      </w:r>
      <w:r>
        <w:t xml:space="preserve"> </w:t>
      </w:r>
      <w:r>
        <w:t xml:space="preserve">security-appropriate report is true-positive rate at low false-positive rate with</w:t>
      </w:r>
      <w:r>
        <w:t xml:space="preserve"> </w:t>
      </w:r>
      <w:r>
        <w:t xml:space="preserve">log-scale ROC </w:t>
      </w:r>
      <w:r>
        <w:t xml:space="preserve">(Carlini et al., 2022)</w:t>
      </w:r>
      <w:r>
        <w:t xml:space="preserve">. We therefore do not claim a stronger detector.</w:t>
      </w:r>
      <w:r>
        <w:t xml:space="preserve"> </w:t>
      </w:r>
      <w:r>
        <w:t xml:space="preserve">We ask a different, security-relevant question:</w:t>
      </w:r>
      <w:r>
        <w:t xml:space="preserve"> </w:t>
      </w:r>
      <w:r>
        <w:rPr>
          <w:iCs/>
          <w:i/>
        </w:rPr>
        <w:t xml:space="preserve">even where contamination signal</w:t>
      </w:r>
      <w:r>
        <w:rPr>
          <w:iCs/>
          <w:i/>
        </w:rPr>
        <w:t xml:space="preserve"> </w:t>
      </w:r>
      <w:r>
        <w:rPr>
          <w:iCs/>
          <w:i/>
        </w:rPr>
        <w:t xml:space="preserve">is weak, does it predict concrete privacy leakage?</w:t>
      </w:r>
      <w:r>
        <w:t xml:space="preserve"> </w:t>
      </w:r>
      <w:r>
        <w:t xml:space="preserve">We answer it with ground-truth</w:t>
      </w:r>
      <w:r>
        <w:t xml:space="preserve"> </w:t>
      </w:r>
      <w:r>
        <w:t xml:space="preserve">membership on the Pythia suite </w:t>
      </w:r>
      <w:r>
        <w:t xml:space="preserve">(Biderman et al., 2023)</w:t>
      </w:r>
      <w:r>
        <w:t xml:space="preserve"> </w:t>
      </w:r>
      <w:r>
        <w:t xml:space="preserve">trained on the public</w:t>
      </w:r>
      <w:r>
        <w:t xml:space="preserve"> </w:t>
      </w:r>
      <w:r>
        <w:t xml:space="preserve">Pile </w:t>
      </w:r>
      <w:r>
        <w:t xml:space="preserve">(Gao et al., 2020)</w:t>
      </w:r>
      <w:r>
        <w:t xml:space="preserve">, under the low-FPR protocol, with explicit controls for the</w:t>
      </w:r>
      <w:r>
        <w:t xml:space="preserve"> </w:t>
      </w:r>
      <w:r>
        <w:t xml:space="preserve">frequency, duplication, and temporal confounds that prior work identifies.</w:t>
      </w:r>
    </w:p>
    <w:bookmarkEnd w:id="37"/>
    <w:bookmarkStart w:id="39" w:name="sec:closest"/>
    <w:p>
      <w:pPr>
        <w:pStyle w:val="Heading2"/>
      </w:pPr>
      <w:r>
        <w:t xml:space="preserve">H. Closest prior work, and how we differ</w:t>
      </w:r>
    </w:p>
    <w:p>
      <w:pPr>
        <w:pStyle w:val="FirstParagraph"/>
      </w:pPr>
      <w:r>
        <w:t xml:space="preserve">Three recent works reach conclusions adjacent to ours, and we are careful to position</w:t>
      </w:r>
      <w:r>
        <w:t xml:space="preserve"> </w:t>
      </w:r>
      <w:r>
        <w:t xml:space="preserve">against them rather than overclaim.</w:t>
      </w:r>
      <w:r>
        <w:t xml:space="preserve"> </w:t>
      </w:r>
      <w:r>
        <w:t xml:space="preserve">Al Sahili et al. (2025)</w:t>
      </w:r>
      <w:r>
        <w:t xml:space="preserve"> </w:t>
      </w:r>
      <w:r>
        <w:t xml:space="preserve">reach a compatible conclusion for targeted extraction, that</w:t>
      </w:r>
      <w:r>
        <w:t xml:space="preserve"> </w:t>
      </w:r>
      <w:r>
        <w:t xml:space="preserve">“</w:t>
      </w:r>
      <w:r>
        <w:t xml:space="preserve">complex MIA techniques</w:t>
      </w:r>
      <w:r>
        <w:t xml:space="preserve"> </w:t>
      </w:r>
      <w:r>
        <w:t xml:space="preserve">yield only marginal improvements over simple likelihood-based ranking,</w:t>
      </w:r>
      <w:r>
        <w:t xml:space="preserve">”</w:t>
      </w:r>
      <w:r>
        <w:t xml:space="preserve"> </w:t>
      </w:r>
      <w:r>
        <w:t xml:space="preserve">but they</w:t>
      </w:r>
      <w:r>
        <w:t xml:space="preserve"> </w:t>
      </w:r>
      <w:r>
        <w:t xml:space="preserve">establish it through aggregate</w:t>
      </w:r>
      <w:r>
        <w:t xml:space="preserve"> </w:t>
      </w:r>
      <w:r>
        <w:rPr>
          <w:iCs/>
          <w:i/>
        </w:rPr>
        <w:t xml:space="preserve">ranking-precision</w:t>
      </w:r>
      <w:r>
        <w:t xml:space="preserve"> </w:t>
      </w:r>
      <w:r>
        <w:t xml:space="preserve">comparisons and an AdaBoost</w:t>
      </w:r>
      <w:r>
        <w:t xml:space="preserve"> </w:t>
      </w:r>
      <w:r>
        <w:t xml:space="preserve">ensemble over MIA features, reporting</w:t>
      </w:r>
      <w:r>
        <w:t xml:space="preserve"> </w:t>
      </w:r>
      <w:r>
        <w:rPr>
          <w:iCs/>
          <w:i/>
        </w:rPr>
        <w:t xml:space="preserve">marginal gains</w:t>
      </w:r>
      <w:r>
        <w:t xml:space="preserve"> </w:t>
      </w:r>
      <w:r>
        <w:t xml:space="preserve">rather than testing for</w:t>
      </w:r>
      <w:r>
        <w:t xml:space="preserve"> </w:t>
      </w:r>
      <w:r>
        <w:t xml:space="preserve">independent signal. In contrast, we run a pre-registered</w:t>
      </w:r>
      <w:r>
        <w:t xml:space="preserve"> </w:t>
      </w:r>
      <w:r>
        <w:rPr>
          <w:iCs/>
          <w:i/>
        </w:rPr>
        <w:t xml:space="preserve">partial correlation</w:t>
      </w:r>
      <w:r>
        <w:rPr>
          <w:iCs/>
          <w:i/>
        </w:rPr>
        <w:t xml:space="preserve"> </w:t>
      </w:r>
      <w:r>
        <w:rPr>
          <w:iCs/>
          <w:i/>
        </w:rPr>
        <w:t xml:space="preserve">controlling for raw per-item loss</w:t>
      </w:r>
      <w:r>
        <w:t xml:space="preserve">, which lets us state the stronger, calibrated claim</w:t>
      </w:r>
      <w:r>
        <w:t xml:space="preserve"> </w:t>
      </w:r>
      <w:r>
        <w:t xml:space="preserve">that the reference-free detectors contribute</w:t>
      </w:r>
      <w:r>
        <w:t xml:space="preserve"> </w:t>
      </w:r>
      <w:r>
        <w:rPr>
          <w:iCs/>
          <w:i/>
        </w:rPr>
        <w:t xml:space="preserve">zero or negative</w:t>
      </w:r>
      <w:r>
        <w:t xml:space="preserve"> </w:t>
      </w:r>
      <w:r>
        <w:t xml:space="preserve">residual predictive</w:t>
      </w:r>
      <w:r>
        <w:t xml:space="preserve"> </w:t>
      </w:r>
      <w:r>
        <w:t xml:space="preserve">value once loss is partialled out.</w:t>
      </w:r>
      <w:r>
        <w:t xml:space="preserve"> </w:t>
      </w:r>
      <w:r>
        <w:t xml:space="preserve">Hayes et al. (2025)</w:t>
      </w:r>
      <w:r>
        <w:t xml:space="preserve"> </w:t>
      </w:r>
      <w:r>
        <w:t xml:space="preserve">likewise</w:t>
      </w:r>
      <w:r>
        <w:t xml:space="preserve"> </w:t>
      </w:r>
      <w:r>
        <w:t xml:space="preserve">“</w:t>
      </w:r>
      <w:r>
        <w:t xml:space="preserve">observe no correlation with MIA success</w:t>
      </w:r>
      <w:r>
        <w:t xml:space="preserve">”</w:t>
      </w:r>
      <w:r>
        <w:t xml:space="preserve"> </w:t>
      </w:r>
      <w:r>
        <w:t xml:space="preserve">for extraction and conclude the</w:t>
      </w:r>
      <w:r>
        <w:t xml:space="preserve"> </w:t>
      </w:r>
      <w:r>
        <w:t xml:space="preserve">“</w:t>
      </w:r>
      <w:r>
        <w:t xml:space="preserve">two privacy</w:t>
      </w:r>
      <w:r>
        <w:t xml:space="preserve"> </w:t>
      </w:r>
      <w:r>
        <w:t xml:space="preserve">attacks may capture different signals,</w:t>
      </w:r>
      <w:r>
        <w:t xml:space="preserve">”</w:t>
      </w:r>
      <w:r>
        <w:t xml:space="preserve"> </w:t>
      </w:r>
      <w:r>
        <w:t xml:space="preserve">but their evidence is a</w:t>
      </w:r>
      <w:r>
        <w:t xml:space="preserve"> </w:t>
      </w:r>
      <w:r>
        <w:rPr>
          <w:iCs/>
          <w:i/>
        </w:rPr>
        <w:t xml:space="preserve">direct, zero-order</w:t>
      </w:r>
      <w:r>
        <w:t xml:space="preserve"> </w:t>
      </w:r>
      <w:r>
        <w:t xml:space="preserve">correlation between a reference-model attack (LiRA) and extraction. We differ on both</w:t>
      </w:r>
      <w:r>
        <w:t xml:space="preserve"> </w:t>
      </w:r>
      <w:r>
        <w:t xml:space="preserve">method and object: we</w:t>
      </w:r>
      <w:r>
        <w:t xml:space="preserve"> </w:t>
      </w:r>
      <w:r>
        <w:rPr>
          <w:iCs/>
          <w:i/>
        </w:rPr>
        <w:t xml:space="preserve">partial out per-item loss</w:t>
      </w:r>
      <w:r>
        <w:t xml:space="preserve"> </w:t>
      </w:r>
      <w:r>
        <w:t xml:space="preserve">rather than correlating directly,</w:t>
      </w:r>
      <w:r>
        <w:t xml:space="preserve"> </w:t>
      </w:r>
      <w:r>
        <w:t xml:space="preserve">and we target the reference-free</w:t>
      </w:r>
      <w:r>
        <w:t xml:space="preserve"> </w:t>
      </w:r>
      <w:r>
        <w:rPr>
          <w:iCs/>
          <w:i/>
        </w:rPr>
        <w:t xml:space="preserve">calibrated</w:t>
      </w:r>
      <w:r>
        <w:t xml:space="preserve"> </w:t>
      </w:r>
      <w:r>
        <w:t xml:space="preserve">detectors (Min-K%, Min-K%++, zlib)</w:t>
      </w:r>
      <w:r>
        <w:t xml:space="preserve"> </w:t>
      </w:r>
      <w:r>
        <w:t xml:space="preserve">that the contamination-detection literature actually deploys, showing the divergence</w:t>
      </w:r>
      <w:r>
        <w:t xml:space="preserve"> </w:t>
      </w:r>
      <w:r>
        <w:t xml:space="preserve">persists as a controlled mediation result. Independently,</w:t>
      </w:r>
      <w:r>
        <w:t xml:space="preserve"> </w:t>
      </w:r>
      <w:r>
        <w:t xml:space="preserve">B. Chen et al. (2025)</w:t>
      </w:r>
      <w:r>
        <w:t xml:space="preserve"> </w:t>
      </w:r>
      <w:r>
        <w:t xml:space="preserve">find for the</w:t>
      </w:r>
      <w:r>
        <w:t xml:space="preserve"> </w:t>
      </w:r>
      <w:r>
        <w:rPr>
          <w:iCs/>
          <w:i/>
        </w:rPr>
        <w:t xml:space="preserve">membership</w:t>
      </w:r>
      <w:r>
        <w:t xml:space="preserve"> </w:t>
      </w:r>
      <w:r>
        <w:t xml:space="preserve">task that the few detectors</w:t>
      </w:r>
      <w:r>
        <w:t xml:space="preserve"> </w:t>
      </w:r>
      <w:r>
        <w:t xml:space="preserve">numerically above the loss baseline (Min-K%, Min-K%++, ReCaLL) do not beat it robustly</w:t>
      </w:r>
      <w:r>
        <w:t xml:space="preserve"> </w:t>
      </w:r>
      <w:r>
        <w:t xml:space="preserve">once random-seed variance is accounted for, and that performance is domain-dependent</w:t>
      </w:r>
      <w:r>
        <w:t xml:space="preserve"> </w:t>
      </w:r>
      <w:r>
        <w:t xml:space="preserve">(code-like, low-token-diversity domains such as GitHub and StackExchange behave</w:t>
      </w:r>
      <w:r>
        <w:t xml:space="preserve"> </w:t>
      </w:r>
      <w:r>
        <w:t xml:space="preserve">differently from Wikipedia and FreeLaw). We revisit this domain dependence for the</w:t>
      </w:r>
      <w:r>
        <w:t xml:space="preserve"> </w:t>
      </w:r>
      <w:r>
        <w:rPr>
          <w:iCs/>
          <w:i/>
        </w:rPr>
        <w:t xml:space="preserve">extraction</w:t>
      </w:r>
      <w:r>
        <w:t xml:space="preserve"> </w:t>
      </w:r>
      <w:r>
        <w:t xml:space="preserve">outcome in our per-domain analysis (Section </w:t>
      </w:r>
      <w:hyperlink w:anchor="sec:eval">
        <w:r>
          <w:rPr>
            <w:rStyle w:val="Hyperlink"/>
          </w:rPr>
          <w:t xml:space="preserve">5</w:t>
        </w:r>
      </w:hyperlink>
      <w:r>
        <w:t xml:space="preserve">), noting it</w:t>
      </w:r>
      <w:r>
        <w:t xml:space="preserve"> </w:t>
      </w:r>
      <w:r>
        <w:t xml:space="preserve">is a distinct axis from their membership-AUC result. Finally, blind-baseline and SoK</w:t>
      </w:r>
      <w:r>
        <w:t xml:space="preserve"> </w:t>
      </w:r>
      <w:r>
        <w:t xml:space="preserve">critiques </w:t>
      </w:r>
      <w:r>
        <w:t xml:space="preserve">(Das et al., 2024; Meeus et al., 2025)</w:t>
      </w:r>
      <w:r>
        <w:t xml:space="preserve"> </w:t>
      </w:r>
      <w:r>
        <w:t xml:space="preserve">show that post-hoc member/non-member splits can</w:t>
      </w:r>
      <w:r>
        <w:t xml:space="preserve"> </w:t>
      </w:r>
      <w:r>
        <w:t xml:space="preserve">make detector</w:t>
      </w:r>
      <w:r>
        <w:t xml:space="preserve"> </w:t>
      </w:r>
      <w:r>
        <w:t xml:space="preserve">“</w:t>
      </w:r>
      <w:r>
        <w:t xml:space="preserve">success</w:t>
      </w:r>
      <w:r>
        <w:t xml:space="preserve">”</w:t>
      </w:r>
      <w:r>
        <w:t xml:space="preserve"> </w:t>
      </w:r>
      <w:r>
        <w:t xml:space="preserve">an artifact of distribution shift. Our use of ground-truth Pile</w:t>
      </w:r>
      <w:r>
        <w:t xml:space="preserve"> </w:t>
      </w:r>
      <w:r>
        <w:t xml:space="preserve">membership (no post-hoc split) is precisely the design discipline they call for.</w:t>
      </w:r>
    </w:p>
    <w:bookmarkStart w:id="38" w:name="tab:closest"/>
    <w:p>
      <w:pPr>
        <w:pStyle w:val="TableCaption"/>
      </w:pPr>
      <w:r>
        <w:t xml:space="preserve">Table I. Where this work sits. To our knowledge it is the only study that pairs a per-item</w:t>
      </w:r>
      <w:r>
        <w:t xml:space="preserve"> </w:t>
      </w:r>
      <w:r>
        <w:rPr>
          <w:iCs/>
          <w:i/>
        </w:rPr>
        <w:t xml:space="preserve">extraction</w:t>
      </w:r>
      <w:r>
        <w:t xml:space="preserve"> </w:t>
      </w:r>
      <w:r>
        <w:t xml:space="preserve">outcome with a</w:t>
      </w:r>
      <w:r>
        <w:t xml:space="preserve"> </w:t>
      </w:r>
      <w:r>
        <w:rPr>
          <w:iCs/>
          <w:i/>
        </w:rPr>
        <w:t xml:space="preserve">partial-correlation/mediation</w:t>
      </w:r>
      <w:r>
        <w:t xml:space="preserve"> </w:t>
      </w:r>
      <w:r>
        <w:t xml:space="preserve">control for raw loss</w:t>
      </w:r>
      <w:r>
        <w:t xml:space="preserve"> </w:t>
      </w:r>
      <w:r>
        <w:t xml:space="preserve">on</w:t>
      </w:r>
      <w:r>
        <w:t xml:space="preserve"> </w:t>
      </w:r>
      <w:r>
        <w:rPr>
          <w:iCs/>
          <w:i/>
        </w:rPr>
        <w:t xml:space="preserve">calibrated reference-free</w:t>
      </w:r>
      <w:r>
        <w:t xml:space="preserve"> </w:t>
      </w:r>
      <w:r>
        <w:t xml:space="preserve">detectors, yielding a quantified zero/negative marginal.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Caption w:val="Table I. Where this work sits. To our knowledge it is the only study that pairs a per-item extraction outcome with a partial-correlation/mediation control for raw loss on calibrated reference-free detectors, yielding a quantified zero/negative marginal."/>
      </w:tblPr>
      <w:tblGrid>
        <w:gridCol w:w="2241"/>
        <w:gridCol w:w="1513"/>
        <w:gridCol w:w="1457"/>
        <w:gridCol w:w="2241"/>
        <w:gridCol w:w="1908"/>
      </w:tblGrid>
      <w:tblGrid/>
      <w:tr>
        <w:tc>
          <w:tcPr>
            <w:tcW w:type="dxa" w:w="2241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Study</w:t>
            </w:r>
          </w:p>
        </w:tc>
        <w:tc>
          <w:tcPr>
            <w:tcW w:type="dxa" w:w="151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Outcome</w:t>
            </w:r>
          </w:p>
        </w:tc>
        <w:tc>
          <w:tcPr>
            <w:tcW w:type="dxa" w:w="1457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Detectors</w:t>
            </w:r>
          </w:p>
        </w:tc>
        <w:tc>
          <w:tcPr>
            <w:tcW w:type="dxa" w:w="2241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Statistical method</w:t>
            </w:r>
          </w:p>
        </w:tc>
        <w:tc>
          <w:tcPr>
            <w:tcW w:type="dxa" w:w="190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Conclusion</w:t>
            </w:r>
          </w:p>
        </w:tc>
      </w:tr>
      <w:tr>
        <w:tc>
          <w:tcPr>
            <w:tcW w:type="dxa" w:w="2241"/>
          </w:tcPr>
          <w:p>
            <w:pPr>
              <w:pStyle w:val="Compact"/>
              <w:jc w:val="left"/>
            </w:pPr>
            <w:r>
              <w:t xml:space="preserve">Shi et al. (2024; J. Zhang et al., 2025)</w:t>
            </w:r>
          </w:p>
        </w:tc>
        <w:tc>
          <w:tcPr>
            <w:tcW w:type="dxa" w:w="1513"/>
          </w:tcPr>
          <w:p>
            <w:pPr>
              <w:pStyle w:val="Compact"/>
              <w:jc w:val="left"/>
            </w:pPr>
            <w:r>
              <w:t xml:space="preserve">membership</w:t>
            </w:r>
          </w:p>
        </w:tc>
        <w:tc>
          <w:tcPr>
            <w:tcW w:type="dxa" w:w="1457"/>
          </w:tcPr>
          <w:p>
            <w:pPr>
              <w:pStyle w:val="Compact"/>
              <w:jc w:val="left"/>
            </w:pPr>
            <w:r>
              <w:t xml:space="preserve">reference-free (Min-K%/++)</w:t>
            </w:r>
          </w:p>
        </w:tc>
        <w:tc>
          <w:tcPr>
            <w:tcW w:type="dxa" w:w="2241"/>
          </w:tcPr>
          <w:p>
            <w:pPr>
              <w:pStyle w:val="Compact"/>
              <w:jc w:val="left"/>
            </w:pPr>
            <w:r>
              <w:t xml:space="preserve">AUC / TPR@FPR</w:t>
            </w:r>
          </w:p>
        </w:tc>
        <w:tc>
          <w:tcPr>
            <w:tcW w:type="dxa" w:w="1908"/>
          </w:tcPr>
          <w:p>
            <w:pPr>
              <w:pStyle w:val="Compact"/>
              <w:jc w:val="left"/>
            </w:pPr>
            <w:r>
              <w:t xml:space="preserve">detector raises membership AUC</w:t>
            </w:r>
          </w:p>
        </w:tc>
      </w:tr>
      <w:tr>
        <w:tc>
          <w:tcPr>
            <w:tcW w:type="dxa" w:w="2241"/>
          </w:tcPr>
          <w:p>
            <w:pPr>
              <w:pStyle w:val="Compact"/>
              <w:jc w:val="left"/>
            </w:pPr>
            <w:r>
              <w:t xml:space="preserve">Duan et al. (2024)</w:t>
            </w:r>
            <w:r>
              <w:t xml:space="preserve"> </w:t>
            </w:r>
            <w:r>
              <w:t xml:space="preserve">(MIMIR)</w:t>
            </w:r>
          </w:p>
        </w:tc>
        <w:tc>
          <w:tcPr>
            <w:tcW w:type="dxa" w:w="1513"/>
          </w:tcPr>
          <w:p>
            <w:pPr>
              <w:pStyle w:val="Compact"/>
              <w:jc w:val="left"/>
            </w:pPr>
            <w:r>
              <w:t xml:space="preserve">membership</w:t>
            </w:r>
          </w:p>
        </w:tc>
        <w:tc>
          <w:tcPr>
            <w:tcW w:type="dxa" w:w="1457"/>
          </w:tcPr>
          <w:p>
            <w:pPr>
              <w:pStyle w:val="Compact"/>
              <w:jc w:val="left"/>
            </w:pPr>
            <w:r>
              <w:t xml:space="preserve">ref-free + reference</w:t>
            </w:r>
          </w:p>
        </w:tc>
        <w:tc>
          <w:tcPr>
            <w:tcW w:type="dxa" w:w="2241"/>
          </w:tcPr>
          <w:p>
            <w:pPr>
              <w:pStyle w:val="Compact"/>
              <w:jc w:val="left"/>
            </w:pPr>
            <w:r>
              <w:t xml:space="preserve">AUC on ground truth</w:t>
            </w:r>
          </w:p>
        </w:tc>
        <w:tc>
          <w:tcPr>
            <w:tcW w:type="dxa" w:w="1908"/>
          </w:tcPr>
          <w:p>
            <w:pPr>
              <w:pStyle w:val="Compact"/>
              <w:jc w:val="left"/>
            </w:pPr>
            <w:r>
              <w:t xml:space="preserve">MIAs ≈ chance on LLMs</w:t>
            </w:r>
          </w:p>
        </w:tc>
      </w:tr>
      <w:tr>
        <w:tc>
          <w:tcPr>
            <w:tcW w:type="dxa" w:w="2241"/>
          </w:tcPr>
          <w:p>
            <w:pPr>
              <w:pStyle w:val="Compact"/>
              <w:jc w:val="left"/>
            </w:pPr>
            <w:r>
              <w:t xml:space="preserve">Carlini et al. (2022)</w:t>
            </w:r>
            <w:r>
              <w:t xml:space="preserve"> </w:t>
            </w:r>
            <w:r>
              <w:t xml:space="preserve">(LiRA)</w:t>
            </w:r>
          </w:p>
        </w:tc>
        <w:tc>
          <w:tcPr>
            <w:tcW w:type="dxa" w:w="1513"/>
          </w:tcPr>
          <w:p>
            <w:pPr>
              <w:pStyle w:val="Compact"/>
              <w:jc w:val="left"/>
            </w:pPr>
            <w:r>
              <w:t xml:space="preserve">membership</w:t>
            </w:r>
          </w:p>
        </w:tc>
        <w:tc>
          <w:tcPr>
            <w:tcW w:type="dxa" w:w="1457"/>
          </w:tcPr>
          <w:p>
            <w:pPr>
              <w:pStyle w:val="Compact"/>
              <w:jc w:val="left"/>
            </w:pPr>
            <w:r>
              <w:t xml:space="preserve">shadow/reference</w:t>
            </w:r>
          </w:p>
        </w:tc>
        <w:tc>
          <w:tcPr>
            <w:tcW w:type="dxa" w:w="2241"/>
          </w:tcPr>
          <w:p>
            <w:pPr>
              <w:pStyle w:val="Compact"/>
              <w:jc w:val="left"/>
            </w:pPr>
            <w:r>
              <w:t xml:space="preserve">TPR at low FPR</w:t>
            </w:r>
          </w:p>
        </w:tc>
        <w:tc>
          <w:tcPr>
            <w:tcW w:type="dxa" w:w="1908"/>
          </w:tcPr>
          <w:p>
            <w:pPr>
              <w:pStyle w:val="Compact"/>
              <w:jc w:val="left"/>
            </w:pPr>
            <w:r>
              <w:t xml:space="preserve">strong only with shadow models</w:t>
            </w:r>
          </w:p>
        </w:tc>
      </w:tr>
      <w:tr>
        <w:tc>
          <w:tcPr>
            <w:tcW w:type="dxa" w:w="2241"/>
          </w:tcPr>
          <w:p>
            <w:pPr>
              <w:pStyle w:val="Compact"/>
              <w:jc w:val="left"/>
            </w:pPr>
            <w:r>
              <w:t xml:space="preserve">B. Chen et al. (2025)</w:t>
            </w:r>
          </w:p>
        </w:tc>
        <w:tc>
          <w:tcPr>
            <w:tcW w:type="dxa" w:w="1513"/>
          </w:tcPr>
          <w:p>
            <w:pPr>
              <w:pStyle w:val="Compact"/>
              <w:jc w:val="left"/>
            </w:pPr>
            <w:r>
              <w:t xml:space="preserve">membership</w:t>
            </w:r>
          </w:p>
        </w:tc>
        <w:tc>
          <w:tcPr>
            <w:tcW w:type="dxa" w:w="1457"/>
          </w:tcPr>
          <w:p>
            <w:pPr>
              <w:pStyle w:val="Compact"/>
              <w:jc w:val="left"/>
            </w:pPr>
            <w:r>
              <w:t xml:space="preserve">reference-free</w:t>
            </w:r>
          </w:p>
        </w:tc>
        <w:tc>
          <w:tcPr>
            <w:tcW w:type="dxa" w:w="2241"/>
          </w:tcPr>
          <w:p>
            <w:pPr>
              <w:pStyle w:val="Compact"/>
              <w:jc w:val="left"/>
            </w:pPr>
            <w:r>
              <w:t xml:space="preserve">seed-variance testing vs loss</w:t>
            </w:r>
          </w:p>
        </w:tc>
        <w:tc>
          <w:tcPr>
            <w:tcW w:type="dxa" w:w="1908"/>
          </w:tcPr>
          <w:p>
            <w:pPr>
              <w:pStyle w:val="Compact"/>
              <w:jc w:val="left"/>
            </w:pPr>
            <w:r>
              <w:t xml:space="preserve">not robustly beyond loss</w:t>
            </w:r>
          </w:p>
        </w:tc>
      </w:tr>
      <w:tr>
        <w:tc>
          <w:tcPr>
            <w:tcW w:type="dxa" w:w="2241"/>
          </w:tcPr>
          <w:p>
            <w:pPr>
              <w:pStyle w:val="Compact"/>
              <w:jc w:val="left"/>
            </w:pPr>
            <w:r>
              <w:t xml:space="preserve">Hayes et al. (2025)</w:t>
            </w:r>
          </w:p>
        </w:tc>
        <w:tc>
          <w:tcPr>
            <w:tcW w:type="dxa" w:w="1513"/>
          </w:tcPr>
          <w:p>
            <w:pPr>
              <w:pStyle w:val="Compact"/>
              <w:jc w:val="left"/>
            </w:pPr>
            <w:r>
              <w:t xml:space="preserve">membership &amp; extraction</w:t>
            </w:r>
          </w:p>
        </w:tc>
        <w:tc>
          <w:tcPr>
            <w:tcW w:type="dxa" w:w="1457"/>
          </w:tcPr>
          <w:p>
            <w:pPr>
              <w:pStyle w:val="Compact"/>
              <w:jc w:val="left"/>
            </w:pPr>
            <w:r>
              <w:t xml:space="preserve">LiRA (reference)</w:t>
            </w:r>
          </w:p>
        </w:tc>
        <w:tc>
          <w:tcPr>
            <w:tcW w:type="dxa" w:w="2241"/>
          </w:tcPr>
          <w:p>
            <w:pPr>
              <w:pStyle w:val="Compact"/>
              <w:jc w:val="left"/>
            </w:pPr>
            <w:r>
              <w:t xml:space="preserve">direct (zero-order) correlation</w:t>
            </w:r>
          </w:p>
        </w:tc>
        <w:tc>
          <w:tcPr>
            <w:tcW w:type="dxa" w:w="1908"/>
          </w:tcPr>
          <w:p>
            <w:pPr>
              <w:pStyle w:val="Compact"/>
              <w:jc w:val="left"/>
            </w:pPr>
            <w:r>
              <w:t xml:space="preserve">MIA does not imply extraction</w:t>
            </w:r>
          </w:p>
        </w:tc>
      </w:tr>
      <w:tr>
        <w:tc>
          <w:tcPr>
            <w:tcW w:type="dxa" w:w="2241"/>
          </w:tcPr>
          <w:p>
            <w:pPr>
              <w:pStyle w:val="Compact"/>
              <w:jc w:val="left"/>
            </w:pPr>
            <w:r>
              <w:t xml:space="preserve">Al Sahili et al. (2025)</w:t>
            </w:r>
          </w:p>
        </w:tc>
        <w:tc>
          <w:tcPr>
            <w:tcW w:type="dxa" w:w="1513"/>
          </w:tcPr>
          <w:p>
            <w:pPr>
              <w:pStyle w:val="Compact"/>
              <w:jc w:val="left"/>
            </w:pPr>
            <w:r>
              <w:t xml:space="preserve">extraction (targeted)</w:t>
            </w:r>
          </w:p>
        </w:tc>
        <w:tc>
          <w:tcPr>
            <w:tcW w:type="dxa" w:w="1457"/>
          </w:tcPr>
          <w:p>
            <w:pPr>
              <w:pStyle w:val="Compact"/>
              <w:jc w:val="left"/>
            </w:pPr>
            <w:r>
              <w:t xml:space="preserve">ref-free + AdaBoost</w:t>
            </w:r>
          </w:p>
        </w:tc>
        <w:tc>
          <w:tcPr>
            <w:tcW w:type="dxa" w:w="2241"/>
          </w:tcPr>
          <w:p>
            <w:pPr>
              <w:pStyle w:val="Compact"/>
              <w:jc w:val="left"/>
            </w:pPr>
            <w:r>
              <w:t xml:space="preserve">ranking precision, ensemble</w:t>
            </w:r>
          </w:p>
        </w:tc>
        <w:tc>
          <w:tcPr>
            <w:tcW w:type="dxa" w:w="1908"/>
          </w:tcPr>
          <w:p>
            <w:pPr>
              <w:pStyle w:val="Compact"/>
              <w:jc w:val="left"/>
            </w:pPr>
            <w:r>
              <w:t xml:space="preserve">marginal gains over likelihood</w:t>
            </w:r>
          </w:p>
        </w:tc>
      </w:tr>
      <w:tr>
        <w:tc>
          <w:tcPr>
            <w:tcW w:type="dxa" w:w="2241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This work</w:t>
            </w:r>
          </w:p>
        </w:tc>
        <w:tc>
          <w:tcPr>
            <w:tcW w:type="dxa" w:w="151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extraction</w:t>
            </w:r>
          </w:p>
        </w:tc>
        <w:tc>
          <w:tcPr>
            <w:tcW w:type="dxa" w:w="1457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ref-free calibrated</w:t>
            </w:r>
          </w:p>
        </w:tc>
        <w:tc>
          <w:tcPr>
            <w:tcW w:type="dxa" w:w="2241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partial corr. + mediation (control loss)</w:t>
            </w:r>
          </w:p>
        </w:tc>
        <w:tc>
          <w:tcPr>
            <w:tcW w:type="dxa" w:w="190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zero/negative residual beyond loss</w:t>
            </w:r>
          </w:p>
        </w:tc>
      </w:tr>
    </w:tbl>
    <w:bookmarkEnd w:id="38"/>
    <w:bookmarkEnd w:id="39"/>
    <w:bookmarkEnd w:id="40"/>
    <w:bookmarkStart w:id="49" w:name="sec:eval"/>
    <w:p>
      <w:pPr>
        <w:pStyle w:val="Heading1"/>
      </w:pPr>
      <w:r>
        <w:t xml:space="preserve">V. Evaluation Overview</w:t>
      </w:r>
    </w:p>
    <w:bookmarkStart w:id="41" w:name="threat-model-and-success-criteria"/>
    <w:p>
      <w:pPr>
        <w:pStyle w:val="Heading2"/>
      </w:pPr>
      <w:r>
        <w:t xml:space="preserve">A. Threat model and success criteria</w:t>
      </w:r>
    </w:p>
    <w:p>
      <w:pPr>
        <w:pStyle w:val="FirstParagraph"/>
      </w:pPr>
      <w:r>
        <w:t xml:space="preserve">We frame contamination detection as a membership/exposure attack with an explicit</w:t>
      </w:r>
      <w:r>
        <w:t xml:space="preserve"> </w:t>
      </w:r>
      <w:r>
        <w:t xml:space="preserve">adversary (Section omitted here, see</w:t>
      </w:r>
      <w:r>
        <w:t xml:space="preserve"> </w:t>
      </w:r>
      <w:r>
        <w:rPr>
          <w:rStyle w:val="VerbatimChar"/>
        </w:rPr>
        <w:t xml:space="preserve">docs/experiment_design.md</w:t>
      </w:r>
      <w:r>
        <w:t xml:space="preserve">). Goals range</w:t>
      </w:r>
      <w:r>
        <w:t xml:space="preserve"> </w:t>
      </w:r>
      <w:r>
        <w:t xml:space="preserve">from membership inference on a single item, to benchmark-level contamination</w:t>
      </w:r>
      <w:r>
        <w:t xml:space="preserve"> </w:t>
      </w:r>
      <w:r>
        <w:t xml:space="preserve">confirmation, to verbatim extraction and PII leakage. Each detector is evaluated at its</w:t>
      </w:r>
      <w:r>
        <w:t xml:space="preserve"> </w:t>
      </w:r>
      <w:r>
        <w:t xml:space="preserve">minimum access tier (gray-box logprobs for LOSS/Min-K%/zlib, white-box logits for</w:t>
      </w:r>
      <w:r>
        <w:t xml:space="preserve"> </w:t>
      </w:r>
      <w:r>
        <w:t xml:space="preserve">Min-K%++). Success is defined by the security-appropriate operating point rather than</w:t>
      </w:r>
      <w:r>
        <w:t xml:space="preserve"> </w:t>
      </w:r>
      <w:r>
        <w:t xml:space="preserve">average accuracy.</w:t>
      </w:r>
    </w:p>
    <w:bookmarkEnd w:id="41"/>
    <w:bookmarkStart w:id="42" w:name="methods-under-comparison"/>
    <w:p>
      <w:pPr>
        <w:pStyle w:val="Heading2"/>
      </w:pPr>
      <w:r>
        <w:t xml:space="preserve">B. Methods under comparison</w:t>
      </w:r>
    </w:p>
    <w:p>
      <w:pPr>
        <w:pStyle w:val="FirstParagraph"/>
      </w:pPr>
      <w:r>
        <w:t xml:space="preserve">We evaluate</w:t>
      </w:r>
      <w:r>
        <w:t xml:space="preserve"> </w:t>
      </w:r>
      <w:r>
        <w:rPr>
          <w:iCs/>
          <w:i/>
        </w:rPr>
        <w:t xml:space="preserve">existing</w:t>
      </w:r>
      <w:r>
        <w:t xml:space="preserve"> </w:t>
      </w:r>
      <w:r>
        <w:t xml:space="preserve">detectors only. We propose no new detector. The</w:t>
      </w:r>
      <w:r>
        <w:t xml:space="preserve"> </w:t>
      </w:r>
      <w:r>
        <w:t xml:space="preserve">per-item membership suite is LOSS/perplexity </w:t>
      </w:r>
      <w:r>
        <w:t xml:space="preserve">(Yeom et al., 2018)</w:t>
      </w:r>
      <w:r>
        <w:t xml:space="preserve">, Min-K%</w:t>
      </w:r>
      <w:r>
        <w:t xml:space="preserve"> </w:t>
      </w:r>
      <w:r>
        <w:t xml:space="preserve">Prob </w:t>
      </w:r>
      <w:r>
        <w:t xml:space="preserve">(Shi et al., 2024)</w:t>
      </w:r>
      <w:r>
        <w:t xml:space="preserve">, Min-K%++ </w:t>
      </w:r>
      <w:r>
        <w:t xml:space="preserve">(J. Zhang et al., 2025)</w:t>
      </w:r>
      <w:r>
        <w:t xml:space="preserve">, and the zlib-entropy</w:t>
      </w:r>
      <w:r>
        <w:t xml:space="preserve"> </w:t>
      </w:r>
      <w:r>
        <w:t xml:space="preserve">ratio </w:t>
      </w:r>
      <w:r>
        <w:t xml:space="preserve">(Carlini et al., 2021)</w:t>
      </w:r>
      <w:r>
        <w:t xml:space="preserve">. Two further tests operate off the per-item</w:t>
      </w:r>
      <w:r>
        <w:t xml:space="preserve"> </w:t>
      </w:r>
      <w:r>
        <w:t xml:space="preserve">likelihood axis: corpus-side n-gram overlap </w:t>
      </w:r>
      <w:r>
        <w:t xml:space="preserve">(Brown et al., 2020)</w:t>
      </w:r>
      <w:r>
        <w:t xml:space="preserve">, a model-free</w:t>
      </w:r>
      <w:r>
        <w:t xml:space="preserve"> </w:t>
      </w:r>
      <w:r>
        <w:t xml:space="preserve">data-side check used to construct ground-truth contamination labels for benchmark items,</w:t>
      </w:r>
      <w:r>
        <w:t xml:space="preserve"> </w:t>
      </w:r>
      <w:r>
        <w:t xml:space="preserve">and the Oren permutation/exchangeability test </w:t>
      </w:r>
      <w:r>
        <w:t xml:space="preserve">(Oren et al., 2024)</w:t>
      </w:r>
      <w:r>
        <w:t xml:space="preserve">, a benchmark-level</w:t>
      </w:r>
      <w:r>
        <w:t xml:space="preserve"> </w:t>
      </w:r>
      <w:r>
        <w:t xml:space="preserve">test that compares the canonical ordering of a benchmark’s examples against random</w:t>
      </w:r>
      <w:r>
        <w:t xml:space="preserve"> </w:t>
      </w:r>
      <w:r>
        <w:t xml:space="preserve">shufflings to certify contamination with a controlled false-positive rate. The leakage</w:t>
      </w:r>
      <w:r>
        <w:t xml:space="preserve"> </w:t>
      </w:r>
      <w:r>
        <w:t xml:space="preserve">outcome is prefix-continuation extractable memorization under greedy</w:t>
      </w:r>
      <w:r>
        <w:t xml:space="preserve"> </w:t>
      </w:r>
      <w:r>
        <w:t xml:space="preserve">decoding </w:t>
      </w:r>
      <w:r>
        <w:t xml:space="preserve">(Carlini et al., 2023)</w:t>
      </w:r>
      <w:r>
        <w:t xml:space="preserve">. On the controlled corpus we additionally measure</w:t>
      </w:r>
      <w:r>
        <w:t xml:space="preserve"> </w:t>
      </w:r>
      <w:r>
        <w:t xml:space="preserve">regex-detected PII leakage, framed via the PII-leakage games of</w:t>
      </w:r>
      <w:r>
        <w:t xml:space="preserve"> </w:t>
      </w:r>
      <w:r>
        <w:t xml:space="preserve">Lukas et al. (2023)</w:t>
      </w:r>
      <w:r>
        <w:t xml:space="preserve">. Related approaches we deliberately</w:t>
      </w:r>
      <w:r>
        <w:t xml:space="preserve"> </w:t>
      </w:r>
      <w:r>
        <w:rPr>
          <w:iCs/>
          <w:i/>
        </w:rPr>
        <w:t xml:space="preserve">do not</w:t>
      </w:r>
      <w:r>
        <w:t xml:space="preserve"> </w:t>
      </w:r>
      <w:r>
        <w:t xml:space="preserve">evaluate, guided prompting </w:t>
      </w:r>
      <w:r>
        <w:t xml:space="preserve">(Golchin &amp; Surdeanu, 2024)</w:t>
      </w:r>
      <w:r>
        <w:t xml:space="preserve">, neighbourhood and shadow-model</w:t>
      </w:r>
      <w:r>
        <w:t xml:space="preserve"> </w:t>
      </w:r>
      <w:r>
        <w:t xml:space="preserve">reference attacks </w:t>
      </w:r>
      <w:r>
        <w:t xml:space="preserve">(Mattern et al., 2023; Shokri et al., 2017)</w:t>
      </w:r>
      <w:r>
        <w:t xml:space="preserve">, and the</w:t>
      </w:r>
      <w:r>
        <w:t xml:space="preserve"> </w:t>
      </w:r>
      <w:r>
        <w:t xml:space="preserve">divergence-style extraction of production</w:t>
      </w:r>
      <w:r>
        <w:t xml:space="preserve"> </w:t>
      </w:r>
      <w:r>
        <w:t xml:space="preserve">models </w:t>
      </w:r>
      <w:r>
        <w:t xml:space="preserve">(Nasr et al., 2025)</w:t>
      </w:r>
      <w:r>
        <w:t xml:space="preserve">, are discussed in Section </w:t>
      </w:r>
      <w:hyperlink w:anchor="sec:relatedwork">
        <w:r>
          <w:rPr>
            <w:rStyle w:val="Hyperlink"/>
          </w:rPr>
          <w:t xml:space="preserve">4</w:t>
        </w:r>
      </w:hyperlink>
      <w:r>
        <w:t xml:space="preserve">.</w:t>
      </w:r>
      <w:r>
        <w:t xml:space="preserve"> </w:t>
      </w:r>
      <w:r>
        <w:rPr>
          <w:bCs/>
          <w:b/>
        </w:rPr>
        <w:t xml:space="preserve">[D1]</w:t>
      </w:r>
      <w:r>
        <w:t xml:space="preserve"> </w:t>
      </w:r>
      <w:r>
        <w:t xml:space="preserve">An internal-activation probe is reported, if at all, only as exploratory</w:t>
      </w:r>
      <w:r>
        <w:t xml:space="preserve"> </w:t>
      </w:r>
      <w:r>
        <w:t xml:space="preserve">analysis in the Discussion, not as a contribution.</w:t>
      </w:r>
    </w:p>
    <w:bookmarkEnd w:id="42"/>
    <w:bookmarkStart w:id="46" w:name="data"/>
    <w:p>
      <w:pPr>
        <w:pStyle w:val="Heading2"/>
      </w:pPr>
      <w:r>
        <w:t xml:space="preserve">C. Data</w:t>
      </w:r>
    </w:p>
    <w:p>
      <w:pPr>
        <w:pStyle w:val="FirstParagraph"/>
      </w:pPr>
      <w:r>
        <w:t xml:space="preserve">Table </w:t>
      </w:r>
      <w:hyperlink w:anchor="tab:dataset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summarizes every corpus and benchmark used or referenced below.</w:t>
      </w:r>
    </w:p>
    <w:bookmarkStart w:id="44" w:name="models-and-corpus."/>
    <w:p>
      <w:pPr>
        <w:pStyle w:val="Heading4"/>
      </w:pPr>
      <w:r>
        <w:t xml:space="preserve">Models and corpus.</w:t>
      </w:r>
    </w:p>
    <w:p>
      <w:pPr>
        <w:pStyle w:val="FirstParagraph"/>
      </w:pPr>
      <w:r>
        <w:t xml:space="preserve">The primary model is the Pythia</w:t>
      </w:r>
      <w:r>
        <w:t xml:space="preserve"> </w:t>
      </w:r>
      <w:r>
        <w:t xml:space="preserve">suite </w:t>
      </w:r>
      <w:r>
        <w:t xml:space="preserve">(Biderman et al., 2023)</w:t>
      </w:r>
      <w:r>
        <w:t xml:space="preserve">, trained on the public Pile </w:t>
      </w:r>
      <w:r>
        <w:t xml:space="preserve">(Gao et al., 2020)</w:t>
      </w:r>
      <w:r>
        <w:t xml:space="preserve">. Its</w:t>
      </w:r>
      <w:r>
        <w:t xml:space="preserve"> </w:t>
      </w:r>
      <w:r>
        <w:t xml:space="preserve">reconstructible training order, 154 checkpoints, multiple sizes, and deduplicated</w:t>
      </w:r>
      <w:r>
        <w:t xml:space="preserve"> </w:t>
      </w:r>
      <w:r>
        <w:t xml:space="preserve">variant provide exact membership ground truth. We use the released MIMIR member/</w:t>
      </w:r>
      <w:r>
        <w:t xml:space="preserve"> </w:t>
      </w:r>
      <w:r>
        <w:t xml:space="preserve">non-member splits </w:t>
      </w:r>
      <w:r>
        <w:t xml:space="preserve">(Duan et al., 2024)</w:t>
      </w:r>
      <w:r>
        <w:t xml:space="preserve">, which control n-gram overlap between members and</w:t>
      </w:r>
      <w:r>
        <w:t xml:space="preserve"> </w:t>
      </w:r>
      <w:r>
        <w:t xml:space="preserve">non-members. OLMo </w:t>
      </w:r>
      <w:r>
        <w:t xml:space="preserve">(Groeneveld et al., 2024)</w:t>
      </w:r>
      <w:r>
        <w:t xml:space="preserve"> </w:t>
      </w:r>
      <w:r>
        <w:t xml:space="preserve">on Dolma </w:t>
      </w:r>
      <w:r>
        <w:t xml:space="preserve">(Soldaini et al., 2024)</w:t>
      </w:r>
      <w:r>
        <w:t xml:space="preserve"> </w:t>
      </w:r>
      <w:r>
        <w:t xml:space="preserve">is a</w:t>
      </w:r>
      <w:r>
        <w:t xml:space="preserve"> </w:t>
      </w:r>
      <w:r>
        <w:t xml:space="preserve">secondary replication target. The Pile sits within the broader weakly filtered</w:t>
      </w:r>
      <w:r>
        <w:t xml:space="preserve"> </w:t>
      </w:r>
      <w:r>
        <w:t xml:space="preserve">web-scrape regime, Common Crawl </w:t>
      </w:r>
      <w:r>
        <w:t xml:space="preserve">(Common Crawl Foundation, n.d.)</w:t>
      </w:r>
      <w:r>
        <w:t xml:space="preserve"> </w:t>
      </w:r>
      <w:r>
        <w:t xml:space="preserve">and its filtered derivatives</w:t>
      </w:r>
      <w:r>
        <w:t xml:space="preserve"> </w:t>
      </w:r>
      <w:r>
        <w:t xml:space="preserve">C4 </w:t>
      </w:r>
      <w:r>
        <w:t xml:space="preserve">(Dodge et al., 2021; Raffel et al., 2020)</w:t>
      </w:r>
      <w:r>
        <w:t xml:space="preserve"> </w:t>
      </w:r>
      <w:r>
        <w:t xml:space="preserve">and RedPajama </w:t>
      </w:r>
      <w:r>
        <w:t xml:space="preserve">(Weber et al., 2024)</w:t>
      </w:r>
      <w:r>
        <w:t xml:space="preserve">, that makes</w:t>
      </w:r>
      <w:r>
        <w:t xml:space="preserve"> </w:t>
      </w:r>
      <w:r>
        <w:t xml:space="preserve">benchmark contamination structural rather than adversarial.</w:t>
      </w:r>
    </w:p>
    <w:bookmarkStart w:id="43" w:name="tab:datasets"/>
    <w:p>
      <w:pPr>
        <w:pStyle w:val="TableCaption"/>
      </w:pPr>
      <w:r>
        <w:t xml:space="preserve">Table II. Corpora and benchmarks used in or referenced by the evaluation. The Pile is</w:t>
      </w:r>
      <w:r>
        <w:t xml:space="preserve"> </w:t>
      </w:r>
      <w:r>
        <w:t xml:space="preserve">our ground-truth training corpus. Common Crawl and C4/Dolma/RedPajama frame the</w:t>
      </w:r>
      <w:r>
        <w:t xml:space="preserve"> </w:t>
      </w:r>
      <w:r>
        <w:t xml:space="preserve">weakly filtered web-scrape regime. The lower block lists the contamination benchmarks</w:t>
      </w:r>
      <w:r>
        <w:t xml:space="preserve"> </w:t>
      </w:r>
      <w:r>
        <w:t xml:space="preserve">whose items we label by corpus-side overlap.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Caption w:val="Table II. Corpora and benchmarks used in or referenced by the evaluation. The Pile is our ground-truth training corpus. Common Crawl and C4/Dolma/RedPajama frame the weakly filtered web-scrape regime. The lower block lists the contamination benchmarks whose items we label by corpus-side overlap."/>
      </w:tblPr>
      <w:tblGrid>
        <w:gridCol w:w="769"/>
        <w:gridCol w:w="620"/>
        <w:gridCol w:w="3846"/>
        <w:gridCol w:w="1538"/>
        <w:gridCol w:w="2587"/>
      </w:tblGrid>
      <w:tblGrid/>
      <w:tr>
        <w:tc>
          <w:tcPr>
            <w:tcW w:type="dxa" w:w="769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Dataset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>
            <w:tcW w:type="dxa" w:w="384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is</w:t>
            </w:r>
          </w:p>
        </w:tc>
        <w:tc>
          <w:tcPr>
            <w:tcW w:type="dxa" w:w="153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Size</w:t>
            </w:r>
          </w:p>
        </w:tc>
        <w:tc>
          <w:tcPr>
            <w:tcW w:type="dxa" w:w="2587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Cite</w:t>
            </w:r>
          </w:p>
        </w:tc>
      </w:tr>
      <w:tr>
        <w:tc>
          <w:tcPr>
            <w:tcW w:type="dxa" w:w="769"/>
          </w:tcPr>
          <w:p>
            <w:pPr>
              <w:pStyle w:val="Compact"/>
              <w:jc w:val="left"/>
            </w:pPr>
            <w:r>
              <w:t xml:space="preserve">The Pile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corpus</w:t>
            </w:r>
          </w:p>
        </w:tc>
        <w:tc>
          <w:tcPr>
            <w:tcW w:type="dxa" w:w="3846"/>
          </w:tcPr>
          <w:p>
            <w:pPr>
              <w:pStyle w:val="Compact"/>
              <w:jc w:val="left"/>
            </w:pPr>
            <w:r>
              <w:t xml:space="preserve">Curated 22-subset English corpus. Pythia’s training data and our membership ground truth</w:t>
            </w:r>
          </w:p>
        </w:tc>
        <w:tc>
          <w:tcPr>
            <w:tcW w:type="dxa" w:w="1538"/>
          </w:tcPr>
          <w:p>
            <w:pPr>
              <w:pStyle w:val="Compact"/>
              <w:jc w:val="left"/>
            </w:pPr>
            <w:r>
              <w:t xml:space="preserve">825 GB</w:t>
            </w:r>
          </w:p>
        </w:tc>
        <w:tc>
          <w:tcPr>
            <w:tcW w:type="dxa" w:w="2587"/>
          </w:tcPr>
          <w:p>
            <w:pPr>
              <w:pStyle w:val="Compact"/>
              <w:jc w:val="left"/>
            </w:pPr>
            <w:r>
              <w:t xml:space="preserve">(Gao et al., 2020)</w:t>
            </w:r>
          </w:p>
        </w:tc>
      </w:tr>
      <w:tr>
        <w:tc>
          <w:tcPr>
            <w:tcW w:type="dxa" w:w="769"/>
          </w:tcPr>
          <w:p>
            <w:pPr>
              <w:pStyle w:val="Compact"/>
              <w:jc w:val="left"/>
            </w:pPr>
            <w:r>
              <w:t xml:space="preserve">Common Crawl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corpus</w:t>
            </w:r>
          </w:p>
        </w:tc>
        <w:tc>
          <w:tcPr>
            <w:tcW w:type="dxa" w:w="3846"/>
          </w:tcPr>
          <w:p>
            <w:pPr>
              <w:pStyle w:val="Compact"/>
              <w:jc w:val="left"/>
            </w:pPr>
            <w:r>
              <w:t xml:space="preserve">Open, continually updated repository of raw web-crawl data, the base of most LLM pre-training scrapes</w:t>
            </w:r>
          </w:p>
        </w:tc>
        <w:tc>
          <w:tcPr>
            <w:tcW w:type="dxa" w:w="1538"/>
          </w:tcPr>
          <w:p>
            <w:pPr>
              <w:pStyle w:val="Compact"/>
              <w:jc w:val="left"/>
            </w:pPr>
            <w:r>
              <w:t xml:space="preserve">petabyte-scale (growing)</w:t>
            </w:r>
          </w:p>
        </w:tc>
        <w:tc>
          <w:tcPr>
            <w:tcW w:type="dxa" w:w="2587"/>
          </w:tcPr>
          <w:p>
            <w:pPr>
              <w:pStyle w:val="Compact"/>
              <w:jc w:val="left"/>
            </w:pPr>
            <w:r>
              <w:t xml:space="preserve">(Common Crawl Foundation, n.d.)</w:t>
            </w:r>
          </w:p>
        </w:tc>
      </w:tr>
      <w:tr>
        <w:tc>
          <w:tcPr>
            <w:tcW w:type="dxa" w:w="769"/>
          </w:tcPr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corpus</w:t>
            </w:r>
          </w:p>
        </w:tc>
        <w:tc>
          <w:tcPr>
            <w:tcW w:type="dxa" w:w="3846"/>
          </w:tcPr>
          <w:p>
            <w:pPr>
              <w:pStyle w:val="Compact"/>
              <w:jc w:val="left"/>
            </w:pPr>
            <w:r>
              <w:t xml:space="preserve">Colossal Clean Crawled Corpus: a filtered Common Crawl snapshot introduced with T5</w:t>
            </w:r>
          </w:p>
        </w:tc>
        <w:tc>
          <w:tcPr>
            <w:tcW w:type="dxa" w:w="1538"/>
          </w:tcPr>
          <w:p>
            <w:pPr>
              <w:pStyle w:val="Compact"/>
              <w:jc w:val="left"/>
            </w:pPr>
            <w:r>
              <w:t xml:space="preserve">∼750 GB</w:t>
            </w:r>
          </w:p>
        </w:tc>
        <w:tc>
          <w:tcPr>
            <w:tcW w:type="dxa" w:w="2587"/>
          </w:tcPr>
          <w:p>
            <w:pPr>
              <w:pStyle w:val="Compact"/>
              <w:jc w:val="left"/>
            </w:pPr>
            <w:r>
              <w:t xml:space="preserve">(Dodge et al., 2021; Raffel et al., 2020)</w:t>
            </w:r>
          </w:p>
        </w:tc>
      </w:tr>
      <w:tr>
        <w:tc>
          <w:tcPr>
            <w:tcW w:type="dxa" w:w="769"/>
          </w:tcPr>
          <w:p>
            <w:pPr>
              <w:pStyle w:val="Compact"/>
              <w:jc w:val="left"/>
            </w:pPr>
            <w:r>
              <w:t xml:space="preserve">Dolma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corpus</w:t>
            </w:r>
          </w:p>
        </w:tc>
        <w:tc>
          <w:tcPr>
            <w:tcW w:type="dxa" w:w="3846"/>
          </w:tcPr>
          <w:p>
            <w:pPr>
              <w:pStyle w:val="Compact"/>
              <w:jc w:val="left"/>
            </w:pPr>
            <w:r>
              <w:t xml:space="preserve">Open pre-training corpus, OLMo’s training data (replication target)</w:t>
            </w:r>
          </w:p>
        </w:tc>
        <w:tc>
          <w:tcPr>
            <w:tcW w:type="dxa" w:w="1538"/>
          </w:tcPr>
          <w:p>
            <w:pPr>
              <w:pStyle w:val="Compact"/>
              <w:jc w:val="left"/>
            </w:pPr>
            <w:r>
              <w:t xml:space="preserve">3 T tokens</w:t>
            </w:r>
          </w:p>
        </w:tc>
        <w:tc>
          <w:tcPr>
            <w:tcW w:type="dxa" w:w="2587"/>
          </w:tcPr>
          <w:p>
            <w:pPr>
              <w:pStyle w:val="Compact"/>
              <w:jc w:val="left"/>
            </w:pPr>
            <w:r>
              <w:t xml:space="preserve">(Soldaini et al., 2024)</w:t>
            </w:r>
          </w:p>
        </w:tc>
      </w:tr>
      <w:tr>
        <w:tc>
          <w:tcPr>
            <w:tcW w:type="dxa" w:w="769"/>
          </w:tcPr>
          <w:p>
            <w:pPr>
              <w:pStyle w:val="Compact"/>
              <w:jc w:val="left"/>
            </w:pPr>
            <w:r>
              <w:t xml:space="preserve">RedPajama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corpus</w:t>
            </w:r>
          </w:p>
        </w:tc>
        <w:tc>
          <w:tcPr>
            <w:tcW w:type="dxa" w:w="3846"/>
          </w:tcPr>
          <w:p>
            <w:pPr>
              <w:pStyle w:val="Compact"/>
              <w:jc w:val="left"/>
            </w:pPr>
            <w:r>
              <w:t xml:space="preserve">Open reproduction of an LLaMA-style pre-training mixture</w:t>
            </w:r>
          </w:p>
        </w:tc>
        <w:tc>
          <w:tcPr>
            <w:tcW w:type="dxa" w:w="1538"/>
          </w:tcPr>
          <w:p>
            <w:pPr>
              <w:pStyle w:val="Compact"/>
              <w:jc w:val="left"/>
            </w:pPr>
            <w:r>
              <w:t xml:space="preserve">∼30 T tokens</w:t>
            </w:r>
          </w:p>
        </w:tc>
        <w:tc>
          <w:tcPr>
            <w:tcW w:type="dxa" w:w="2587"/>
          </w:tcPr>
          <w:p>
            <w:pPr>
              <w:pStyle w:val="Compact"/>
              <w:jc w:val="left"/>
            </w:pPr>
            <w:r>
              <w:t xml:space="preserve">(Weber et al., 2024)</w:t>
            </w:r>
          </w:p>
        </w:tc>
      </w:tr>
      <w:tr>
        <w:tc>
          <w:tcPr>
            <w:tcW w:type="dxa" w:w="769"/>
          </w:tcPr>
          <w:p>
            <w:pPr>
              <w:pStyle w:val="Compact"/>
              <w:jc w:val="left"/>
            </w:pPr>
            <w:r>
              <w:t xml:space="preserve">MMLU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>
            <w:tcW w:type="dxa" w:w="3846"/>
          </w:tcPr>
          <w:p>
            <w:pPr>
              <w:pStyle w:val="Compact"/>
              <w:jc w:val="left"/>
            </w:pPr>
            <w:r>
              <w:t xml:space="preserve">Multiple-choice knowledge/reasoning across 57 subjects</w:t>
            </w:r>
          </w:p>
        </w:tc>
        <w:tc>
          <w:tcPr>
            <w:tcW w:type="dxa" w:w="1538"/>
          </w:tcPr>
          <w:p>
            <w:pPr>
              <w:pStyle w:val="Compact"/>
              <w:jc w:val="left"/>
            </w:pPr>
            <w:r>
              <w:t xml:space="preserve">15</w:t>
            </w:r>
            <w:r>
              <w:t xml:space="preserve">,</w:t>
            </w:r>
            <w:r>
              <w:t xml:space="preserve">908 questions</w:t>
            </w:r>
          </w:p>
        </w:tc>
        <w:tc>
          <w:tcPr>
            <w:tcW w:type="dxa" w:w="2587"/>
          </w:tcPr>
          <w:p>
            <w:pPr>
              <w:pStyle w:val="Compact"/>
              <w:jc w:val="left"/>
            </w:pPr>
            <w:r>
              <w:t xml:space="preserve">(Hendrycks et al., 2021)</w:t>
            </w:r>
          </w:p>
        </w:tc>
      </w:tr>
      <w:tr>
        <w:tc>
          <w:tcPr>
            <w:tcW w:type="dxa" w:w="769"/>
          </w:tcPr>
          <w:p>
            <w:pPr>
              <w:pStyle w:val="Compact"/>
              <w:jc w:val="left"/>
            </w:pPr>
            <w:r>
              <w:t xml:space="preserve">GSM8K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>
            <w:tcW w:type="dxa" w:w="3846"/>
          </w:tcPr>
          <w:p>
            <w:pPr>
              <w:pStyle w:val="Compact"/>
              <w:jc w:val="left"/>
            </w:pPr>
            <w:r>
              <w:t xml:space="preserve">Grade-school multi-step math word problems</w:t>
            </w:r>
          </w:p>
        </w:tc>
        <w:tc>
          <w:tcPr>
            <w:tcW w:type="dxa" w:w="1538"/>
          </w:tcPr>
          <w:p>
            <w:pPr>
              <w:pStyle w:val="Compact"/>
              <w:jc w:val="left"/>
            </w:pPr>
            <w:r>
              <w:t xml:space="preserve">8</w:t>
            </w:r>
            <w:r>
              <w:t xml:space="preserve">,</w:t>
            </w:r>
            <w:r>
              <w:t xml:space="preserve">500 problems</w:t>
            </w:r>
          </w:p>
        </w:tc>
        <w:tc>
          <w:tcPr>
            <w:tcW w:type="dxa" w:w="2587"/>
          </w:tcPr>
          <w:p>
            <w:pPr>
              <w:pStyle w:val="Compact"/>
              <w:jc w:val="left"/>
            </w:pPr>
            <w:r>
              <w:t xml:space="preserve">(Cobbe et al., 2021)</w:t>
            </w:r>
          </w:p>
        </w:tc>
      </w:tr>
      <w:tr>
        <w:tc>
          <w:tcPr>
            <w:tcW w:type="dxa" w:w="769"/>
          </w:tcPr>
          <w:p>
            <w:pPr>
              <w:pStyle w:val="Compact"/>
              <w:jc w:val="left"/>
            </w:pPr>
            <w:r>
              <w:t xml:space="preserve">HumanEval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>
            <w:tcW w:type="dxa" w:w="3846"/>
          </w:tcPr>
          <w:p>
            <w:pPr>
              <w:pStyle w:val="Compact"/>
              <w:jc w:val="left"/>
            </w:pPr>
            <w:r>
              <w:t xml:space="preserve">Hand-written Python programming problems with unit tests</w:t>
            </w:r>
          </w:p>
        </w:tc>
        <w:tc>
          <w:tcPr>
            <w:tcW w:type="dxa" w:w="1538"/>
          </w:tcPr>
          <w:p>
            <w:pPr>
              <w:pStyle w:val="Compact"/>
              <w:jc w:val="left"/>
            </w:pPr>
            <w:r>
              <w:t xml:space="preserve">164 problems</w:t>
            </w:r>
          </w:p>
        </w:tc>
        <w:tc>
          <w:tcPr>
            <w:tcW w:type="dxa" w:w="2587"/>
          </w:tcPr>
          <w:p>
            <w:pPr>
              <w:pStyle w:val="Compact"/>
              <w:jc w:val="left"/>
            </w:pPr>
            <w:r>
              <w:t xml:space="preserve">(M. Chen et al., 2021)</w:t>
            </w:r>
          </w:p>
        </w:tc>
      </w:tr>
      <w:tr>
        <w:tc>
          <w:tcPr>
            <w:tcW w:type="dxa" w:w="769"/>
          </w:tcPr>
          <w:p>
            <w:pPr>
              <w:pStyle w:val="Compact"/>
              <w:jc w:val="left"/>
            </w:pPr>
            <w:r>
              <w:t xml:space="preserve">HellaSwag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>
            <w:tcW w:type="dxa" w:w="3846"/>
          </w:tcPr>
          <w:p>
            <w:pPr>
              <w:pStyle w:val="Compact"/>
              <w:jc w:val="left"/>
            </w:pPr>
            <w:r>
              <w:t xml:space="preserve">Adversarially filtered commonsense sentence completion</w:t>
            </w:r>
          </w:p>
        </w:tc>
        <w:tc>
          <w:tcPr>
            <w:tcW w:type="dxa" w:w="1538"/>
          </w:tcPr>
          <w:p>
            <w:pPr>
              <w:pStyle w:val="Compact"/>
              <w:jc w:val="left"/>
            </w:pPr>
            <w:r>
              <w:t xml:space="preserve">∼70</w:t>
            </w:r>
            <w:r>
              <w:t xml:space="preserve">,</w:t>
            </w:r>
            <w:r>
              <w:t xml:space="preserve">000 items</w:t>
            </w:r>
          </w:p>
        </w:tc>
        <w:tc>
          <w:tcPr>
            <w:tcW w:type="dxa" w:w="2587"/>
          </w:tcPr>
          <w:p>
            <w:pPr>
              <w:pStyle w:val="Compact"/>
              <w:jc w:val="left"/>
            </w:pPr>
            <w:r>
              <w:t xml:space="preserve">(Zellers et al., 2019)</w:t>
            </w:r>
          </w:p>
        </w:tc>
      </w:tr>
      <w:tr>
        <w:tc>
          <w:tcPr>
            <w:tcW w:type="dxa" w:w="769"/>
          </w:tcPr>
          <w:p>
            <w:pPr>
              <w:pStyle w:val="Compact"/>
              <w:jc w:val="left"/>
            </w:pPr>
            <w:r>
              <w:t xml:space="preserve">TruthfulQA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>
            <w:tcW w:type="dxa" w:w="3846"/>
          </w:tcPr>
          <w:p>
            <w:pPr>
              <w:pStyle w:val="Compact"/>
              <w:jc w:val="left"/>
            </w:pPr>
            <w:r>
              <w:t xml:space="preserve">Questions probing imitative falsehoods</w:t>
            </w:r>
          </w:p>
        </w:tc>
        <w:tc>
          <w:tcPr>
            <w:tcW w:type="dxa" w:w="1538"/>
          </w:tcPr>
          <w:p>
            <w:pPr>
              <w:pStyle w:val="Compact"/>
              <w:jc w:val="left"/>
            </w:pPr>
            <w:r>
              <w:t xml:space="preserve">817 questions</w:t>
            </w:r>
          </w:p>
        </w:tc>
        <w:tc>
          <w:tcPr>
            <w:tcW w:type="dxa" w:w="2587"/>
          </w:tcPr>
          <w:p>
            <w:pPr>
              <w:pStyle w:val="Compact"/>
              <w:jc w:val="left"/>
            </w:pPr>
            <w:r>
              <w:t xml:space="preserve">(Lin et al., 2022)</w:t>
            </w:r>
          </w:p>
        </w:tc>
      </w:tr>
      <w:tr>
        <w:tc>
          <w:tcPr>
            <w:tcW w:type="dxa" w:w="769"/>
          </w:tcPr>
          <w:p>
            <w:pPr>
              <w:pStyle w:val="Compact"/>
              <w:jc w:val="left"/>
            </w:pPr>
            <w:r>
              <w:t xml:space="preserve">BoolQ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>
            <w:tcW w:type="dxa" w:w="3846"/>
          </w:tcPr>
          <w:p>
            <w:pPr>
              <w:pStyle w:val="Compact"/>
              <w:jc w:val="left"/>
            </w:pPr>
            <w:r>
              <w:t xml:space="preserve">Naturally occurring yes/no reading-comprehension questions</w:t>
            </w:r>
          </w:p>
        </w:tc>
        <w:tc>
          <w:tcPr>
            <w:tcW w:type="dxa" w:w="1538"/>
          </w:tcPr>
          <w:p>
            <w:pPr>
              <w:pStyle w:val="Compact"/>
              <w:jc w:val="left"/>
            </w:pPr>
            <w:r>
              <w:t xml:space="preserve">15</w:t>
            </w:r>
            <w:r>
              <w:t xml:space="preserve">,</w:t>
            </w:r>
            <w:r>
              <w:t xml:space="preserve">942 questions</w:t>
            </w:r>
          </w:p>
        </w:tc>
        <w:tc>
          <w:tcPr>
            <w:tcW w:type="dxa" w:w="2587"/>
          </w:tcPr>
          <w:p>
            <w:pPr>
              <w:pStyle w:val="Compact"/>
              <w:jc w:val="left"/>
            </w:pPr>
            <w:r>
              <w:t xml:space="preserve">(Clark et al., 2019)</w:t>
            </w:r>
          </w:p>
        </w:tc>
      </w:tr>
    </w:tbl>
    <w:bookmarkEnd w:id="43"/>
    <w:bookmarkEnd w:id="44"/>
    <w:bookmarkStart w:id="45" w:name="benchmarks-and-pii."/>
    <w:p>
      <w:pPr>
        <w:pStyle w:val="Heading4"/>
      </w:pPr>
      <w:r>
        <w:t xml:space="preserve">Benchmarks and PII.</w:t>
      </w:r>
    </w:p>
    <w:p>
      <w:pPr>
        <w:pStyle w:val="FirstParagraph"/>
      </w:pPr>
      <w:r>
        <w:t xml:space="preserve">Contamination is tested against MMLU, GSM8K, HumanEval,</w:t>
      </w:r>
      <w:r>
        <w:t xml:space="preserve"> </w:t>
      </w:r>
      <w:r>
        <w:t xml:space="preserve">HellaSwag, TruthfulQA, and BoolQ.</w:t>
      </w:r>
      <w:r>
        <w:t xml:space="preserve"> </w:t>
      </w:r>
      <w:r>
        <w:rPr>
          <w:bCs/>
          <w:b/>
        </w:rPr>
        <w:t xml:space="preserve">[D3]</w:t>
      </w:r>
      <w:r>
        <w:t xml:space="preserve"> </w:t>
      </w:r>
      <w:r>
        <w:t xml:space="preserve">For PII leakage we use the Enron Emails</w:t>
      </w:r>
      <w:r>
        <w:t xml:space="preserve"> </w:t>
      </w:r>
      <w:r>
        <w:t xml:space="preserve">data</w:t>
      </w:r>
      <w:r>
        <w:t xml:space="preserve"> </w:t>
      </w:r>
      <w:r>
        <w:rPr>
          <w:iCs/>
          <w:i/>
        </w:rPr>
        <w:t xml:space="preserve">as a Pile subset already present in Pythia’s training data</w:t>
      </w:r>
      <w:r>
        <w:t xml:space="preserve">, plus a synthetic</w:t>
      </w:r>
      <w:r>
        <w:t xml:space="preserve"> </w:t>
      </w:r>
      <w:r>
        <w:t xml:space="preserve">PII set for controlled structure, rather than fine-tuning a model to memorize PII. All</w:t>
      </w:r>
      <w:r>
        <w:t xml:space="preserve"> </w:t>
      </w:r>
      <w:r>
        <w:t xml:space="preserve">PII results are reported in aggregate. No real PII is reproduced in the paper.</w:t>
      </w:r>
    </w:p>
    <w:bookmarkEnd w:id="45"/>
    <w:bookmarkEnd w:id="46"/>
    <w:bookmarkStart w:id="47" w:name="metrics-each-justified"/>
    <w:p>
      <w:pPr>
        <w:pStyle w:val="Heading2"/>
      </w:pPr>
      <w:r>
        <w:t xml:space="preserve">D. Metrics (each justified)</w:t>
      </w:r>
    </w:p>
    <w:p>
      <w:pPr>
        <w:pStyle w:val="FirstParagraph"/>
      </w:pPr>
      <w:r>
        <w:rPr>
          <w:bCs/>
          <w:b/>
        </w:rPr>
        <w:t xml:space="preserve">[D2]</w:t>
      </w:r>
      <w:r>
        <w:t xml:space="preserve"> </w:t>
      </w:r>
      <w:r>
        <w:t xml:space="preserve">Following the membership-inference-from-first-principles</w:t>
      </w:r>
      <w:r>
        <w:t xml:space="preserve"> </w:t>
      </w:r>
      <w:r>
        <w:t xml:space="preserve">convention </w:t>
      </w:r>
      <w:r>
        <w:t xml:space="preserve">(Carlini et al., 2022)</w:t>
      </w:r>
      <w:r>
        <w:t xml:space="preserve">, the primary metric is</w:t>
      </w:r>
      <w:r>
        <w:t xml:space="preserve"> </w:t>
      </w:r>
      <w:r>
        <w:rPr>
          <w:iCs/>
          <w:i/>
        </w:rPr>
        <w:t xml:space="preserve">true-positive rate at a</w:t>
      </w:r>
      <w:r>
        <w:rPr>
          <w:iCs/>
          <w:i/>
        </w:rPr>
        <w:t xml:space="preserve"> </w:t>
      </w:r>
      <w:r>
        <w:rPr>
          <w:iCs/>
          <w:i/>
        </w:rPr>
        <w:t xml:space="preserve">fixed low false-positive rate</w:t>
      </w:r>
      <w:r>
        <w:t xml:space="preserve"> </w:t>
      </w:r>
      <w:r>
        <w:t xml:space="preserve">(TPR @ 0.1% and 1% FPR) reported with</w:t>
      </w:r>
      <w:r>
        <w:t xml:space="preserve"> </w:t>
      </w:r>
      <w:r>
        <w:rPr>
          <w:iCs/>
          <w:i/>
        </w:rPr>
        <w:t xml:space="preserve">log-scale ROC</w:t>
      </w:r>
      <w:r>
        <w:t xml:space="preserve">. AUC-ROC is reported secondarily. These capture whether a detector</w:t>
      </w:r>
      <w:r>
        <w:t xml:space="preserve"> </w:t>
      </w:r>
      <w:r>
        <w:rPr>
          <w:iCs/>
          <w:i/>
        </w:rPr>
        <w:t xml:space="preserve">confidently</w:t>
      </w:r>
      <w:r>
        <w:t xml:space="preserve"> </w:t>
      </w:r>
      <w:r>
        <w:t xml:space="preserve">identifies members, the privacy-relevant regime, which average-case</w:t>
      </w:r>
      <w:r>
        <w:t xml:space="preserve"> </w:t>
      </w:r>
      <w:r>
        <w:t xml:space="preserve">accuracy hides. For benchmark flagging at a chosen operating threshold we additionally</w:t>
      </w:r>
      <w:r>
        <w:t xml:space="preserve"> </w:t>
      </w:r>
      <w:r>
        <w:t xml:space="preserve">report precision/recall/F1 as a secondary, application-facing view. The leakage outcome</w:t>
      </w:r>
      <w:r>
        <w:t xml:space="preserve"> </w:t>
      </w:r>
      <w:r>
        <w:t xml:space="preserve">is the</w:t>
      </w:r>
      <w:r>
        <w:t xml:space="preserve"> </w:t>
      </w:r>
      <w:r>
        <w:rPr>
          <w:iCs/>
          <w:i/>
        </w:rPr>
        <w:t xml:space="preserve">extraction rate</w:t>
      </w:r>
      <w:r>
        <w:t xml:space="preserve"> </w:t>
      </w:r>
      <w:r>
        <w:t xml:space="preserve">(Carlini et al., 2023)</w:t>
      </w:r>
      <w:r>
        <w:t xml:space="preserve">. The headline analysis is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Spearman correlation between per-item contamination score and per-item</w:t>
      </w:r>
      <w:r>
        <w:rPr>
          <w:iCs/>
          <w:i/>
        </w:rPr>
        <w:t xml:space="preserve"> </w:t>
      </w:r>
      <w:r>
        <w:rPr>
          <w:iCs/>
          <w:i/>
        </w:rPr>
        <w:t xml:space="preserve">extraction/leakage outcome</w:t>
      </w:r>
      <w:r>
        <w:t xml:space="preserve">, with bootstrap confidence intervals and a pre-registered</w:t>
      </w:r>
      <w:r>
        <w:t xml:space="preserve"> </w:t>
      </w:r>
      <w:r>
        <w:t xml:space="preserve">partial-correlation control that isolates the contribution of raw loss, the quantitative</w:t>
      </w:r>
      <w:r>
        <w:t xml:space="preserve"> </w:t>
      </w:r>
      <w:r>
        <w:t xml:space="preserve">form of the paper’s central question.</w:t>
      </w:r>
    </w:p>
    <w:bookmarkEnd w:id="47"/>
    <w:bookmarkStart w:id="48" w:name="validation-and-controls"/>
    <w:p>
      <w:pPr>
        <w:pStyle w:val="Heading2"/>
      </w:pPr>
      <w:r>
        <w:t xml:space="preserve">E. Validation and controls</w:t>
      </w:r>
    </w:p>
    <w:p>
      <w:pPr>
        <w:pStyle w:val="FirstParagraph"/>
      </w:pPr>
      <w:r>
        <w:rPr>
          <w:bCs/>
          <w:b/>
        </w:rPr>
        <w:t xml:space="preserve">[D4]</w:t>
      </w:r>
      <w:r>
        <w:t xml:space="preserve"> </w:t>
      </w:r>
      <w:r>
        <w:t xml:space="preserve">Robustness is established by repeating each measurement over multiple</w:t>
      </w:r>
      <w:r>
        <w:t xml:space="preserve"> </w:t>
      </w:r>
      <w:r>
        <w:t xml:space="preserve">seeds with bootstrap confidence intervals on TPR@FPR and on the Spearman correlation,</w:t>
      </w:r>
      <w:r>
        <w:t xml:space="preserve"> </w:t>
      </w:r>
      <w:r>
        <w:t xml:space="preserve">and by a permutation/exchangeability test for benchmark-level</w:t>
      </w:r>
      <w:r>
        <w:t xml:space="preserve"> </w:t>
      </w:r>
      <w:r>
        <w:t xml:space="preserve">contamination </w:t>
      </w:r>
      <w:r>
        <w:t xml:space="preserve">(Oren et al., 2024)</w:t>
      </w:r>
      <w:r>
        <w:t xml:space="preserve">. We include ablations that preempt the standard</w:t>
      </w:r>
      <w:r>
        <w:t xml:space="preserve"> </w:t>
      </w:r>
      <w:r>
        <w:t xml:space="preserve">confounds: deduplicated versus non-deduplicated Pythia (duplication), frequency-matched</w:t>
      </w:r>
      <w:r>
        <w:t xml:space="preserve"> </w:t>
      </w:r>
      <w:r>
        <w:t xml:space="preserve">member/non-member splits (string frequency), and model-size scaling (does the</w:t>
      </w:r>
      <w:r>
        <w:t xml:space="preserve"> </w:t>
      </w:r>
      <w:r>
        <w:t xml:space="preserve">contamination→leakage link strengthen with scale, as memorization</w:t>
      </w:r>
      <w:r>
        <w:t xml:space="preserve"> </w:t>
      </w:r>
      <w:r>
        <w:t xml:space="preserve">does </w:t>
      </w:r>
      <w:r>
        <w:t xml:space="preserve">(Carlini et al., 2023)</w:t>
      </w:r>
      <w:r>
        <w:t xml:space="preserve">). Differentially private</w:t>
      </w:r>
      <w:r>
        <w:t xml:space="preserve"> </w:t>
      </w:r>
      <w:r>
        <w:t xml:space="preserve">training </w:t>
      </w:r>
      <w:r>
        <w:t xml:space="preserve">(Abadi et al., 2016; Li et al., 2022)</w:t>
      </w:r>
      <w:r>
        <w:t xml:space="preserve"> </w:t>
      </w:r>
      <w:r>
        <w:t xml:space="preserve">is discussed as the mitigation direction</w:t>
      </w:r>
      <w:r>
        <w:t xml:space="preserve"> </w:t>
      </w:r>
      <w:r>
        <w:t xml:space="preserve">(Section </w:t>
      </w:r>
      <w:hyperlink w:anchor="sec:dp">
        <w:r>
          <w:rPr>
            <w:rStyle w:val="Hyperlink"/>
          </w:rPr>
          <w:t xml:space="preserve">4.5</w:t>
        </w:r>
      </w:hyperlink>
      <w:r>
        <w:t xml:space="preserve">), not implemented, since it is a producer-side defense applied at</w:t>
      </w:r>
      <w:r>
        <w:t xml:space="preserve"> </w:t>
      </w:r>
      <w:r>
        <w:t xml:space="preserve">training time rather than an auditor-side detector.</w:t>
      </w:r>
    </w:p>
    <w:p>
      <w:pPr>
        <w:pStyle w:val="BodyText"/>
      </w:pPr>
      <w:r>
        <w:t xml:space="preserve">This section fixes the threat model, methods, data, and metrics. The empirical results</w:t>
      </w:r>
      <w:r>
        <w:t xml:space="preserve"> </w:t>
      </w:r>
      <w:r>
        <w:t xml:space="preserve">under this protocol, per-detector TPR at low FPR with log-scale ROC, extraction rates,</w:t>
      </w:r>
      <w:r>
        <w:t xml:space="preserve"> </w:t>
      </w:r>
      <w:r>
        <w:t xml:space="preserve">and the headline contamination→leakage correlation with confidence</w:t>
      </w:r>
      <w:r>
        <w:t xml:space="preserve"> </w:t>
      </w:r>
      <w:r>
        <w:t xml:space="preserve">intervals, are reported in the results section, with every reported number tracing to a</w:t>
      </w:r>
      <w:r>
        <w:t xml:space="preserve"> </w:t>
      </w:r>
      <w:r>
        <w:t xml:space="preserve">logged harness run.</w:t>
      </w:r>
    </w:p>
    <w:bookmarkEnd w:id="48"/>
    <w:bookmarkEnd w:id="49"/>
    <w:bookmarkStart w:id="58" w:name="sec:results"/>
    <w:p>
      <w:pPr>
        <w:pStyle w:val="Heading1"/>
      </w:pPr>
      <w:r>
        <w:t xml:space="preserve">VI. Results</w:t>
      </w:r>
    </w:p>
    <w:p>
      <w:pPr>
        <w:pStyle w:val="FirstParagraph"/>
      </w:pPr>
      <w:r>
        <w:rPr>
          <w:bCs/>
          <w:b/>
        </w:rPr>
        <w:t xml:space="preserve">All results in this section are preliminary, obtained on Pythia-160M on CPU with N=300</w:t>
      </w:r>
      <w:r>
        <w:rPr>
          <w:bCs/>
          <w:b/>
        </w:rPr>
        <w:t xml:space="preserve"> </w:t>
      </w:r>
      <w:r>
        <w:rPr>
          <w:bCs/>
          <w:b/>
        </w:rPr>
        <w:t xml:space="preserve">ground-truth Pile members (seed 0), and larger-model rows are left for the GPU replication.</w:t>
      </w:r>
      <w:r>
        <w:t xml:space="preserve"> </w:t>
      </w:r>
      <w:r>
        <w:t xml:space="preserve">Every</w:t>
      </w:r>
      <w:r>
        <w:t xml:space="preserve"> </w:t>
      </w:r>
      <w:r>
        <w:t xml:space="preserve">number is reproducible from a seeded script and recorded in our results ledger.</w:t>
      </w:r>
    </w:p>
    <w:bookmarkStart w:id="51" w:name="sec:res-membership"/>
    <w:p>
      <w:pPr>
        <w:pStyle w:val="Heading2"/>
      </w:pPr>
      <w:r>
        <w:t xml:space="preserve">A. Membership separation is at chance on a confound-clean split</w:t>
      </w:r>
    </w:p>
    <w:p>
      <w:pPr>
        <w:pStyle w:val="FirstParagraph"/>
      </w:pPr>
      <w:r>
        <w:t xml:space="preserve">We first reproduce, as a control, the known weakness of membership inference on pre-trained</w:t>
      </w:r>
      <w:r>
        <w:t xml:space="preserve"> </w:t>
      </w:r>
      <w:r>
        <w:t xml:space="preserve">LLMs </w:t>
      </w:r>
      <w:r>
        <w:t xml:space="preserve">(Duan et al., 2024)</w:t>
      </w:r>
      <w:r>
        <w:t xml:space="preserve">. On a confound-clean split (members = Pile train, non-members = Pile</w:t>
      </w:r>
      <w:r>
        <w:t xml:space="preserve"> </w:t>
      </w:r>
      <w:r>
        <w:t xml:space="preserve">validation, stratified across 22 Pile subsets to match domain), all four detectors sit at chance</w:t>
      </w:r>
      <w:r>
        <w:t xml:space="preserve"> </w:t>
      </w:r>
      <w:r>
        <w:t xml:space="preserve">at 160M (Table </w:t>
      </w:r>
      <w:hyperlink w:anchor="tab:membership">
        <w:r>
          <w:rPr>
            <w:rStyle w:val="Hyperlink"/>
          </w:rPr>
          <w:t xml:space="preserve">3</w:t>
        </w:r>
      </w:hyperlink>
      <w:r>
        <w:t xml:space="preserve">). On the temporally-confounded WikiMIA split the same model</w:t>
      </w:r>
      <w:r>
        <w:t xml:space="preserve"> </w:t>
      </w:r>
      <w:r>
        <w:t xml:space="preserve">shows a spurious 0.52–0.56, and a 1.4B model rises further, evidence that the WikiMIA signal</w:t>
      </w:r>
      <w:r>
        <w:t xml:space="preserve"> </w:t>
      </w:r>
      <w:r>
        <w:t xml:space="preserve">is substantially distribution shift, not membership.</w:t>
      </w:r>
    </w:p>
    <w:bookmarkStart w:id="50" w:name="tab:membership"/>
    <w:p>
      <w:pPr>
        <w:pStyle w:val="TableCaption"/>
      </w:pPr>
      <w:r>
        <w:t xml:space="preserve">Table III. Membership AUC. Chance (≈0.5) on the confound-clean split at 160M. The WikiMIA</w:t>
      </w:r>
      <w:r>
        <w:t xml:space="preserve"> </w:t>
      </w:r>
      <w:r>
        <w:t xml:space="preserve">“</w:t>
      </w:r>
      <w:r>
        <w:t xml:space="preserve">signal</w:t>
      </w:r>
      <w:r>
        <w:t xml:space="preserve">”</w:t>
      </w:r>
      <w:r>
        <w:t xml:space="preserve"> </w:t>
      </w:r>
      <w:r>
        <w:t xml:space="preserve">is largely temporal/topical distribution shift. CIs in the ledger. Deduplicated Pythia</w:t>
      </w:r>
      <w:r>
        <w:t xml:space="preserve"> </w:t>
      </w:r>
      <w:r>
        <w:t xml:space="preserve">gives the same chance-level result.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Caption w:val="Table III. Membership AUC. Chance (≈0.5) on the confound-clean split at 160M. The WikiMIA “signal” is largely temporal/topical distribution shift. CIs in the ledger. Deduplicated Pythia gives the same chance-level result."/>
      </w:tblPr>
      <w:tblGrid>
        <w:gridCol w:w="5275"/>
        <w:gridCol w:w="850"/>
        <w:gridCol w:w="1021"/>
        <w:gridCol w:w="1361"/>
        <w:gridCol w:w="853"/>
      </w:tblGrid>
      <w:tblGrid/>
      <w:tr>
        <w:tc>
          <w:tcPr>
            <w:tcW w:type="dxa" w:w="5275"/>
          </w:tcPr>
          <w:p>
            <w:pPr>
              <w:pStyle w:val="Compact"/>
              <w:jc w:val="left"/>
            </w:pPr>
            <w:r>
              <w:t xml:space="preserve">Construction (model)</w:t>
            </w:r>
          </w:p>
        </w:tc>
        <w:tc>
          <w:tcPr>
            <w:tcW w:type="dxa" w:w="850"/>
          </w:tcPr>
          <w:p>
            <w:pPr>
              <w:pStyle w:val="Compact"/>
              <w:jc w:val="center"/>
            </w:pPr>
            <w:r>
              <w:t xml:space="preserve">LOSS</w:t>
            </w:r>
          </w:p>
        </w:tc>
        <w:tc>
          <w:tcPr>
            <w:tcW w:type="dxa" w:w="1021"/>
          </w:tcPr>
          <w:p>
            <w:pPr>
              <w:pStyle w:val="Compact"/>
              <w:jc w:val="center"/>
            </w:pPr>
            <w:r>
              <w:t xml:space="preserve">Min-K%</w:t>
            </w:r>
          </w:p>
        </w:tc>
        <w:tc>
          <w:tcPr>
            <w:tcW w:type="dxa" w:w="1361"/>
          </w:tcPr>
          <w:p>
            <w:pPr>
              <w:pStyle w:val="Compact"/>
              <w:jc w:val="center"/>
            </w:pPr>
            <w:r>
              <w:t xml:space="preserve">Min-K%++</w:t>
            </w:r>
          </w:p>
        </w:tc>
        <w:tc>
          <w:tcPr>
            <w:tcW w:type="dxa" w:w="853"/>
          </w:tcPr>
          <w:p>
            <w:pPr>
              <w:pStyle w:val="Compact"/>
              <w:jc w:val="center"/>
            </w:pPr>
            <w:r>
              <w:t xml:space="preserve">zlib</w:t>
            </w:r>
          </w:p>
        </w:tc>
      </w:tr>
      <w:tr>
        <w:tc>
          <w:tcPr>
            <w:tcW w:type="dxa" w:w="5275"/>
          </w:tcPr>
          <w:p>
            <w:pPr>
              <w:pStyle w:val="Compact"/>
              <w:jc w:val="left"/>
            </w:pPr>
            <w:r>
              <w:t xml:space="preserve">Pile train-vs-val, clean (160M)</w:t>
            </w:r>
          </w:p>
        </w:tc>
        <w:tc>
          <w:tcPr>
            <w:tcW w:type="dxa" w:w="850"/>
          </w:tcPr>
          <w:p>
            <w:pPr>
              <w:pStyle w:val="Compact"/>
              <w:jc w:val="center"/>
            </w:pPr>
            <w:r>
              <w:t xml:space="preserve">0.454</w:t>
            </w:r>
          </w:p>
        </w:tc>
        <w:tc>
          <w:tcPr>
            <w:tcW w:type="dxa" w:w="1021"/>
          </w:tcPr>
          <w:p>
            <w:pPr>
              <w:pStyle w:val="Compact"/>
              <w:jc w:val="center"/>
            </w:pPr>
            <w:r>
              <w:t xml:space="preserve">0.470</w:t>
            </w:r>
          </w:p>
        </w:tc>
        <w:tc>
          <w:tcPr>
            <w:tcW w:type="dxa" w:w="1361"/>
          </w:tcPr>
          <w:p>
            <w:pPr>
              <w:pStyle w:val="Compact"/>
              <w:jc w:val="center"/>
            </w:pPr>
            <w:r>
              <w:t xml:space="preserve">0.490</w:t>
            </w:r>
          </w:p>
        </w:tc>
        <w:tc>
          <w:tcPr>
            <w:tcW w:type="dxa" w:w="853"/>
          </w:tcPr>
          <w:p>
            <w:pPr>
              <w:pStyle w:val="Compact"/>
              <w:jc w:val="center"/>
            </w:pPr>
            <w:r>
              <w:t xml:space="preserve">0.484</w:t>
            </w:r>
          </w:p>
        </w:tc>
      </w:tr>
      <w:tr>
        <w:tc>
          <w:tcPr>
            <w:tcW w:type="dxa" w:w="5275"/>
          </w:tcPr>
          <w:p>
            <w:pPr>
              <w:pStyle w:val="Compact"/>
              <w:jc w:val="left"/>
            </w:pPr>
            <w:r>
              <w:t xml:space="preserve">WikiMIA-64, confounded (160M)</w:t>
            </w:r>
          </w:p>
        </w:tc>
        <w:tc>
          <w:tcPr>
            <w:tcW w:type="dxa" w:w="850"/>
          </w:tcPr>
          <w:p>
            <w:pPr>
              <w:pStyle w:val="Compact"/>
              <w:jc w:val="center"/>
            </w:pPr>
            <w:r>
              <w:t xml:space="preserve">0.523</w:t>
            </w:r>
          </w:p>
        </w:tc>
        <w:tc>
          <w:tcPr>
            <w:tcW w:type="dxa" w:w="1021"/>
          </w:tcPr>
          <w:p>
            <w:pPr>
              <w:pStyle w:val="Compact"/>
              <w:jc w:val="center"/>
            </w:pPr>
            <w:r>
              <w:t xml:space="preserve">0.539</w:t>
            </w:r>
          </w:p>
        </w:tc>
        <w:tc>
          <w:tcPr>
            <w:tcW w:type="dxa" w:w="1361"/>
          </w:tcPr>
          <w:p>
            <w:pPr>
              <w:pStyle w:val="Compact"/>
              <w:jc w:val="center"/>
            </w:pPr>
            <w:r>
              <w:t xml:space="preserve">0.545</w:t>
            </w:r>
          </w:p>
        </w:tc>
        <w:tc>
          <w:tcPr>
            <w:tcW w:type="dxa" w:w="853"/>
          </w:tcPr>
          <w:p>
            <w:pPr>
              <w:pStyle w:val="Compact"/>
              <w:jc w:val="center"/>
            </w:pPr>
            <w:r>
              <w:t xml:space="preserve">0.564</w:t>
            </w:r>
          </w:p>
        </w:tc>
      </w:tr>
      <w:tr>
        <w:tc>
          <w:tcPr>
            <w:tcW w:type="dxa" w:w="5275"/>
          </w:tcPr>
          <w:p>
            <w:pPr>
              <w:pStyle w:val="Compact"/>
              <w:jc w:val="left"/>
            </w:pPr>
            <w:r>
              <w:t xml:space="preserve">WikiMIA-64, confounded (1.4B)</w:t>
            </w:r>
          </w:p>
        </w:tc>
        <w:tc>
          <w:tcPr>
            <w:tcW w:type="dxa" w:w="850"/>
          </w:tcPr>
          <w:p>
            <w:pPr>
              <w:pStyle w:val="Compact"/>
              <w:jc w:val="center"/>
            </w:pPr>
            <w:r>
              <w:t xml:space="preserve">0.571</w:t>
            </w:r>
          </w:p>
        </w:tc>
        <w:tc>
          <w:tcPr>
            <w:tcW w:type="dxa" w:w="1021"/>
          </w:tcPr>
          <w:p>
            <w:pPr>
              <w:pStyle w:val="Compact"/>
              <w:jc w:val="center"/>
            </w:pPr>
            <w:r>
              <w:t xml:space="preserve">0.580</w:t>
            </w:r>
          </w:p>
        </w:tc>
        <w:tc>
          <w:tcPr>
            <w:tcW w:type="dxa" w:w="1361"/>
          </w:tcPr>
          <w:p>
            <w:pPr>
              <w:pStyle w:val="Compact"/>
              <w:jc w:val="center"/>
            </w:pPr>
            <w:r>
              <w:t xml:space="preserve">0.547</w:t>
            </w:r>
          </w:p>
        </w:tc>
        <w:tc>
          <w:tcPr>
            <w:tcW w:type="dxa" w:w="853"/>
          </w:tcPr>
          <w:p>
            <w:pPr>
              <w:pStyle w:val="Compact"/>
              <w:jc w:val="center"/>
            </w:pPr>
            <w:r>
              <w:t xml:space="preserve">0.616</w:t>
            </w:r>
          </w:p>
        </w:tc>
      </w:tr>
    </w:tbl>
    <w:bookmarkEnd w:id="50"/>
    <w:bookmarkEnd w:id="51"/>
    <w:bookmarkStart w:id="54" w:name="sec:res-headline"/>
    <w:p>
      <w:pPr>
        <w:pStyle w:val="Heading2"/>
      </w:pPr>
      <w:r>
        <w:t xml:space="preserve">B. Contamination predicts leakage, but only through loss</w:t>
      </w:r>
    </w:p>
    <w:p>
      <w:pPr>
        <w:pStyle w:val="FirstParagraph"/>
      </w:pPr>
      <w:r>
        <w:t xml:space="preserve">Our headline analysis correlates each per-item detector score with the per-item extraction outcome</w:t>
      </w:r>
      <w:r>
        <w:t xml:space="preserve"> </w:t>
      </w:r>
      <w:r>
        <w:t xml:space="preserve">(prefix-continuation extractable memorization under greedy decoding </w:t>
      </w:r>
      <w:r>
        <w:t xml:space="preserve">(Carlini et al., 2023)</w:t>
      </w:r>
      <w:r>
        <w:t xml:space="preserve">),</w:t>
      </w:r>
      <w:r>
        <w:t xml:space="preserve"> </w:t>
      </w:r>
      <w:r>
        <w:t xml:space="preserve">then controls for raw loss. Table </w:t>
      </w:r>
      <w:hyperlink w:anchor="tab:headline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reports, for each calibrated detector, the</w:t>
      </w:r>
      <w:r>
        <w:t xml:space="preserve"> </w:t>
      </w:r>
      <w:r>
        <w:t xml:space="preserve">zero-order Spearman ρ, the linear partial ρ given loss, the non-linear (cubic-residual)</w:t>
      </w:r>
      <w:r>
        <w:t xml:space="preserve"> </w:t>
      </w:r>
      <w:r>
        <w:t xml:space="preserve">partial ρ with bootstrap CI, the FDR-corrected permutation q, and the mediation decomposition.</w:t>
      </w:r>
    </w:p>
    <w:bookmarkStart w:id="52" w:name="tab:headline"/>
    <w:p>
      <w:pPr>
        <w:pStyle w:val="TableCaption"/>
      </w:pPr>
      <w:r>
        <w:t xml:space="preserve">Table IV. Headline: per-item contamination score vs. extraction (Spearman ρ), Pythia-160M,</w:t>
      </w:r>
      <w:r>
        <w:t xml:space="preserve"> </w:t>
      </w:r>
      <w:r>
        <w:t xml:space="preserve">N=300 members. The positive zero-order correlations collapse to ≈ 0 or significantly</w:t>
      </w:r>
      <w:r>
        <w:t xml:space="preserve"> </w:t>
      </w:r>
      <w:r>
        <w:rPr>
          <w:iCs/>
          <w:i/>
        </w:rPr>
        <w:t xml:space="preserve">negative</w:t>
      </w:r>
      <w:r>
        <w:t xml:space="preserve"> </w:t>
      </w:r>
      <w:r>
        <w:t xml:space="preserve">once loss is controlled, linearly, and under the non-linear cubic-residual control</w:t>
      </w:r>
      <w:r>
        <w:t xml:space="preserve"> </w:t>
      </w:r>
      <w:r>
        <w:t xml:space="preserve">(no positive signal revives, and deciles and the deduplicated arm agree). Mediation: the loss-mediated</w:t>
      </w:r>
      <w:r>
        <w:t xml:space="preserve"> </w:t>
      </w:r>
      <w:r>
        <w:rPr>
          <w:iCs/>
          <w:i/>
        </w:rPr>
        <w:t xml:space="preserve">indirect</w:t>
      </w:r>
      <w:r>
        <w:t xml:space="preserve"> </w:t>
      </w:r>
      <w:r>
        <w:t xml:space="preserve">effect is significantly positive for all three detectors while the</w:t>
      </w:r>
      <w:r>
        <w:t xml:space="preserve"> </w:t>
      </w:r>
      <w:r>
        <w:rPr>
          <w:iCs/>
          <w:i/>
        </w:rPr>
        <w:t xml:space="preserve">direct</w:t>
      </w:r>
      <w:r>
        <w:t xml:space="preserve"> </w:t>
      </w:r>
      <w:r>
        <w:t xml:space="preserve">effect is null (zlib) or negative (Min-K%, Min-K%++). We read this as a</w:t>
      </w:r>
      <w:r>
        <w:t xml:space="preserve"> </w:t>
      </w:r>
      <w:r>
        <w:rPr>
          <w:iCs/>
          <w:i/>
        </w:rPr>
        <w:t xml:space="preserve">descriptive</w:t>
      </w:r>
      <w:r>
        <w:t xml:space="preserve"> </w:t>
      </w:r>
      <w:r>
        <w:t xml:space="preserve">decomposition, not a causal mediation claim (see below): no calibrated detector adds positive signal</w:t>
      </w:r>
      <w:r>
        <w:t xml:space="preserve"> </w:t>
      </w:r>
      <w:r>
        <w:t xml:space="preserve">beyond loss.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Caption w:val="Table IV. Headline: per-item contamination score vs. extraction (Spearman ρ), Pythia-160M, N=300 members. The positive zero-order correlations collapse to ≈ 0 or significantly negative once loss is controlled, linearly, and under the non-linear cubic-residual control (no positive signal revives, and deciles and the deduplicated arm agree). Mediation: the loss-mediated indirect effect is significantly positive for all three detectors while the direct effect is null (zlib) or negative (Min-K%, Min-K%++). We read this as a descriptive decomposition, not a causal mediation claim (see below): no calibrated detector adds positive signal beyond loss."/>
      </w:tblPr>
      <w:tblGrid>
        <w:gridCol w:w="880"/>
        <w:gridCol w:w="1101"/>
        <w:gridCol w:w="1321"/>
        <w:gridCol w:w="2422"/>
        <w:gridCol w:w="620"/>
        <w:gridCol w:w="3016"/>
      </w:tblGrid>
      <w:tblGrid/>
      <w:tr>
        <w:tc>
          <w:tcPr>
            <w:tcW w:type="dxa" w:w="880"/>
          </w:tcPr>
          <w:p>
            <w:pPr>
              <w:pStyle w:val="Compact"/>
              <w:jc w:val="left"/>
            </w:pPr>
            <w:r>
              <w:t xml:space="preserve">Detector</w:t>
            </w:r>
          </w:p>
        </w:tc>
        <w:tc>
          <w:tcPr>
            <w:tcW w:type="dxa" w:w="1101"/>
          </w:tcPr>
          <w:p>
            <w:pPr>
              <w:pStyle w:val="Compact"/>
              <w:jc w:val="center"/>
            </w:pPr>
            <w:r>
              <w:t xml:space="preserve">zero-order</w:t>
            </w:r>
          </w:p>
        </w:tc>
        <w:tc>
          <w:tcPr>
            <w:tcW w:type="dxa" w:w="1321"/>
          </w:tcPr>
          <w:p>
            <w:pPr>
              <w:pStyle w:val="Compact"/>
              <w:jc w:val="center"/>
            </w:pPr>
            <w:r>
              <w:t xml:space="preserve">partial|loss</w:t>
            </w:r>
          </w:p>
        </w:tc>
        <w:tc>
          <w:tcPr>
            <w:tcW w:type="dxa" w:w="2422"/>
          </w:tcPr>
          <w:p>
            <w:pPr>
              <w:pStyle w:val="Compact"/>
              <w:jc w:val="center"/>
            </w:pPr>
            <w:r>
              <w:t xml:space="preserve">cubic-resid. [95% CI]</w:t>
            </w:r>
          </w:p>
        </w:tc>
        <w:tc>
          <w:tcPr>
            <w:tcW w:type="dxa" w:w="620"/>
          </w:tcPr>
          <w:p>
            <w:pPr>
              <w:pStyle w:val="Compact"/>
              <w:jc w:val="center"/>
            </w:pPr>
            <w:r>
              <w:t xml:space="preserve">BH-q</w:t>
            </w:r>
          </w:p>
        </w:tc>
        <w:tc>
          <w:tcPr>
            <w:tcW w:type="dxa" w:w="3016"/>
          </w:tcPr>
          <w:p>
            <w:pPr>
              <w:pStyle w:val="Compact"/>
              <w:jc w:val="center"/>
            </w:pPr>
            <w:r>
              <w:t xml:space="preserve">mediation: direct | indirect</w:t>
            </w:r>
          </w:p>
        </w:tc>
      </w:tr>
      <w:tr>
        <w:tc>
          <w:tcPr>
            <w:tcW w:type="dxa" w:w="880"/>
          </w:tcPr>
          <w:p>
            <w:pPr>
              <w:pStyle w:val="Compact"/>
              <w:jc w:val="left"/>
            </w:pPr>
            <w:r>
              <w:t xml:space="preserve">LOSS</w:t>
            </w:r>
          </w:p>
        </w:tc>
        <w:tc>
          <w:tcPr>
            <w:tcW w:type="dxa" w:w="1101"/>
          </w:tcPr>
          <w:p>
            <w:pPr>
              <w:pStyle w:val="Compact"/>
              <w:jc w:val="center"/>
            </w:pPr>
            <w:r>
              <w:t xml:space="preserve">+0.275</w:t>
            </w:r>
          </w:p>
        </w:tc>
        <w:tc>
          <w:tcPr>
            <w:tcW w:type="dxa" w:w="1321"/>
          </w:tcPr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>
            <w:tcW w:type="dxa" w:w="2422"/>
          </w:tcPr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>
            <w:tcW w:type="dxa" w:w="620"/>
          </w:tcPr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>
            <w:tcW w:type="dxa" w:w="3016"/>
          </w:tcPr>
          <w:p>
            <w:pPr>
              <w:pStyle w:val="Compact"/>
              <w:jc w:val="center"/>
            </w:pPr>
            <w:r>
              <w:t xml:space="preserve">(mediator)</w:t>
            </w:r>
          </w:p>
        </w:tc>
      </w:tr>
      <w:tr>
        <w:tc>
          <w:tcPr>
            <w:tcW w:type="dxa" w:w="880"/>
          </w:tcPr>
          <w:p>
            <w:pPr>
              <w:pStyle w:val="Compact"/>
              <w:jc w:val="left"/>
            </w:pPr>
            <w:r>
              <w:t xml:space="preserve">Min-K%</w:t>
            </w:r>
          </w:p>
        </w:tc>
        <w:tc>
          <w:tcPr>
            <w:tcW w:type="dxa" w:w="1101"/>
          </w:tcPr>
          <w:p>
            <w:pPr>
              <w:pStyle w:val="Compact"/>
              <w:jc w:val="center"/>
            </w:pPr>
            <w:r>
              <w:t xml:space="preserve">+0.173</w:t>
            </w:r>
          </w:p>
        </w:tc>
        <w:tc>
          <w:tcPr>
            <w:tcW w:type="dxa" w:w="1321"/>
          </w:tcPr>
          <w:p>
            <w:pPr>
              <w:pStyle w:val="Compact"/>
              <w:jc w:val="center"/>
            </w:pPr>
            <w:r>
              <w:t xml:space="preserve">-0.178</w:t>
            </w:r>
          </w:p>
        </w:tc>
        <w:tc>
          <w:tcPr>
            <w:tcW w:type="dxa" w:w="2422"/>
          </w:tcPr>
          <w:p>
            <w:pPr>
              <w:pStyle w:val="Compact"/>
              <w:jc w:val="center"/>
            </w:pPr>
            <w:r>
              <w:t xml:space="preserve">-0.110 [-0.234,-0.002]</w:t>
            </w:r>
          </w:p>
        </w:tc>
        <w:tc>
          <w:tcPr>
            <w:tcW w:type="dxa" w:w="620"/>
          </w:tcPr>
          <w:p>
            <w:pPr>
              <w:pStyle w:val="Compact"/>
              <w:jc w:val="center"/>
            </w:pPr>
            <w:r>
              <w:t xml:space="preserve">0.058</w:t>
            </w:r>
          </w:p>
        </w:tc>
        <w:tc>
          <w:tcPr>
            <w:tcW w:type="dxa" w:w="3016"/>
          </w:tcPr>
          <w:p>
            <w:pPr>
              <w:pStyle w:val="Compact"/>
              <w:jc w:val="center"/>
            </w:pPr>
            <w:r>
              <w:t xml:space="preserve">-0.394 | +0.567</w:t>
            </w:r>
          </w:p>
        </w:tc>
      </w:tr>
      <w:tr>
        <w:tc>
          <w:tcPr>
            <w:tcW w:type="dxa" w:w="880"/>
          </w:tcPr>
          <w:p>
            <w:pPr>
              <w:pStyle w:val="Compact"/>
              <w:jc w:val="left"/>
            </w:pPr>
            <w:r>
              <w:t xml:space="preserve">Min-K%++</w:t>
            </w:r>
          </w:p>
        </w:tc>
        <w:tc>
          <w:tcPr>
            <w:tcW w:type="dxa" w:w="1101"/>
          </w:tcPr>
          <w:p>
            <w:pPr>
              <w:pStyle w:val="Compact"/>
              <w:jc w:val="center"/>
            </w:pPr>
            <w:r>
              <w:t xml:space="preserve">+0.108</w:t>
            </w:r>
          </w:p>
        </w:tc>
        <w:tc>
          <w:tcPr>
            <w:tcW w:type="dxa" w:w="1321"/>
          </w:tcPr>
          <w:p>
            <w:pPr>
              <w:pStyle w:val="Compact"/>
              <w:jc w:val="center"/>
            </w:pPr>
            <w:r>
              <w:t xml:space="preserve">-0.148</w:t>
            </w:r>
          </w:p>
        </w:tc>
        <w:tc>
          <w:tcPr>
            <w:tcW w:type="dxa" w:w="2422"/>
          </w:tcPr>
          <w:p>
            <w:pPr>
              <w:pStyle w:val="Compact"/>
              <w:jc w:val="center"/>
            </w:pPr>
            <w:r>
              <w:t xml:space="preserve">-0.160 [-0.287,-0.041]</w:t>
            </w:r>
          </w:p>
        </w:tc>
        <w:tc>
          <w:tcPr>
            <w:tcW w:type="dxa" w:w="620"/>
          </w:tcPr>
          <w:p>
            <w:pPr>
              <w:pStyle w:val="Compact"/>
              <w:jc w:val="center"/>
            </w:pPr>
            <w:r>
              <w:t xml:space="preserve">0.015</w:t>
            </w:r>
          </w:p>
        </w:tc>
        <w:tc>
          <w:tcPr>
            <w:tcW w:type="dxa" w:w="3016"/>
          </w:tcPr>
          <w:p>
            <w:pPr>
              <w:pStyle w:val="Compact"/>
              <w:jc w:val="center"/>
            </w:pPr>
            <w:r>
              <w:t xml:space="preserve">-0.213 | +0.321</w:t>
            </w:r>
          </w:p>
        </w:tc>
      </w:tr>
      <w:tr>
        <w:tc>
          <w:tcPr>
            <w:tcW w:type="dxa" w:w="880"/>
          </w:tcPr>
          <w:p>
            <w:pPr>
              <w:pStyle w:val="Compact"/>
              <w:jc w:val="left"/>
            </w:pPr>
            <w:r>
              <w:t xml:space="preserve">zlib</w:t>
            </w:r>
          </w:p>
        </w:tc>
        <w:tc>
          <w:tcPr>
            <w:tcW w:type="dxa" w:w="1101"/>
          </w:tcPr>
          <w:p>
            <w:pPr>
              <w:pStyle w:val="Compact"/>
              <w:jc w:val="center"/>
            </w:pPr>
            <w:r>
              <w:t xml:space="preserve">+0.177</w:t>
            </w:r>
          </w:p>
        </w:tc>
        <w:tc>
          <w:tcPr>
            <w:tcW w:type="dxa" w:w="1321"/>
          </w:tcPr>
          <w:p>
            <w:pPr>
              <w:pStyle w:val="Compact"/>
              <w:jc w:val="center"/>
            </w:pPr>
            <w:r>
              <w:t xml:space="preserve">-0.042</w:t>
            </w:r>
          </w:p>
        </w:tc>
        <w:tc>
          <w:tcPr>
            <w:tcW w:type="dxa" w:w="2422"/>
          </w:tcPr>
          <w:p>
            <w:pPr>
              <w:pStyle w:val="Compact"/>
              <w:jc w:val="center"/>
            </w:pPr>
            <w:r>
              <w:t xml:space="preserve">-0.052 [-0.165,+0.068]</w:t>
            </w:r>
          </w:p>
        </w:tc>
        <w:tc>
          <w:tcPr>
            <w:tcW w:type="dxa" w:w="620"/>
          </w:tcPr>
          <w:p>
            <w:pPr>
              <w:pStyle w:val="Compact"/>
              <w:jc w:val="center"/>
            </w:pPr>
            <w:r>
              <w:t xml:space="preserve">0.331</w:t>
            </w:r>
          </w:p>
        </w:tc>
        <w:tc>
          <w:tcPr>
            <w:tcW w:type="dxa" w:w="3016"/>
          </w:tcPr>
          <w:p>
            <w:pPr>
              <w:pStyle w:val="Compact"/>
              <w:jc w:val="center"/>
            </w:pPr>
            <w:r>
              <w:t xml:space="preserve">-0.061 | +0.238</w:t>
            </w:r>
          </w:p>
        </w:tc>
      </w:tr>
    </w:tbl>
    <w:bookmarkEnd w:id="52"/>
    <w:bookmarkStart w:id="53" w:name="X176aad32584be7627f10da115d8745c97b156d6"/>
    <w:p>
      <w:pPr>
        <w:pStyle w:val="Heading4"/>
      </w:pPr>
      <w:r>
        <w:t xml:space="preserve">Collinearity caveat (why we do not over-read the negative partials).</w:t>
      </w:r>
    </w:p>
    <w:p>
      <w:pPr>
        <w:pStyle w:val="FirstParagraph"/>
      </w:pPr>
      <w:r>
        <w:t xml:space="preserve">The calibrated</w:t>
      </w:r>
      <w:r>
        <w:t xml:space="preserve"> </w:t>
      </w:r>
      <w:r>
        <w:t xml:space="preserve">detectors are deterministic transforms of the same per-token log-probabilities as loss, and are</w:t>
      </w:r>
      <w:r>
        <w:t xml:space="preserve"> </w:t>
      </w:r>
      <w:r>
        <w:t xml:space="preserve">empirically collinear with it: Spearman ρ(loss,·)=0.90 (Min-K%), 0.74 (Min-K%++),</w:t>
      </w:r>
      <w:r>
        <w:t xml:space="preserve"> </w:t>
      </w:r>
      <w:r>
        <w:t xml:space="preserve">0.74 (zlib), with variance-inflation factors 6.2, 2.6, 2.4. The strongest negative partial</w:t>
      </w:r>
      <w:r>
        <w:t xml:space="preserve"> </w:t>
      </w:r>
      <w:r>
        <w:t xml:space="preserve">(Min-K%, the most loss-collinear detector at VIF 6.2) is therefore consistent with a</w:t>
      </w:r>
      <w:r>
        <w:t xml:space="preserve"> </w:t>
      </w:r>
      <w:r>
        <w:rPr>
          <w:iCs/>
          <w:i/>
        </w:rPr>
        <w:t xml:space="preserve">suppression artifact</w:t>
      </w:r>
      <w:r>
        <w:t xml:space="preserve"> </w:t>
      </w:r>
      <w:r>
        <w:t xml:space="preserve">of near-collinearity rather than substantive inverse prediction. We do</w:t>
      </w:r>
      <w:r>
        <w:t xml:space="preserve"> </w:t>
      </w:r>
      <w:r>
        <w:t xml:space="preserve">not claim the calibrated detectors</w:t>
      </w:r>
      <w:r>
        <w:t xml:space="preserve"> </w:t>
      </w:r>
      <w:r>
        <w:rPr>
          <w:iCs/>
          <w:i/>
        </w:rPr>
        <w:t xml:space="preserve">negatively</w:t>
      </w:r>
      <w:r>
        <w:t xml:space="preserve"> </w:t>
      </w:r>
      <w:r>
        <w:t xml:space="preserve">predict leakage. The defensible, conservative</w:t>
      </w:r>
      <w:r>
        <w:t xml:space="preserve"> </w:t>
      </w:r>
      <w:r>
        <w:t xml:space="preserve">statement is that they carry</w:t>
      </w:r>
      <w:r>
        <w:t xml:space="preserve"> </w:t>
      </w:r>
      <w:r>
        <w:rPr>
          <w:iCs/>
          <w:i/>
        </w:rPr>
        <w:t xml:space="preserve">no positive</w:t>
      </w:r>
      <w:r>
        <w:t xml:space="preserve"> </w:t>
      </w:r>
      <w:r>
        <w:t xml:space="preserve">leakage signal independent of loss. Min-K%++ and</w:t>
      </w:r>
      <w:r>
        <w:t xml:space="preserve"> </w:t>
      </w:r>
      <w:r>
        <w:t xml:space="preserve">zlib have only moderate collinearity (VIF &lt;3), so their null/near-null residuals are less</w:t>
      </w:r>
      <w:r>
        <w:t xml:space="preserve"> </w:t>
      </w:r>
      <w:r>
        <w:t xml:space="preserve">attributable to collinearity.</w:t>
      </w:r>
    </w:p>
    <w:p>
      <w:pPr>
        <w:pStyle w:val="BodyText"/>
      </w:pPr>
      <w:r>
        <w:t xml:space="preserve">The pre-registered decision rule asked whether any calibrated detector predicts leakage</w:t>
      </w:r>
      <w:r>
        <w:t xml:space="preserve"> </w:t>
      </w:r>
      <w:r>
        <w:rPr>
          <w:iCs/>
          <w:i/>
        </w:rPr>
        <w:t xml:space="preserve">beyond</w:t>
      </w:r>
      <w:r>
        <w:t xml:space="preserve"> </w:t>
      </w:r>
      <w:r>
        <w:t xml:space="preserve">loss (a positive partial ρ, CI excluding zero, FDR-significant). None does, under</w:t>
      </w:r>
      <w:r>
        <w:t xml:space="preserve"> </w:t>
      </w:r>
      <w:r>
        <w:t xml:space="preserve">the linear or the non-linear control.</w:t>
      </w:r>
      <w:r>
        <w:t xml:space="preserve"> </w:t>
      </w:r>
      <w:r>
        <w:rPr>
          <w:bCs/>
          <w:b/>
        </w:rPr>
        <w:t xml:space="preserve">Power note:</w:t>
      </w:r>
      <w:r>
        <w:t xml:space="preserve"> </w:t>
      </w:r>
      <w:r>
        <w:t xml:space="preserve">with N=300 and a near-degenerate</w:t>
      </w:r>
      <w:r>
        <w:t xml:space="preserve"> </w:t>
      </w:r>
      <w:r>
        <w:t xml:space="preserve">outcome (3/300 fully extracted), this is evidence of</w:t>
      </w:r>
      <w:r>
        <w:t xml:space="preserve"> </w:t>
      </w:r>
      <w:r>
        <w:rPr>
          <w:iCs/>
          <w:i/>
        </w:rPr>
        <w:t xml:space="preserve">no positive independent signal of</w:t>
      </w:r>
      <w:r>
        <w:rPr>
          <w:iCs/>
          <w:i/>
        </w:rPr>
        <w:t xml:space="preserve"> </w:t>
      </w:r>
      <w:r>
        <w:rPr>
          <w:iCs/>
          <w:i/>
        </w:rPr>
        <w:t xml:space="preserve">appreciable size</w:t>
      </w:r>
      <w:r>
        <w:t xml:space="preserve">, not proof of an exact null. The analysis is well-powered only for moderate-to-large</w:t>
      </w:r>
      <w:r>
        <w:t xml:space="preserve"> </w:t>
      </w:r>
      <w:r>
        <w:t xml:space="preserve">positive residuals, and a small positive effect at scale is not excluded (hence the GPU replication).</w:t>
      </w:r>
      <w:r>
        <w:t xml:space="preserve"> </w:t>
      </w:r>
      <w:r>
        <w:t xml:space="preserve">The per-domain breakdown (ledger) shows the loss↔extraction link is heterogeneous and</w:t>
      </w:r>
      <w:r>
        <w:t xml:space="preserve"> </w:t>
      </w:r>
      <w:r>
        <w:t xml:space="preserve">sign-flipping across domains, strongest in templated/structured domains (GitHub, StackExchange),</w:t>
      </w:r>
      <w:r>
        <w:t xml:space="preserve"> </w:t>
      </w:r>
      <w:r>
        <w:t xml:space="preserve">reversed in some prose domains (PubMed Abstracts), so the pooled ρ is a domain-mixture, not a</w:t>
      </w:r>
      <w:r>
        <w:t xml:space="preserve"> </w:t>
      </w:r>
      <w:r>
        <w:t xml:space="preserve">uniform effect.</w:t>
      </w:r>
    </w:p>
    <w:bookmarkEnd w:id="53"/>
    <w:bookmarkEnd w:id="54"/>
    <w:bookmarkStart w:id="55" w:name="sec:res-extraction"/>
    <w:p>
      <w:pPr>
        <w:pStyle w:val="Heading2"/>
      </w:pPr>
      <w:r>
        <w:t xml:space="preserve">C. Extraction and PII at this scale</w:t>
      </w:r>
    </w:p>
    <w:p>
      <w:pPr>
        <w:pStyle w:val="FirstParagraph"/>
      </w:pPr>
      <w:r>
        <w:t xml:space="preserve">Extractable memorization is rare at 160M: 3/300 members are fully extractable (exact-match</w:t>
      </w:r>
      <w:r>
        <w:t xml:space="preserve"> </w:t>
      </w:r>
      <w:r>
        <w:t xml:space="preserve">extraction rate 0.010, mean fractional extraction 0.037), the fully-extracted items being</w:t>
      </w:r>
      <w:r>
        <w:t xml:space="preserve"> </w:t>
      </w:r>
      <w:r>
        <w:t xml:space="preserve">templated boilerplate. On the Enron-Emails-in-Pile subset we measured</w:t>
      </w:r>
      <w:r>
        <w:t xml:space="preserve"> </w:t>
      </w:r>
      <w:r>
        <w:rPr>
          <w:iCs/>
          <w:i/>
        </w:rPr>
        <w:t xml:space="preserve">zero</w:t>
      </w:r>
      <w:r>
        <w:t xml:space="preserve"> </w:t>
      </w:r>
      <w:r>
        <w:t xml:space="preserve">verbatim PII</w:t>
      </w:r>
      <w:r>
        <w:t xml:space="preserve"> </w:t>
      </w:r>
      <w:r>
        <w:t xml:space="preserve">leakage (8/36 documents contained PII in the held suffix, none were regurgitated). We report the</w:t>
      </w:r>
      <w:r>
        <w:t xml:space="preserve"> </w:t>
      </w:r>
      <w:r>
        <w:t xml:space="preserve">PII result as a null at this scale and make no PII-exposure claim. Both quantities are expected to</w:t>
      </w:r>
      <w:r>
        <w:t xml:space="preserve"> </w:t>
      </w:r>
      <w:r>
        <w:t xml:space="preserve">grow with model scale.</w:t>
      </w:r>
    </w:p>
    <w:bookmarkEnd w:id="55"/>
    <w:bookmarkStart w:id="57" w:name="sec:res-matrix"/>
    <w:p>
      <w:pPr>
        <w:pStyle w:val="Heading2"/>
      </w:pPr>
      <w:r>
        <w:t xml:space="preserve">D. Benchmark contamination (model-free n-gram + permutation test)</w:t>
      </w:r>
    </w:p>
    <w:p>
      <w:pPr>
        <w:pStyle w:val="FirstParagraph"/>
      </w:pPr>
      <w:r>
        <w:t xml:space="preserve">We complement the per-item analysis with two benchmark-level contamination tests</w:t>
      </w:r>
      <w:r>
        <w:t xml:space="preserve"> </w:t>
      </w:r>
      <w:r>
        <w:t xml:space="preserve">(Table </w:t>
      </w:r>
      <w:hyperlink w:anchor="tab:matrix">
        <w:r>
          <w:rPr>
            <w:rStyle w:val="Hyperlink"/>
          </w:rPr>
          <w:t xml:space="preserve">5</w:t>
        </w:r>
      </w:hyperlink>
      <w:r>
        <w:t xml:space="preserve">). The model-free n-gram overlap against a public</w:t>
      </w:r>
      <w:r>
        <w:t xml:space="preserve"> </w:t>
      </w:r>
      <w:r>
        <w:rPr>
          <w:iCs/>
          <w:i/>
        </w:rPr>
        <w:t xml:space="preserve">sample</w:t>
      </w:r>
      <w:r>
        <w:t xml:space="preserve"> </w:t>
      </w:r>
      <w:r>
        <w:t xml:space="preserve">of the Pile</w:t>
      </w:r>
      <w:r>
        <w:t xml:space="preserve"> </w:t>
      </w:r>
      <w:r>
        <w:t xml:space="preserve">(10k documents) is a scale-invariant method but, with a sampled reference, yields only a loose</w:t>
      </w:r>
      <w:r>
        <w:t xml:space="preserve"> </w:t>
      </w:r>
      <w:r>
        <w:rPr>
          <w:iCs/>
          <w:i/>
        </w:rPr>
        <w:t xml:space="preserve">lower bound</w:t>
      </w:r>
      <w:r>
        <w:t xml:space="preserve">: overlap is near-zero for MMLU (0.2% at 13-grams), GSM8K (0%), and</w:t>
      </w:r>
      <w:r>
        <w:t xml:space="preserve"> </w:t>
      </w:r>
      <w:r>
        <w:t xml:space="preserve">HumanEval (0% at 13-grams), which certifies overlap is</w:t>
      </w:r>
      <w:r>
        <w:t xml:space="preserve"> </w:t>
      </w:r>
      <w:r>
        <w:rPr>
          <w:iCs/>
          <w:i/>
        </w:rPr>
        <w:t xml:space="preserve">at least</w:t>
      </w:r>
      <w:r>
        <w:t xml:space="preserve"> </w:t>
      </w:r>
      <w:r>
        <w:t xml:space="preserve">this small and is</w:t>
      </w:r>
      <w:r>
        <w:t xml:space="preserve"> </w:t>
      </w:r>
      <w:r>
        <w:t xml:space="preserve">uninformative about true contamination, a full-Pile index (infrastructure-, not GPU-, gated) is</w:t>
      </w:r>
      <w:r>
        <w:t xml:space="preserve"> </w:t>
      </w:r>
      <w:r>
        <w:t xml:space="preserve">required for a real rate. The Oren permutation/exchangeability test </w:t>
      </w:r>
      <w:r>
        <w:t xml:space="preserve">(Oren et al., 2024)</w:t>
      </w:r>
      <w:r>
        <w:t xml:space="preserve"> </w:t>
      </w:r>
      <w:r>
        <w:t xml:space="preserve">at 160M</w:t>
      </w:r>
      <w:r>
        <w:t xml:space="preserve"> </w:t>
      </w:r>
      <w:r>
        <w:t xml:space="preserve">finds the canonical ordering favoured beyond chance for MMLU (p=0.001) and GSM8K (p=0.013) but</w:t>
      </w:r>
      <w:r>
        <w:t xml:space="preserve"> </w:t>
      </w:r>
      <w:r>
        <w:t xml:space="preserve">not HumanEval (p=0.875). We draw</w:t>
      </w:r>
      <w:r>
        <w:t xml:space="preserve"> </w:t>
      </w:r>
      <w:r>
        <w:rPr>
          <w:iCs/>
          <w:i/>
        </w:rPr>
        <w:t xml:space="preserve">no</w:t>
      </w:r>
      <w:r>
        <w:t xml:space="preserve"> </w:t>
      </w:r>
      <w:r>
        <w:t xml:space="preserve">contamination conclusion from this, as the test is</w:t>
      </w:r>
      <w:r>
        <w:t xml:space="preserve"> </w:t>
      </w:r>
      <w:r>
        <w:t xml:space="preserve">membership-based, run at sanity scale (small k, smallest model), and subject to a fluency/orientation</w:t>
      </w:r>
      <w:r>
        <w:t xml:space="preserve"> </w:t>
      </w:r>
      <w:r>
        <w:t xml:space="preserve">artifact, it is flagged GPU-gated and requires a fluency-control baseline before any claim.</w:t>
      </w:r>
    </w:p>
    <w:bookmarkStart w:id="56" w:name="tab:matrix"/>
    <w:p>
      <w:pPr>
        <w:pStyle w:val="TableCaption"/>
      </w:pPr>
      <w:r>
        <w:t xml:space="preserve">Table V. Benchmark-level contamination at small scale. n-gram cells are a</w:t>
      </w:r>
      <w:r>
        <w:t xml:space="preserve"> </w:t>
      </w:r>
      <w:r>
        <w:rPr>
          <w:iCs/>
          <w:i/>
        </w:rPr>
        <w:t xml:space="preserve">lower bound</w:t>
      </w:r>
      <w:r>
        <w:t xml:space="preserve"> </w:t>
      </w:r>
      <w:r>
        <w:t xml:space="preserve">against a 10k Pile sample (method scale-invariant, reference under-powered). Oren p-values are</w:t>
      </w:r>
      <w:r>
        <w:t xml:space="preserve"> </w:t>
      </w:r>
      <w:r>
        <w:t xml:space="preserve">sanity-scale at 160M and GPU-gated (no contamination conclusion drawn). See</w:t>
      </w:r>
      <w:r>
        <w:t xml:space="preserve"> </w:t>
      </w:r>
      <w:r>
        <w:rPr>
          <w:rStyle w:val="VerbatimChar"/>
        </w:rPr>
        <w:t xml:space="preserve">docs/contamination_matrix.md</w:t>
      </w:r>
      <w:r>
        <w:t xml:space="preserve">.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Caption w:val="Table V. Benchmark-level contamination at small scale. n-gram cells are a lower bound against a 10k Pile sample (method scale-invariant, reference under-powered). Oren p-values are sanity-scale at 160M and GPU-gated (no contamination conclusion drawn). See docs/contamination_matrix.md."/>
      </w:tblPr>
      <w:tblGrid>
        <w:gridCol w:w="1153"/>
        <w:gridCol w:w="3718"/>
        <w:gridCol w:w="1795"/>
        <w:gridCol w:w="2694"/>
      </w:tblGrid>
      <w:tblGrid/>
      <w:tr>
        <w:tc>
          <w:tcPr>
            <w:tcW w:type="dxa" w:w="1153"/>
          </w:tcPr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>
            <w:tcW w:type="dxa" w:w="3718"/>
          </w:tcPr>
          <w:p>
            <w:pPr>
              <w:pStyle w:val="Compact"/>
              <w:jc w:val="center"/>
            </w:pPr>
            <w:r>
              <w:t xml:space="preserve">13-gram overlap (lower bound)</w:t>
            </w:r>
          </w:p>
        </w:tc>
        <w:tc>
          <w:tcPr>
            <w:tcW w:type="dxa" w:w="1795"/>
          </w:tcPr>
          <w:p>
            <w:pPr>
              <w:pStyle w:val="Compact"/>
              <w:jc w:val="center"/>
            </w:pPr>
            <w:r>
              <w:t xml:space="preserve">8-gram overlap</w:t>
            </w:r>
          </w:p>
        </w:tc>
        <w:tc>
          <w:tcPr>
            <w:tcW w:type="dxa" w:w="2694"/>
          </w:tcPr>
          <w:p>
            <w:pPr>
              <w:pStyle w:val="Compact"/>
              <w:jc w:val="center"/>
            </w:pPr>
            <w:r>
              <w:t xml:space="preserve">Oren p (160M, sanity)</w:t>
            </w:r>
          </w:p>
        </w:tc>
      </w:tr>
      <w:tr>
        <w:tc>
          <w:tcPr>
            <w:tcW w:type="dxa" w:w="1153"/>
          </w:tcPr>
          <w:p>
            <w:pPr>
              <w:pStyle w:val="Compact"/>
              <w:jc w:val="left"/>
            </w:pPr>
            <w:r>
              <w:t xml:space="preserve">MMLU</w:t>
            </w:r>
          </w:p>
        </w:tc>
        <w:tc>
          <w:tcPr>
            <w:tcW w:type="dxa" w:w="3718"/>
          </w:tcPr>
          <w:p>
            <w:pPr>
              <w:pStyle w:val="Compact"/>
              <w:jc w:val="center"/>
            </w:pPr>
            <w:r>
              <w:t xml:space="preserve">0.2%</w:t>
            </w:r>
          </w:p>
        </w:tc>
        <w:tc>
          <w:tcPr>
            <w:tcW w:type="dxa" w:w="1795"/>
          </w:tcPr>
          <w:p>
            <w:pPr>
              <w:pStyle w:val="Compact"/>
              <w:jc w:val="center"/>
            </w:pPr>
            <w:r>
              <w:t xml:space="preserve">0.8%</w:t>
            </w:r>
          </w:p>
        </w:tc>
        <w:tc>
          <w:tcPr>
            <w:tcW w:type="dxa" w:w="2694"/>
          </w:tcPr>
          <w:p>
            <w:pPr>
              <w:pStyle w:val="Compact"/>
              <w:jc w:val="center"/>
            </w:pPr>
            <w:r>
              <w:t xml:space="preserve">0.001</w:t>
            </w:r>
          </w:p>
        </w:tc>
      </w:tr>
      <w:tr>
        <w:tc>
          <w:tcPr>
            <w:tcW w:type="dxa" w:w="1153"/>
          </w:tcPr>
          <w:p>
            <w:pPr>
              <w:pStyle w:val="Compact"/>
              <w:jc w:val="left"/>
            </w:pPr>
            <w:r>
              <w:t xml:space="preserve">GSM8K</w:t>
            </w:r>
          </w:p>
        </w:tc>
        <w:tc>
          <w:tcPr>
            <w:tcW w:type="dxa" w:w="3718"/>
          </w:tcPr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>
            <w:tcW w:type="dxa" w:w="1795"/>
          </w:tcPr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>
            <w:tcW w:type="dxa" w:w="2694"/>
          </w:tcPr>
          <w:p>
            <w:pPr>
              <w:pStyle w:val="Compact"/>
              <w:jc w:val="center"/>
            </w:pPr>
            <w:r>
              <w:t xml:space="preserve">0.013</w:t>
            </w:r>
          </w:p>
        </w:tc>
      </w:tr>
      <w:tr>
        <w:tc>
          <w:tcPr>
            <w:tcW w:type="dxa" w:w="1153"/>
          </w:tcPr>
          <w:p>
            <w:pPr>
              <w:pStyle w:val="Compact"/>
              <w:jc w:val="left"/>
            </w:pPr>
            <w:r>
              <w:t xml:space="preserve">HumanEval</w:t>
            </w:r>
          </w:p>
        </w:tc>
        <w:tc>
          <w:tcPr>
            <w:tcW w:type="dxa" w:w="3718"/>
          </w:tcPr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>
            <w:tcW w:type="dxa" w:w="1795"/>
          </w:tcPr>
          <w:p>
            <w:pPr>
              <w:pStyle w:val="Compact"/>
              <w:jc w:val="center"/>
            </w:pPr>
            <w:r>
              <w:t xml:space="preserve">1.8%</w:t>
            </w:r>
          </w:p>
        </w:tc>
        <w:tc>
          <w:tcPr>
            <w:tcW w:type="dxa" w:w="2694"/>
          </w:tcPr>
          <w:p>
            <w:pPr>
              <w:pStyle w:val="Compact"/>
              <w:jc w:val="center"/>
            </w:pPr>
            <w:r>
              <w:t xml:space="preserve">0.875</w:t>
            </w:r>
          </w:p>
        </w:tc>
      </w:tr>
    </w:tbl>
    <w:bookmarkEnd w:id="56"/>
    <w:bookmarkEnd w:id="57"/>
    <w:bookmarkEnd w:id="58"/>
    <w:bookmarkStart w:id="63" w:name="sec:discussion"/>
    <w:p>
      <w:pPr>
        <w:pStyle w:val="Heading1"/>
      </w:pPr>
      <w:r>
        <w:t xml:space="preserve">VII. Discussion</w:t>
      </w:r>
    </w:p>
    <w:bookmarkStart w:id="59" w:name="Xf21d3bd2f6c5b14d325db455d6cba3bfdbf75ce"/>
    <w:p>
      <w:pPr>
        <w:pStyle w:val="Heading4"/>
      </w:pPr>
      <w:r>
        <w:t xml:space="preserve">Membership detection and leakage prediction diverge.</w:t>
      </w:r>
    </w:p>
    <w:p>
      <w:pPr>
        <w:pStyle w:val="FirstParagraph"/>
      </w:pPr>
      <w:r>
        <w:t xml:space="preserve">The central empirical observation</w:t>
      </w:r>
      <w:r>
        <w:t xml:space="preserve"> </w:t>
      </w:r>
      <w:r>
        <w:t xml:space="preserve">is that the contamination/membership signal which predicts</w:t>
      </w:r>
      <w:r>
        <w:t xml:space="preserve"> </w:t>
      </w:r>
      <w:r>
        <w:rPr>
          <w:iCs/>
          <w:i/>
        </w:rPr>
        <w:t xml:space="preserve">extraction</w:t>
      </w:r>
      <w:r>
        <w:t xml:space="preserve"> </w:t>
      </w:r>
      <w:r>
        <w:t xml:space="preserve">is, to the resolution</w:t>
      </w:r>
      <w:r>
        <w:t xml:space="preserve"> </w:t>
      </w:r>
      <w:r>
        <w:t xml:space="preserve">of our experiment,</w:t>
      </w:r>
      <w:r>
        <w:t xml:space="preserve"> </w:t>
      </w:r>
      <w:r>
        <w:rPr>
          <w:iCs/>
          <w:i/>
        </w:rPr>
        <w:t xml:space="preserve">just raw loss</w:t>
      </w:r>
      <w:r>
        <w:t xml:space="preserve">. The reference-free detectors that the contamination-detection</w:t>
      </w:r>
      <w:r>
        <w:t xml:space="preserve"> </w:t>
      </w:r>
      <w:r>
        <w:t xml:space="preserve">literature has invested in, Min-K%, Min-K%++, zlib, improve membership ranking by re-calibrating</w:t>
      </w:r>
      <w:r>
        <w:t xml:space="preserve"> </w:t>
      </w:r>
      <w:r>
        <w:t xml:space="preserve">the per-token likelihood (z-scoring against the vocabulary, compressing, or trimming to the</w:t>
      </w:r>
      <w:r>
        <w:t xml:space="preserve"> </w:t>
      </w:r>
      <w:r>
        <w:t xml:space="preserve">lowest-probability tokens), but in doing so they discard precisely the loss-magnitude information</w:t>
      </w:r>
      <w:r>
        <w:t xml:space="preserve"> </w:t>
      </w:r>
      <w:r>
        <w:t xml:space="preserve">that tracks how extractable an item is. A descriptive mediation decomposition is consistent with</w:t>
      </w:r>
      <w:r>
        <w:t xml:space="preserve"> </w:t>
      </w:r>
      <w:r>
        <w:t xml:space="preserve">this, the loss-mediated (indirect) path is positive for all three detectors while the direct paths</w:t>
      </w:r>
      <w:r>
        <w:t xml:space="preserve"> </w:t>
      </w:r>
      <w:r>
        <w:t xml:space="preserve">are null or negative, but we read it descriptively, not causally: the detectors are near-collinear</w:t>
      </w:r>
      <w:r>
        <w:t xml:space="preserve"> </w:t>
      </w:r>
      <w:r>
        <w:t xml:space="preserve">transforms of loss (Spearman up to 0.90, VIF up to 6.2), so a negative direct/partial term is</w:t>
      </w:r>
      <w:r>
        <w:t xml:space="preserve"> </w:t>
      </w:r>
      <w:r>
        <w:t xml:space="preserve">consistent with statistical suppression rather than genuine inverse prediction. We therefore claim</w:t>
      </w:r>
      <w:r>
        <w:t xml:space="preserve"> </w:t>
      </w:r>
      <w:r>
        <w:t xml:space="preserve">only the conservative version: the calibrated detectors add</w:t>
      </w:r>
      <w:r>
        <w:t xml:space="preserve"> </w:t>
      </w:r>
      <w:r>
        <w:rPr>
          <w:iCs/>
          <w:i/>
        </w:rPr>
        <w:t xml:space="preserve">no positive</w:t>
      </w:r>
      <w:r>
        <w:t xml:space="preserve"> </w:t>
      </w:r>
      <w:r>
        <w:t xml:space="preserve">leakage signal beyond</w:t>
      </w:r>
      <w:r>
        <w:t xml:space="preserve"> </w:t>
      </w:r>
      <w:r>
        <w:t xml:space="preserve">loss. A practitioner who wants to know</w:t>
      </w:r>
      <w:r>
        <w:t xml:space="preserve"> </w:t>
      </w:r>
      <w:r>
        <w:rPr>
          <w:iCs/>
          <w:i/>
        </w:rPr>
        <w:t xml:space="preserve">which contaminated items the model will actually leak</w:t>
      </w:r>
      <w:r>
        <w:t xml:space="preserve"> </w:t>
      </w:r>
      <w:r>
        <w:t xml:space="preserve">is, on this evidence, no better served by a state-of-the-art membership detector than by raw loss.</w:t>
      </w:r>
      <w:r>
        <w:t xml:space="preserve"> </w:t>
      </w:r>
      <w:r>
        <w:t xml:space="preserve">This is the sense in which membership detection and leakage prediction are different tasks.</w:t>
      </w:r>
    </w:p>
    <w:bookmarkEnd w:id="59"/>
    <w:bookmarkStart w:id="60" w:name="Xe612fa5789f7b40e9c0fd1216d49f88c11cf6e4"/>
    <w:p>
      <w:pPr>
        <w:pStyle w:val="Heading4"/>
      </w:pPr>
      <w:r>
        <w:t xml:space="preserve">Why this is a security result, not a leaderboard result.</w:t>
      </w:r>
    </w:p>
    <w:p>
      <w:pPr>
        <w:pStyle w:val="FirstParagraph"/>
      </w:pPr>
      <w:r>
        <w:t xml:space="preserve">Our finding is deliberately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“</w:t>
      </w:r>
      <w:r>
        <w:t xml:space="preserve">we built a better detector.</w:t>
      </w:r>
      <w:r>
        <w:t xml:space="preserve">”</w:t>
      </w:r>
      <w:r>
        <w:t xml:space="preserve"> </w:t>
      </w:r>
      <w:r>
        <w:t xml:space="preserve">It is that the privacy question, will contamination of a</w:t>
      </w:r>
      <w:r>
        <w:t xml:space="preserve"> </w:t>
      </w:r>
      <w:r>
        <w:t xml:space="preserve">benchmark expose a leakage channel? is mis-served by importing the membership-inference toolkit</w:t>
      </w:r>
      <w:r>
        <w:t xml:space="preserve"> </w:t>
      </w:r>
      <w:r>
        <w:t xml:space="preserve">wholesale. For an auditor of a released model, the actionable implication is to measure</w:t>
      </w:r>
      <w:r>
        <w:t xml:space="preserve"> </w:t>
      </w:r>
      <w:r>
        <w:t xml:space="preserve">loss/extractability directly and to treat a high Min-K%/Min-K%++ score as evidence about</w:t>
      </w:r>
      <w:r>
        <w:t xml:space="preserve"> </w:t>
      </w:r>
      <w:r>
        <w:t xml:space="preserve">membership, not about leakage risk. This reframing is the contribution. The detectors themselves are</w:t>
      </w:r>
      <w:r>
        <w:t xml:space="preserve"> </w:t>
      </w:r>
      <w:r>
        <w:t xml:space="preserve">prior work.</w:t>
      </w:r>
    </w:p>
    <w:bookmarkEnd w:id="60"/>
    <w:bookmarkStart w:id="61" w:name="relation-to-concurrent-work."/>
    <w:p>
      <w:pPr>
        <w:pStyle w:val="Heading4"/>
      </w:pPr>
      <w:r>
        <w:t xml:space="preserve">Relation to concurrent work.</w:t>
      </w:r>
    </w:p>
    <w:p>
      <w:pPr>
        <w:pStyle w:val="FirstParagraph"/>
      </w:pPr>
      <w:r>
        <w:t xml:space="preserve">Our direction agrees with two recent results and we do not</w:t>
      </w:r>
      <w:r>
        <w:t xml:space="preserve"> </w:t>
      </w:r>
      <w:r>
        <w:t xml:space="preserve">claim the bottom line is surprising:</w:t>
      </w:r>
      <w:r>
        <w:t xml:space="preserve"> </w:t>
      </w:r>
      <w:r>
        <w:t xml:space="preserve">Al Sahili et al. (2025)</w:t>
      </w:r>
      <w:r>
        <w:t xml:space="preserve"> </w:t>
      </w:r>
      <w:r>
        <w:t xml:space="preserve">report only</w:t>
      </w:r>
      <w:r>
        <w:t xml:space="preserve"> </w:t>
      </w:r>
      <w:r>
        <w:t xml:space="preserve">“</w:t>
      </w:r>
      <w:r>
        <w:t xml:space="preserve">marginal</w:t>
      </w:r>
      <w:r>
        <w:t xml:space="preserve">”</w:t>
      </w:r>
      <w:r>
        <w:t xml:space="preserve"> </w:t>
      </w:r>
      <w:r>
        <w:t xml:space="preserve">gains of MIA scores over likelihood ranking for targeted extraction, and</w:t>
      </w:r>
      <w:r>
        <w:t xml:space="preserve"> </w:t>
      </w:r>
      <w:r>
        <w:t xml:space="preserve">Hayes et al. (2025)</w:t>
      </w:r>
      <w:r>
        <w:t xml:space="preserve"> </w:t>
      </w:r>
      <w:r>
        <w:t xml:space="preserve">find no correlation between (LiRA) membership success and extraction. We</w:t>
      </w:r>
      <w:r>
        <w:t xml:space="preserve"> </w:t>
      </w:r>
      <w:r>
        <w:t xml:space="preserve">add the controlled, mechanistic form of the claim, a pre-registered partial-correlation/mediation</w:t>
      </w:r>
      <w:r>
        <w:t xml:space="preserve"> </w:t>
      </w:r>
      <w:r>
        <w:t xml:space="preserve">that quantifies a</w:t>
      </w:r>
      <w:r>
        <w:t xml:space="preserve"> </w:t>
      </w:r>
      <w:r>
        <w:rPr>
          <w:iCs/>
          <w:i/>
        </w:rPr>
        <w:t xml:space="preserve">zero-to-negative</w:t>
      </w:r>
      <w:r>
        <w:t xml:space="preserve"> </w:t>
      </w:r>
      <w:r>
        <w:t xml:space="preserve">residual for the calibrated reference-free detectors after</w:t>
      </w:r>
      <w:r>
        <w:t xml:space="preserve"> </w:t>
      </w:r>
      <w:r>
        <w:t xml:space="preserve">loss is removed, and we target the reference-free detectors the contamination literature actually</w:t>
      </w:r>
      <w:r>
        <w:t xml:space="preserve"> </w:t>
      </w:r>
      <w:r>
        <w:t xml:space="preserve">deploys rather than a shadow-model attack.</w:t>
      </w:r>
      <w:r>
        <w:t xml:space="preserve"> </w:t>
      </w:r>
      <w:r>
        <w:t xml:space="preserve">B. Chen et al. (2025)</w:t>
      </w:r>
      <w:r>
        <w:t xml:space="preserve"> </w:t>
      </w:r>
      <w:r>
        <w:t xml:space="preserve">independently find</w:t>
      </w:r>
      <w:r>
        <w:t xml:space="preserve"> </w:t>
      </w:r>
      <w:r>
        <w:t xml:space="preserve">these detectors do not robustly beat the loss baseline for</w:t>
      </w:r>
      <w:r>
        <w:t xml:space="preserve"> </w:t>
      </w:r>
      <w:r>
        <w:rPr>
          <w:iCs/>
          <w:i/>
        </w:rPr>
        <w:t xml:space="preserve">membership</w:t>
      </w:r>
      <w:r>
        <w:t xml:space="preserve"> </w:t>
      </w:r>
      <w:r>
        <w:t xml:space="preserve">once seed variance is</w:t>
      </w:r>
      <w:r>
        <w:t xml:space="preserve"> </w:t>
      </w:r>
      <w:r>
        <w:t xml:space="preserve">accounted for. Our result is the extraction-outcome analogue.</w:t>
      </w:r>
    </w:p>
    <w:bookmarkEnd w:id="61"/>
    <w:bookmarkStart w:id="62" w:name="defenses."/>
    <w:p>
      <w:pPr>
        <w:pStyle w:val="Heading4"/>
      </w:pPr>
      <w:r>
        <w:t xml:space="preserve">Defenses.</w:t>
      </w:r>
    </w:p>
    <w:p>
      <w:pPr>
        <w:pStyle w:val="FirstParagraph"/>
      </w:pPr>
      <w:r>
        <w:t xml:space="preserve">Because the leakage we measure is downstream of memorization, the principled</w:t>
      </w:r>
      <w:r>
        <w:t xml:space="preserve"> </w:t>
      </w:r>
      <w:r>
        <w:t xml:space="preserve">mitigation is differential privacy applied at training time </w:t>
      </w:r>
      <w:r>
        <w:t xml:space="preserve">(Abadi et al., 2016; Li et al., 2022)</w:t>
      </w:r>
      <w:r>
        <w:t xml:space="preserve">. It is a</w:t>
      </w:r>
      <w:r>
        <w:t xml:space="preserve"> </w:t>
      </w:r>
      <w:r>
        <w:t xml:space="preserve">producer-side control, not an auditor-side detector, and bounds the very quantity (loss-magnitude /</w:t>
      </w:r>
      <w:r>
        <w:t xml:space="preserve"> </w:t>
      </w:r>
      <w:r>
        <w:t xml:space="preserve">memorization) our analysis identifies as the operative one.</w:t>
      </w:r>
    </w:p>
    <w:bookmarkEnd w:id="62"/>
    <w:bookmarkEnd w:id="63"/>
    <w:bookmarkStart w:id="64" w:name="sec:limitations"/>
    <w:p>
      <w:pPr>
        <w:pStyle w:val="Heading1"/>
      </w:pPr>
      <w:r>
        <w:t xml:space="preserve">VIII. Limitations</w:t>
      </w:r>
    </w:p>
    <w:p>
      <w:pPr>
        <w:pStyle w:val="FirstParagraph"/>
      </w:pPr>
      <w:r>
        <w:t xml:space="preserve">We state the limitations plainly. Several bound the strength of the present claims and motivate the</w:t>
      </w:r>
      <w:r>
        <w:t xml:space="preserve"> </w:t>
      </w:r>
      <w:r>
        <w:t xml:space="preserve">GPU-scale replication the pipeline is built for.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Single, smallest model.</w:t>
      </w:r>
      <w:r>
        <w:t xml:space="preserve"> </w:t>
      </w:r>
      <w:r>
        <w:t xml:space="preserve">All results are on Pythia-160M (CPU). Memorization grows</w:t>
      </w:r>
      <w:r>
        <w:t xml:space="preserve"> </w:t>
      </w:r>
      <w:r>
        <w:t xml:space="preserve">log-linearly with model scale </w:t>
      </w:r>
      <w:r>
        <w:t xml:space="preserve">(Carlini et al., 2023)</w:t>
      </w:r>
      <w:r>
        <w:t xml:space="preserve">, so both the membership signal and the</w:t>
      </w:r>
      <w:r>
        <w:t xml:space="preserve"> </w:t>
      </w:r>
      <w:r>
        <w:t xml:space="preserve">extraction outcome are expected to be stronger at 1.4B–12B. The present numbers are</w:t>
      </w:r>
      <w:r>
        <w:t xml:space="preserve"> </w:t>
      </w:r>
      <w:r>
        <w:rPr>
          <w:iCs/>
          <w:i/>
        </w:rPr>
        <w:t xml:space="preserve">preliminary</w:t>
      </w:r>
      <w:r>
        <w:t xml:space="preserve">. We have built every analysis so the larger-model run is a one-line</w:t>
      </w:r>
      <w:r>
        <w:t xml:space="preserve"> </w:t>
      </w:r>
      <w:r>
        <w:t xml:space="preserve">configuration change.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Chance-level membership separation.</w:t>
      </w:r>
      <w:r>
        <w:t xml:space="preserve"> </w:t>
      </w:r>
      <w:r>
        <w:t xml:space="preserve">On the confound-clean Pile train-vs-val split,</w:t>
      </w:r>
      <w:r>
        <w:t xml:space="preserve"> </w:t>
      </w:r>
      <w:r>
        <w:t xml:space="preserve">membership AUC is at chance (0.45–0.49) at 160M, consistent with </w:t>
      </w:r>
      <w:r>
        <w:t xml:space="preserve">(Duan et al., 2024)</w:t>
      </w:r>
      <w:r>
        <w:t xml:space="preserve">. The</w:t>
      </w:r>
      <w:r>
        <w:t xml:space="preserve"> </w:t>
      </w:r>
      <w:r>
        <w:t xml:space="preserve">divergence result is therefore established in a regime where the membership signal is itself weak.</w:t>
      </w:r>
      <w:r>
        <w:t xml:space="preserve"> </w:t>
      </w:r>
      <w:r>
        <w:t xml:space="preserve">Whether the calibrated detectors gain</w:t>
      </w:r>
      <w:r>
        <w:t xml:space="preserve"> </w:t>
      </w:r>
      <w:r>
        <w:rPr>
          <w:iCs/>
          <w:i/>
        </w:rPr>
        <w:t xml:space="preserve">independent</w:t>
      </w:r>
      <w:r>
        <w:t xml:space="preserve"> </w:t>
      </w:r>
      <w:r>
        <w:t xml:space="preserve">leakage-predictive value once membership</w:t>
      </w:r>
      <w:r>
        <w:t xml:space="preserve"> </w:t>
      </w:r>
      <w:r>
        <w:t xml:space="preserve">separation becomes non-trivial at scale is an open question our design is poised to answer.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Near-degenerate extraction outcome.</w:t>
      </w:r>
      <w:r>
        <w:t xml:space="preserve"> </w:t>
      </w:r>
      <w:r>
        <w:t xml:space="preserve">Extractable memorization at 160M is rare</w:t>
      </w:r>
      <w:r>
        <w:t xml:space="preserve"> </w:t>
      </w:r>
      <w:r>
        <w:t xml:space="preserve">(3/300 items fully extracted, mean fractional extraction 0.037), so the correlation analysis</w:t>
      </w:r>
      <w:r>
        <w:t xml:space="preserve"> </w:t>
      </w:r>
      <w:r>
        <w:t xml:space="preserve">leans on a small high-extraction tail. We mitigate with rank statistics, bootstrap CIs, and a</w:t>
      </w:r>
      <w:r>
        <w:t xml:space="preserve"> </w:t>
      </w:r>
      <w:r>
        <w:t xml:space="preserve">zero-robust Kendall check, but a less zero-inflated outcome at scale would sharpen all estimates.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PII not yet demonstrated.</w:t>
      </w:r>
      <w:r>
        <w:t xml:space="preserve"> </w:t>
      </w:r>
      <w:r>
        <w:t xml:space="preserve">On the Enron-in-Pile subset we observed</w:t>
      </w:r>
      <w:r>
        <w:t xml:space="preserve"> </w:t>
      </w:r>
      <w:r>
        <w:rPr>
          <w:iCs/>
          <w:i/>
        </w:rPr>
        <w:t xml:space="preserve">zero</w:t>
      </w:r>
      <w:r>
        <w:t xml:space="preserve"> </w:t>
      </w:r>
      <w:r>
        <w:t xml:space="preserve">verbatim PII leakage at 160M (8/36 documents contained PII in the held suffix, none were</w:t>
      </w:r>
      <w:r>
        <w:t xml:space="preserve"> </w:t>
      </w:r>
      <w:r>
        <w:t xml:space="preserve">regurgitated). The PII limb of the threat model is thus a designed capability with a null result at</w:t>
      </w:r>
      <w:r>
        <w:t xml:space="preserve"> </w:t>
      </w:r>
      <w:r>
        <w:t xml:space="preserve">this scale, not a demonstrated leak. We report it as such and do not claim PII exposure.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Benchmark-level test underpowered.</w:t>
      </w:r>
      <w:r>
        <w:t xml:space="preserve"> </w:t>
      </w:r>
      <w:r>
        <w:t xml:space="preserve">The Oren permutation/exchangeability test is run</w:t>
      </w:r>
      <w:r>
        <w:t xml:space="preserve"> </w:t>
      </w:r>
      <w:r>
        <w:t xml:space="preserve">only at sanity scale on 160M. Membership-based, it is underpowered here and is flagged as</w:t>
      </w:r>
      <w:r>
        <w:t xml:space="preserve"> </w:t>
      </w:r>
      <w:r>
        <w:t xml:space="preserve">GPU-gated rather than used to draw contamination conclusions.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n-gram contamination is a lower bound.</w:t>
      </w:r>
      <w:r>
        <w:t xml:space="preserve"> </w:t>
      </w:r>
      <w:r>
        <w:t xml:space="preserve">Our model-free n-gram overlap uses a</w:t>
      </w:r>
      <w:r>
        <w:t xml:space="preserve"> </w:t>
      </w:r>
      <w:r>
        <w:t xml:space="preserve">public</w:t>
      </w:r>
      <w:r>
        <w:t xml:space="preserve"> </w:t>
      </w:r>
      <w:r>
        <w:rPr>
          <w:iCs/>
          <w:i/>
        </w:rPr>
        <w:t xml:space="preserve">sample</w:t>
      </w:r>
      <w:r>
        <w:t xml:space="preserve"> </w:t>
      </w:r>
      <w:r>
        <w:t xml:space="preserve">of the Pile as the reference index, so measured benchmark↔Pile</w:t>
      </w:r>
      <w:r>
        <w:t xml:space="preserve"> </w:t>
      </w:r>
      <w:r>
        <w:t xml:space="preserve">overlap underestimates the true overlap against the full corpus.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Observational, members-only correlation.</w:t>
      </w:r>
      <w:r>
        <w:t xml:space="preserve"> </w:t>
      </w:r>
      <w:r>
        <w:t xml:space="preserve">The headline analysis correlates detector</w:t>
      </w:r>
      <w:r>
        <w:t xml:space="preserve"> </w:t>
      </w:r>
      <w:r>
        <w:t xml:space="preserve">scores with extraction across known members. It is observational, not interventional. We address</w:t>
      </w:r>
      <w:r>
        <w:t xml:space="preserve"> </w:t>
      </w:r>
      <w:r>
        <w:t xml:space="preserve">the most important confound (loss) by pre-registered partial correlation and mediation, and the</w:t>
      </w:r>
      <w:r>
        <w:t xml:space="preserve"> </w:t>
      </w:r>
      <w:r>
        <w:t xml:space="preserve">obvious alternatives (frequency, duplication, non-linearity, distribution shift) by explicit</w:t>
      </w:r>
      <w:r>
        <w:t xml:space="preserve"> </w:t>
      </w:r>
      <w:r>
        <w:t xml:space="preserve">controls, but residual confounding cannot be excluded.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Collinearity of detectors with loss.</w:t>
      </w:r>
      <w:r>
        <w:t xml:space="preserve"> </w:t>
      </w:r>
      <w:r>
        <w:t xml:space="preserve">The calibrated detectors are deterministic</w:t>
      </w:r>
      <w:r>
        <w:t xml:space="preserve"> </w:t>
      </w:r>
      <w:r>
        <w:t xml:space="preserve">transforms of the same per-token log-probabilities as loss and are empirically collinear with it</w:t>
      </w:r>
      <w:r>
        <w:t xml:space="preserve"> </w:t>
      </w:r>
      <w:r>
        <w:t xml:space="preserve">(Spearman 0.74–0.90, VIF up to 6.2 for Min-K%). Consequently we interpret the negative</w:t>
      </w:r>
      <w:r>
        <w:t xml:space="preserve"> </w:t>
      </w:r>
      <w:r>
        <w:t xml:space="preserve">partial/direct terms as possible</w:t>
      </w:r>
      <w:r>
        <w:t xml:space="preserve"> </w:t>
      </w:r>
      <w:r>
        <w:rPr>
          <w:iCs/>
          <w:i/>
        </w:rPr>
        <w:t xml:space="preserve">suppression artifacts</w:t>
      </w:r>
      <w:r>
        <w:t xml:space="preserve"> </w:t>
      </w:r>
      <w:r>
        <w:t xml:space="preserve">of near-collinearity and claim only</w:t>
      </w:r>
      <w:r>
        <w:t xml:space="preserve"> </w:t>
      </w:r>
      <w:r>
        <w:t xml:space="preserve">the conservative</w:t>
      </w:r>
      <w:r>
        <w:t xml:space="preserve"> </w:t>
      </w:r>
      <w:r>
        <w:t xml:space="preserve">“</w:t>
      </w:r>
      <w:r>
        <w:t xml:space="preserve">no positive residual</w:t>
      </w:r>
      <w:r>
        <w:t xml:space="preserve">”</w:t>
      </w:r>
      <w:r>
        <w:t xml:space="preserve"> </w:t>
      </w:r>
      <w:r>
        <w:t xml:space="preserve">result. We do not assert the detectors inversely predict</w:t>
      </w:r>
      <w:r>
        <w:t xml:space="preserve"> </w:t>
      </w:r>
      <w:r>
        <w:t xml:space="preserve">leakage.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Construct validity of the leakage proxy.</w:t>
      </w:r>
      <w:r>
        <w:t xml:space="preserve"> </w:t>
      </w:r>
      <w:r>
        <w:t xml:space="preserve">The outcome (greedy prefix-continuation</w:t>
      </w:r>
      <w:r>
        <w:t xml:space="preserve"> </w:t>
      </w:r>
      <w:r>
        <w:t xml:space="preserve">extraction over the held suffix) is itself likelihood-related, so part of the loss↔</w:t>
      </w:r>
      <w:r>
        <w:t xml:space="preserve"> </w:t>
      </w:r>
      <w:r>
        <w:t xml:space="preserve">extraction association is mechanical/definitional. Our control removes the loss component, but a</w:t>
      </w:r>
      <w:r>
        <w:t xml:space="preserve"> </w:t>
      </w:r>
      <w:r>
        <w:t xml:space="preserve">decisive separation would compute prefix-only loss against extraction. We flag this as a known</w:t>
      </w:r>
      <w:r>
        <w:t xml:space="preserve"> </w:t>
      </w:r>
      <w:r>
        <w:t xml:space="preserve">construct-validity limitation rather than claiming the two are independent by construction.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Selection and aggregation.</w:t>
      </w:r>
      <w:r>
        <w:t xml:space="preserve"> </w:t>
      </w:r>
      <w:r>
        <w:t xml:space="preserve">Members are drawn from a non-uniform public Pile sample</w:t>
      </w:r>
      <w:r>
        <w:t xml:space="preserve"> </w:t>
      </w:r>
      <w:r>
        <w:t xml:space="preserve">(</w:t>
      </w:r>
      <w:r>
        <w:rPr>
          <w:rStyle w:val="VerbatimChar"/>
        </w:rPr>
        <w:t xml:space="preserve">pile-10k</w:t>
      </w:r>
      <w:r>
        <w:t xml:space="preserve">), so member-selection bias is possible, and the pooled correlation aggregates</w:t>
      </w:r>
      <w:r>
        <w:t xml:space="preserve"> </w:t>
      </w:r>
      <w:r>
        <w:t xml:space="preserve">domains whose effects flip sign (Section </w:t>
      </w:r>
      <w:hyperlink w:anchor="sec:res-headline">
        <w:r>
          <w:rPr>
            <w:rStyle w:val="Hyperlink"/>
          </w:rPr>
          <w:t xml:space="preserve">6.2</w:t>
        </w:r>
      </w:hyperlink>
      <w:r>
        <w:t xml:space="preserve">), so the pooled ρ should be</w:t>
      </w:r>
      <w:r>
        <w:t xml:space="preserve"> </w:t>
      </w:r>
      <w:r>
        <w:t xml:space="preserve">read as a domain-mixture, not a homogeneous effect.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Linearity (now addressed).</w:t>
      </w:r>
      <w:r>
        <w:t xml:space="preserve"> </w:t>
      </w:r>
      <w:r>
        <w:t xml:space="preserve">An earlier version controlled for loss only linearly. We</w:t>
      </w:r>
      <w:r>
        <w:t xml:space="preserve"> </w:t>
      </w:r>
      <w:r>
        <w:t xml:space="preserve">added a cubic-residual and decile-stratified non-linear control, under which no positive</w:t>
      </w:r>
      <w:r>
        <w:t xml:space="preserve"> </w:t>
      </w:r>
      <w:r>
        <w:t xml:space="preserve">independent signal revives. We note it here because it was a live threat to the claim until tested.</w:t>
      </w:r>
    </w:p>
    <w:bookmarkEnd w:id="64"/>
    <w:bookmarkStart w:id="65" w:name="sec:conclusion"/>
    <w:p>
      <w:pPr>
        <w:pStyle w:val="Heading1"/>
      </w:pPr>
      <w:r>
        <w:t xml:space="preserve">IX. Conclusion</w:t>
      </w:r>
    </w:p>
    <w:p>
      <w:pPr>
        <w:pStyle w:val="FirstParagraph"/>
      </w:pPr>
      <w:r>
        <w:t xml:space="preserve">We argued that benchmark contamination is best understood as a privacy/security vulnerability and</w:t>
      </w:r>
      <w:r>
        <w:t xml:space="preserve"> </w:t>
      </w:r>
      <w:r>
        <w:t xml:space="preserve">asked, on models with ground-truth public training data, whether the contamination/membership signal</w:t>
      </w:r>
      <w:r>
        <w:t xml:space="preserve"> </w:t>
      </w:r>
      <w:r>
        <w:t xml:space="preserve">that a benchmark leaks actually predicts concrete extraction. Using a pre-registered partial-correlation</w:t>
      </w:r>
      <w:r>
        <w:t xml:space="preserve"> </w:t>
      </w:r>
      <w:r>
        <w:t xml:space="preserve">and mediation analysis that controls for raw per-item loss, we found that it does, but only through</w:t>
      </w:r>
      <w:r>
        <w:t xml:space="preserve"> </w:t>
      </w:r>
      <w:r>
        <w:t xml:space="preserve">loss: the calibrated reference-free detectors (Min-K%, Min-K%++, zlib) add no independent</w:t>
      </w:r>
      <w:r>
        <w:t xml:space="preserve"> </w:t>
      </w:r>
      <w:r>
        <w:t xml:space="preserve">predictive value beyond loss, and two are negatively associated with extraction once loss is held</w:t>
      </w:r>
      <w:r>
        <w:t xml:space="preserve"> </w:t>
      </w:r>
      <w:r>
        <w:t xml:space="preserve">fixed. The result is robust to a non-linear loss control and to deduplication, and is not a frequency</w:t>
      </w:r>
      <w:r>
        <w:t xml:space="preserve"> </w:t>
      </w:r>
      <w:r>
        <w:t xml:space="preserve">or zero-inflation artifact. The practical message is a divergence: the detectors optimized for</w:t>
      </w:r>
      <w:r>
        <w:t xml:space="preserve"> </w:t>
      </w:r>
      <w:r>
        <w:t xml:space="preserve">membership inference are not the right instrument for the leakage question, and an auditor should</w:t>
      </w:r>
      <w:r>
        <w:t xml:space="preserve"> </w:t>
      </w:r>
      <w:r>
        <w:t xml:space="preserve">measure loss/extractability directly. We claim no new detector or metric. The contribution is the</w:t>
      </w:r>
      <w:r>
        <w:t xml:space="preserve"> </w:t>
      </w:r>
      <w:r>
        <w:t xml:space="preserve">security reframing and the controlled, pre-registered measurement. These findings are preliminary, on</w:t>
      </w:r>
      <w:r>
        <w:t xml:space="preserve"> </w:t>
      </w:r>
      <w:r>
        <w:t xml:space="preserve">the smallest Pythia model. The immediate next step, and the design target of our released</w:t>
      </w:r>
      <w:r>
        <w:t xml:space="preserve"> </w:t>
      </w:r>
      <w:r>
        <w:t xml:space="preserve">pipeline, is the GPU-scale replication across model sizes, where memorization, extraction, and any</w:t>
      </w:r>
      <w:r>
        <w:t xml:space="preserve"> </w:t>
      </w:r>
      <w:r>
        <w:t xml:space="preserve">PII leakage are expected to strengthen, and where the question of whether calibrated detectors gain</w:t>
      </w:r>
      <w:r>
        <w:t xml:space="preserve"> </w:t>
      </w:r>
      <w:r>
        <w:t xml:space="preserve">independent leakage-predictive value at scale can be settled.</w:t>
      </w:r>
    </w:p>
    <w:bookmarkEnd w:id="65"/>
    <w:bookmarkStart w:id="139" w:name="bibliography"/>
    <w:p>
      <w:pPr>
        <w:pStyle w:val="Heading1"/>
      </w:pPr>
      <w:r>
        <w:t xml:space="preserve">References</w:t>
      </w:r>
    </w:p>
    <w:bookmarkStart w:id="138" w:name="refs"/>
    <w:bookmarkStart w:id="67" w:name="ref-abadi2016deep"/>
    <w:p>
      <w:pPr>
        <w:pStyle w:val="Bibliography"/>
      </w:pPr>
      <w:r>
        <w:t xml:space="preserve">Abadi, M., Chu, A., Goodfellow, I., McMahan, H. B., Mironov, I., Talwar, K., &amp; Zhang, L. (2016). Deep learning with differential privacy.</w:t>
      </w:r>
      <w:r>
        <w:t xml:space="preserve"> </w:t>
      </w:r>
      <w:r>
        <w:rPr>
          <w:iCs/>
          <w:i/>
        </w:rPr>
        <w:t xml:space="preserve">Proceedings of the 2016 ACM SIGSAC Conference on Computer and Communications Security (CCS)</w:t>
      </w:r>
      <w:r>
        <w:t xml:space="preserve">, 308–318.</w:t>
      </w:r>
      <w:r>
        <w:t xml:space="preserve"> </w:t>
      </w:r>
      <w:hyperlink r:id="rId66">
        <w:r>
          <w:rPr>
            <w:rStyle w:val="Hyperlink"/>
          </w:rPr>
          <w:t xml:space="preserve">https://doi.org/10.1145/2976749.2978318</w:t>
        </w:r>
      </w:hyperlink>
    </w:p>
    <w:bookmarkEnd w:id="67"/>
    <w:bookmarkStart w:id="69" w:name="ref-alsahili2025effectiveness"/>
    <w:p>
      <w:pPr>
        <w:pStyle w:val="Bibliography"/>
      </w:pPr>
      <w:r>
        <w:t xml:space="preserve">Al Sahili, A., Chehab, A., &amp; Tajeddine, R. (2025).</w:t>
      </w:r>
      <w:r>
        <w:t xml:space="preserve"> </w:t>
      </w:r>
      <w:r>
        <w:rPr>
          <w:iCs/>
          <w:i/>
        </w:rPr>
        <w:t xml:space="preserve">On the effectiveness of membership inference in targeted data extraction from large language models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https://arxiv.org/abs/2512.13352</w:t>
        </w:r>
      </w:hyperlink>
    </w:p>
    <w:bookmarkEnd w:id="69"/>
    <w:bookmarkStart w:id="71" w:name="ref-biderman2023pythia"/>
    <w:p>
      <w:pPr>
        <w:pStyle w:val="Bibliography"/>
      </w:pPr>
      <w:r>
        <w:t xml:space="preserve">Biderman, S., Schoelkopf, H., Anthony, Q., Bradley, H., O’Brien, K., Hallahan, E., Khan, M. A., Purohit, S., Prashanth, U. S., Raff, E., Skowron, A., Sutawika, L., &amp; Wal, O. van der. (2023). Pythia: A suite for analyzing large language models across training and scaling.</w:t>
      </w:r>
      <w:r>
        <w:t xml:space="preserve"> </w:t>
      </w:r>
      <w:r>
        <w:rPr>
          <w:iCs/>
          <w:i/>
        </w:rPr>
        <w:t xml:space="preserve">Proceedings of the 40th International Conference on Machine Learning (ICML), PMLR</w:t>
      </w:r>
      <w:r>
        <w:t xml:space="preserve">,</w:t>
      </w:r>
      <w:r>
        <w:t xml:space="preserve"> </w:t>
      </w:r>
      <w:r>
        <w:rPr>
          <w:iCs/>
          <w:i/>
        </w:rPr>
        <w:t xml:space="preserve">202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https://arxiv.org/abs/2304.01373</w:t>
        </w:r>
      </w:hyperlink>
    </w:p>
    <w:bookmarkEnd w:id="71"/>
    <w:bookmarkStart w:id="73" w:name="ref-brown2020gpt3"/>
    <w:p>
      <w:pPr>
        <w:pStyle w:val="Bibliography"/>
      </w:pPr>
      <w:r>
        <w:t xml:space="preserve">Brown, T. B., Mann, B., Ryder, N., Subbiah, M., Kaplan, J., Dhariwal, P., Neelakantan, A., Shyam, P., Sastry, G., Askell, A., Agarwal, S., Herbert-Voss, A., Krueger, G., Henighan, T., Child, R., Ramesh, A., Ziegler, D. M., Wu, J., Winter, C., … Amodei, D. (2020). Language models are few-shot learners.</w:t>
      </w:r>
      <w:r>
        <w:t xml:space="preserve"> </w:t>
      </w:r>
      <w:r>
        <w:rPr>
          <w:iCs/>
          <w:i/>
        </w:rPr>
        <w:t xml:space="preserve">Advances in Neural Information Processing Systems 33 (NeurIPS 2020)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https://arxiv.org/abs/2005.14165</w:t>
        </w:r>
      </w:hyperlink>
    </w:p>
    <w:bookmarkEnd w:id="73"/>
    <w:bookmarkStart w:id="75" w:name="ref-carlini2022lira"/>
    <w:p>
      <w:pPr>
        <w:pStyle w:val="Bibliography"/>
      </w:pPr>
      <w:r>
        <w:t xml:space="preserve">Carlini, N., Chien, S., Nasr, M., Song, S., Terzis, A., &amp; Tramèr, F. (2022). Membership inference attacks from first principles.</w:t>
      </w:r>
      <w:r>
        <w:t xml:space="preserve"> </w:t>
      </w:r>
      <w:r>
        <w:rPr>
          <w:iCs/>
          <w:i/>
        </w:rPr>
        <w:t xml:space="preserve">2022 IEEE Symposium on Security and Privacy (SP)</w:t>
      </w:r>
      <w:r>
        <w:t xml:space="preserve">, 1897–1914.</w:t>
      </w:r>
      <w:r>
        <w:t xml:space="preserve"> </w:t>
      </w:r>
      <w:hyperlink r:id="rId74">
        <w:r>
          <w:rPr>
            <w:rStyle w:val="Hyperlink"/>
          </w:rPr>
          <w:t xml:space="preserve">https://doi.org/10.1109/SP46214.2022.9833649</w:t>
        </w:r>
      </w:hyperlink>
    </w:p>
    <w:bookmarkEnd w:id="75"/>
    <w:bookmarkStart w:id="77" w:name="ref-carlini2023quantifying"/>
    <w:p>
      <w:pPr>
        <w:pStyle w:val="Bibliography"/>
      </w:pPr>
      <w:r>
        <w:t xml:space="preserve">Carlini, N., Ippolito, D., Jagielski, M., Lee, K., Tramèr, F., &amp; Zhang, C. (2023). Quantifying memorization across neural language models.</w:t>
      </w:r>
      <w:r>
        <w:t xml:space="preserve"> </w:t>
      </w:r>
      <w:r>
        <w:rPr>
          <w:iCs/>
          <w:i/>
        </w:rPr>
        <w:t xml:space="preserve">The Eleventh International Conference on Learning Representations (ICLR)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https://arxiv.org/abs/2202.07646</w:t>
        </w:r>
      </w:hyperlink>
    </w:p>
    <w:bookmarkEnd w:id="77"/>
    <w:bookmarkStart w:id="78" w:name="ref-carlini2019secret"/>
    <w:p>
      <w:pPr>
        <w:pStyle w:val="Bibliography"/>
      </w:pPr>
      <w:r>
        <w:t xml:space="preserve">Carlini, N., Liu, C., Erlingsson, Ú., Kos, J., &amp; Song, D. (2019). The secret sharer: Evaluating and testing unintended memorization in neural networks.</w:t>
      </w:r>
      <w:r>
        <w:t xml:space="preserve"> </w:t>
      </w:r>
      <w:r>
        <w:rPr>
          <w:iCs/>
          <w:i/>
        </w:rPr>
        <w:t xml:space="preserve">28th USENIX Security Symposium (USENIX Security 19)</w:t>
      </w:r>
      <w:r>
        <w:t xml:space="preserve">, 267–284.</w:t>
      </w:r>
    </w:p>
    <w:bookmarkEnd w:id="78"/>
    <w:bookmarkStart w:id="79" w:name="ref-carlini2021extracting"/>
    <w:p>
      <w:pPr>
        <w:pStyle w:val="Bibliography"/>
      </w:pPr>
      <w:r>
        <w:t xml:space="preserve">Carlini, N., Tramèr, F., Wallace, E., Jagielski, M., Herbert-Voss, A., Lee, K., Roberts, A., Brown, T., Song, D., Erlingsson, Ú., Oprea, A., &amp; Raffel, C. (2021). Extracting training data from large language models.</w:t>
      </w:r>
      <w:r>
        <w:t xml:space="preserve"> </w:t>
      </w:r>
      <w:r>
        <w:rPr>
          <w:iCs/>
          <w:i/>
        </w:rPr>
        <w:t xml:space="preserve">30th USENIX Security Symposium (USENIX Security 21)</w:t>
      </w:r>
      <w:r>
        <w:t xml:space="preserve">, 2633–2650.</w:t>
      </w:r>
    </w:p>
    <w:bookmarkEnd w:id="79"/>
    <w:bookmarkStart w:id="81" w:name="ref-chen2025statistical"/>
    <w:p>
      <w:pPr>
        <w:pStyle w:val="Bibliography"/>
      </w:pPr>
      <w:r>
        <w:t xml:space="preserve">Chen, B., Han, N., &amp; Miyao, Y. (2025). A statistical and multi-perspective revisiting of the membership inference attack in large language models.</w:t>
      </w:r>
      <w:r>
        <w:t xml:space="preserve"> </w:t>
      </w:r>
      <w:r>
        <w:rPr>
          <w:iCs/>
          <w:i/>
        </w:rPr>
        <w:t xml:space="preserve">Proceedings of the 63rd Annual Meeting of the Association for Computational Linguistics (ACL), Volume 1: Long Papers</w:t>
      </w:r>
      <w:r>
        <w:t xml:space="preserve">, 22854–22874.</w:t>
      </w:r>
      <w:r>
        <w:t xml:space="preserve"> </w:t>
      </w:r>
      <w:hyperlink r:id="rId80">
        <w:r>
          <w:rPr>
            <w:rStyle w:val="Hyperlink"/>
          </w:rPr>
          <w:t xml:space="preserve">https://arxiv.org/abs/2412.13475</w:t>
        </w:r>
      </w:hyperlink>
    </w:p>
    <w:bookmarkEnd w:id="81"/>
    <w:bookmarkStart w:id="82" w:name="ref-chen2021humaneval"/>
    <w:p>
      <w:pPr>
        <w:pStyle w:val="Bibliography"/>
      </w:pPr>
      <w:r>
        <w:t xml:space="preserve">Chen, M., Tworek, J., Jun, H., Yuan, Q., Pinto, H. P. de O., Kaplan, J., Edwards, H., Burda, Y., Joseph, N., Brockman, G., Ray, A., Puri, R., Krueger, G., Petrov, M., Khlaaf, H., Sastry, G., Mishkin, P., Chan, B., Gray, S., … Zaremba, W. (2021). Evaluating large language models trained on code.</w:t>
      </w:r>
      <w:r>
        <w:t xml:space="preserve"> </w:t>
      </w:r>
      <w:r>
        <w:rPr>
          <w:iCs/>
          <w:i/>
        </w:rPr>
        <w:t xml:space="preserve">arXiv Preprint arXiv:2107.03374</w:t>
      </w:r>
      <w:r>
        <w:t xml:space="preserve">.</w:t>
      </w:r>
    </w:p>
    <w:bookmarkEnd w:id="82"/>
    <w:bookmarkStart w:id="84" w:name="ref-clark2019boolq"/>
    <w:p>
      <w:pPr>
        <w:pStyle w:val="Bibliography"/>
      </w:pPr>
      <w:r>
        <w:t xml:space="preserve">Clark, C., Lee, K., Chang, M.-W., Kwiatkowski, T., Collins, M., &amp; Toutanova, K. (2019).</w:t>
      </w:r>
      <w:r>
        <w:t xml:space="preserve"> </w:t>
      </w:r>
      <w:r>
        <w:t xml:space="preserve">BoolQ</w:t>
      </w:r>
      <w:r>
        <w:t xml:space="preserve">: Exploring the surprising difficulty of natural yes/no questions.</w:t>
      </w:r>
      <w:r>
        <w:t xml:space="preserve"> </w:t>
      </w:r>
      <w:r>
        <w:rPr>
          <w:iCs/>
          <w:i/>
        </w:rPr>
        <w:t xml:space="preserve">Proceedings of the 2019 Conference of the North American Chapter of the Association for Computational Linguistics (NAACL)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https://arxiv.org/abs/1905.10044</w:t>
        </w:r>
      </w:hyperlink>
    </w:p>
    <w:bookmarkEnd w:id="84"/>
    <w:bookmarkStart w:id="85" w:name="ref-cobbe2021gsm8k"/>
    <w:p>
      <w:pPr>
        <w:pStyle w:val="Bibliography"/>
      </w:pPr>
      <w:r>
        <w:t xml:space="preserve">Cobbe, K., Kosaraju, V., Bavarian, M., Chen, M., Jun, H., Kaiser, L., Plappert, M., Tworek, J., Hilton, J., Nakano, R., Hesse, C., &amp; Schulman, J. (2021). Training verifiers to solve math word problems.</w:t>
      </w:r>
      <w:r>
        <w:t xml:space="preserve"> </w:t>
      </w:r>
      <w:r>
        <w:rPr>
          <w:iCs/>
          <w:i/>
        </w:rPr>
        <w:t xml:space="preserve">arXiv Preprint arXiv:2110.14168</w:t>
      </w:r>
      <w:r>
        <w:t xml:space="preserve">.</w:t>
      </w:r>
    </w:p>
    <w:bookmarkEnd w:id="85"/>
    <w:bookmarkStart w:id="87" w:name="ref-commoncrawl"/>
    <w:p>
      <w:pPr>
        <w:pStyle w:val="Bibliography"/>
      </w:pPr>
      <w:r>
        <w:t xml:space="preserve">Common Crawl Foundation. (n.d.).</w:t>
      </w:r>
      <w:r>
        <w:t xml:space="preserve"> </w:t>
      </w:r>
      <w:r>
        <w:rPr>
          <w:iCs/>
          <w:i/>
        </w:rPr>
        <w:t xml:space="preserve">Common crawl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https://commoncrawl.org</w:t>
        </w:r>
      </w:hyperlink>
      <w:r>
        <w:t xml:space="preserve">.</w:t>
      </w:r>
    </w:p>
    <w:bookmarkEnd w:id="87"/>
    <w:bookmarkStart w:id="89" w:name="ref-das2024blind"/>
    <w:p>
      <w:pPr>
        <w:pStyle w:val="Bibliography"/>
      </w:pPr>
      <w:r>
        <w:t xml:space="preserve">Das, D., Zhang, J., &amp; Tramèr, F. (2024).</w:t>
      </w:r>
      <w:r>
        <w:t xml:space="preserve"> </w:t>
      </w:r>
      <w:r>
        <w:rPr>
          <w:iCs/>
          <w:i/>
        </w:rPr>
        <w:t xml:space="preserve">Blind baselines beat membership inference attacks for foundation models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https://arxiv.org/abs/2406.16201</w:t>
        </w:r>
      </w:hyperlink>
    </w:p>
    <w:bookmarkEnd w:id="89"/>
    <w:bookmarkStart w:id="91" w:name="ref-dodge2021c4"/>
    <w:p>
      <w:pPr>
        <w:pStyle w:val="Bibliography"/>
      </w:pPr>
      <w:r>
        <w:t xml:space="preserve">Dodge, J., Sap, M., Marasović, A., Agnew, W., Ilharco, G., Groeneveld, D., Mitchell, M., &amp; Gardner, M. (2021). Documenting large webtext corpora: A case study on the colossal clean crawled corpus.</w:t>
      </w:r>
      <w:r>
        <w:t xml:space="preserve"> </w:t>
      </w:r>
      <w:r>
        <w:rPr>
          <w:iCs/>
          <w:i/>
        </w:rPr>
        <w:t xml:space="preserve">Proceedings of the 2021 Conference on Empirical Methods in Natural Language Processing (EMNLP)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https://arxiv.org/abs/2104.08758</w:t>
        </w:r>
      </w:hyperlink>
    </w:p>
    <w:bookmarkEnd w:id="91"/>
    <w:bookmarkStart w:id="93" w:name="ref-duan2024mia"/>
    <w:p>
      <w:pPr>
        <w:pStyle w:val="Bibliography"/>
      </w:pPr>
      <w:r>
        <w:t xml:space="preserve">Duan, M., Suri, A., Mireshghallah, N., Min, S., Shi, W., Zettlemoyer, L., Tsvetkov, Y., Choi, Y., Evans, D., &amp; Hajishirzi, H. (2024). Do membership inference attacks work on large language models?</w:t>
      </w:r>
      <w:r>
        <w:t xml:space="preserve"> </w:t>
      </w:r>
      <w:r>
        <w:rPr>
          <w:iCs/>
          <w:i/>
        </w:rPr>
        <w:t xml:space="preserve">Conference on Language Modeling (COLM)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https://arxiv.org/abs/2402.07841</w:t>
        </w:r>
      </w:hyperlink>
    </w:p>
    <w:bookmarkEnd w:id="93"/>
    <w:bookmarkStart w:id="94" w:name="ref-gao2020pile"/>
    <w:p>
      <w:pPr>
        <w:pStyle w:val="Bibliography"/>
      </w:pPr>
      <w:r>
        <w:t xml:space="preserve">Gao, L., Biderman, S., Black, S., Golding, L., Hoppe, T., Foster, C., Phang, J., He, H., Thite, A., Nabeshima, N., Presser, S., &amp; Leahy, C. (2020). The</w:t>
      </w:r>
      <w:r>
        <w:t xml:space="preserve"> </w:t>
      </w:r>
      <w:r>
        <w:t xml:space="preserve">Pile</w:t>
      </w:r>
      <w:r>
        <w:t xml:space="preserve">: An 800GB dataset of diverse text for language modeling.</w:t>
      </w:r>
      <w:r>
        <w:t xml:space="preserve"> </w:t>
      </w:r>
      <w:r>
        <w:rPr>
          <w:iCs/>
          <w:i/>
        </w:rPr>
        <w:t xml:space="preserve">arXiv Preprint arXiv:2101.00027</w:t>
      </w:r>
      <w:r>
        <w:t xml:space="preserve">.</w:t>
      </w:r>
    </w:p>
    <w:bookmarkEnd w:id="94"/>
    <w:bookmarkStart w:id="96" w:name="ref-golchin2024timetravel"/>
    <w:p>
      <w:pPr>
        <w:pStyle w:val="Bibliography"/>
      </w:pPr>
      <w:r>
        <w:t xml:space="preserve">Golchin, S., &amp; Surdeanu, M. (2024). Time travel in</w:t>
      </w:r>
      <w:r>
        <w:t xml:space="preserve"> </w:t>
      </w:r>
      <w:r>
        <w:t xml:space="preserve">LLMs</w:t>
      </w:r>
      <w:r>
        <w:t xml:space="preserve">: Tracing data contamination in large language models.</w:t>
      </w:r>
      <w:r>
        <w:t xml:space="preserve"> </w:t>
      </w:r>
      <w:r>
        <w:rPr>
          <w:iCs/>
          <w:i/>
        </w:rPr>
        <w:t xml:space="preserve">The Twelfth International Conference on Learning Representations (ICLR)</w:t>
      </w:r>
      <w:r>
        <w:t xml:space="preserve">.</w:t>
      </w:r>
      <w:r>
        <w:t xml:space="preserve"> </w:t>
      </w:r>
      <w:hyperlink r:id="rId95">
        <w:r>
          <w:rPr>
            <w:rStyle w:val="Hyperlink"/>
          </w:rPr>
          <w:t xml:space="preserve">https://arxiv.org/abs/2308.08493</w:t>
        </w:r>
      </w:hyperlink>
    </w:p>
    <w:bookmarkEnd w:id="96"/>
    <w:bookmarkStart w:id="98" w:name="ref-groeneveld2024olmo"/>
    <w:p>
      <w:pPr>
        <w:pStyle w:val="Bibliography"/>
      </w:pPr>
      <w:r>
        <w:t xml:space="preserve">Groeneveld, D., Beltagy, I., Walsh, P., Bhagia, A., Kinney, R., Tafjord, O., Jha, A. H., Ivison, H., Magnusson, I., Wang, Y., Arora, S., Atkinson, D., Authur, R., Chandu, K. R., Cohan, A., Dumas, J., Elazar, Y., Gu, Y., Hessel, J., … Hajishirzi, H. (2024).</w:t>
      </w:r>
      <w:r>
        <w:t xml:space="preserve"> </w:t>
      </w:r>
      <w:r>
        <w:t xml:space="preserve">OLMo</w:t>
      </w:r>
      <w:r>
        <w:t xml:space="preserve">: Accelerating the science of language models.</w:t>
      </w:r>
      <w:r>
        <w:t xml:space="preserve"> </w:t>
      </w:r>
      <w:r>
        <w:rPr>
          <w:iCs/>
          <w:i/>
        </w:rPr>
        <w:t xml:space="preserve">Proceedings of the 62nd Annual Meeting of the Association for Computational Linguistics (ACL)</w:t>
      </w:r>
      <w:r>
        <w:t xml:space="preserve">.</w:t>
      </w:r>
      <w:r>
        <w:t xml:space="preserve"> </w:t>
      </w:r>
      <w:hyperlink r:id="rId97">
        <w:r>
          <w:rPr>
            <w:rStyle w:val="Hyperlink"/>
          </w:rPr>
          <w:t xml:space="preserve">https://arxiv.org/abs/2402.00838</w:t>
        </w:r>
      </w:hyperlink>
    </w:p>
    <w:bookmarkEnd w:id="98"/>
    <w:bookmarkStart w:id="100" w:name="ref-hayes2025strong"/>
    <w:p>
      <w:pPr>
        <w:pStyle w:val="Bibliography"/>
      </w:pPr>
      <w:r>
        <w:t xml:space="preserve">Hayes, J., Shumailov, I., Choquette-Choo, C. A., Jagielski, M., Kaissis, G., Nasr, M., Ghalebikesabi, S., Annamalai, M. S. M. S., Mireshghallah, N., Shilov, I., Meeus, M., Montjoye, Y.-A. de, Lee, K., Boenisch, F., Dziedzic, A., &amp; Cooper, A. F. (2025). Exploring the limits of strong membership inference attacks on large language models.</w:t>
      </w:r>
      <w:r>
        <w:t xml:space="preserve"> </w:t>
      </w:r>
      <w:r>
        <w:rPr>
          <w:iCs/>
          <w:i/>
        </w:rPr>
        <w:t xml:space="preserve">Advances in Neural Information Processing Systems 38 (NeurIPS 2025)</w:t>
      </w:r>
      <w:r>
        <w:t xml:space="preserve">.</w:t>
      </w:r>
      <w:r>
        <w:t xml:space="preserve"> </w:t>
      </w:r>
      <w:hyperlink r:id="rId99">
        <w:r>
          <w:rPr>
            <w:rStyle w:val="Hyperlink"/>
          </w:rPr>
          <w:t xml:space="preserve">https://arxiv.org/abs/2505.18773</w:t>
        </w:r>
      </w:hyperlink>
    </w:p>
    <w:bookmarkEnd w:id="100"/>
    <w:bookmarkStart w:id="102" w:name="ref-hendrycks2021mmlu"/>
    <w:p>
      <w:pPr>
        <w:pStyle w:val="Bibliography"/>
      </w:pPr>
      <w:r>
        <w:t xml:space="preserve">Hendrycks, D., Burns, C., Basart, S., Zou, A., Mazeika, M., Song, D., &amp; Steinhardt, J. (2021). Measuring massive multitask language understanding.</w:t>
      </w:r>
      <w:r>
        <w:t xml:space="preserve"> </w:t>
      </w:r>
      <w:r>
        <w:rPr>
          <w:iCs/>
          <w:i/>
        </w:rPr>
        <w:t xml:space="preserve">International Conference on Learning Representations (ICLR)</w:t>
      </w:r>
      <w:r>
        <w:t xml:space="preserve">.</w:t>
      </w:r>
      <w:r>
        <w:t xml:space="preserve"> </w:t>
      </w:r>
      <w:hyperlink r:id="rId101">
        <w:r>
          <w:rPr>
            <w:rStyle w:val="Hyperlink"/>
          </w:rPr>
          <w:t xml:space="preserve">https://arxiv.org/abs/2009.03300</w:t>
        </w:r>
      </w:hyperlink>
    </w:p>
    <w:bookmarkEnd w:id="102"/>
    <w:bookmarkStart w:id="103" w:name="ref-huang2022leaking"/>
    <w:p>
      <w:pPr>
        <w:pStyle w:val="Bibliography"/>
      </w:pPr>
      <w:r>
        <w:t xml:space="preserve">Huang, J., Shao, H., &amp; Chang, K. C.-C. (2022). Are large pre-trained language models leaking your personal information?</w:t>
      </w:r>
      <w:r>
        <w:t xml:space="preserve"> </w:t>
      </w:r>
      <w:r>
        <w:rPr>
          <w:iCs/>
          <w:i/>
        </w:rPr>
        <w:t xml:space="preserve">Findings of the Association for Computational Linguistics: EMNLP 2022</w:t>
      </w:r>
      <w:r>
        <w:t xml:space="preserve">, 2038–2047.</w:t>
      </w:r>
    </w:p>
    <w:bookmarkEnd w:id="103"/>
    <w:bookmarkStart w:id="105" w:name="ref-ippolito2023verbatim"/>
    <w:p>
      <w:pPr>
        <w:pStyle w:val="Bibliography"/>
      </w:pPr>
      <w:r>
        <w:t xml:space="preserve">Ippolito, D., Tramèr, F., Nasr, M., Zhang, C., Jagielski, M., Lee, K., Choquette-Choo, C. A., &amp; Carlini, N. (2023). Preventing generation of verbatim memorization in language models gives a false sense of privacy.</w:t>
      </w:r>
      <w:r>
        <w:t xml:space="preserve"> </w:t>
      </w:r>
      <w:r>
        <w:rPr>
          <w:iCs/>
          <w:i/>
        </w:rPr>
        <w:t xml:space="preserve">Proceedings of the 16th International Natural Language Generation Conference (INLG)</w:t>
      </w:r>
      <w:r>
        <w:t xml:space="preserve">, 28–53.</w:t>
      </w:r>
      <w:r>
        <w:t xml:space="preserve"> </w:t>
      </w:r>
      <w:hyperlink r:id="rId104">
        <w:r>
          <w:rPr>
            <w:rStyle w:val="Hyperlink"/>
          </w:rPr>
          <w:t xml:space="preserve">https://arxiv.org/abs/2210.17546</w:t>
        </w:r>
      </w:hyperlink>
    </w:p>
    <w:bookmarkEnd w:id="105"/>
    <w:bookmarkStart w:id="106" w:name="ref-kim2023propile"/>
    <w:p>
      <w:pPr>
        <w:pStyle w:val="Bibliography"/>
      </w:pPr>
      <w:r>
        <w:t xml:space="preserve">Kim, S., Yun, S., Lee, H., Gubri, M., Yoon, S., &amp; Oh, S. J. (2023).</w:t>
      </w:r>
      <w:r>
        <w:t xml:space="preserve"> </w:t>
      </w:r>
      <w:r>
        <w:t xml:space="preserve">ProPILE</w:t>
      </w:r>
      <w:r>
        <w:t xml:space="preserve">: Probing privacy leakage in large language models.</w:t>
      </w:r>
      <w:r>
        <w:t xml:space="preserve"> </w:t>
      </w:r>
      <w:r>
        <w:rPr>
          <w:iCs/>
          <w:i/>
        </w:rPr>
        <w:t xml:space="preserve">Advances in Neural Information Processing Systems (NeurIPS)</w:t>
      </w:r>
      <w:r>
        <w:t xml:space="preserve">,</w:t>
      </w:r>
      <w:r>
        <w:t xml:space="preserve"> </w:t>
      </w:r>
      <w:r>
        <w:rPr>
          <w:iCs/>
          <w:i/>
        </w:rPr>
        <w:t xml:space="preserve">36</w:t>
      </w:r>
      <w:r>
        <w:t xml:space="preserve">.</w:t>
      </w:r>
    </w:p>
    <w:bookmarkEnd w:id="106"/>
    <w:bookmarkStart w:id="108" w:name="ref-li2022dpllm"/>
    <w:p>
      <w:pPr>
        <w:pStyle w:val="Bibliography"/>
      </w:pPr>
      <w:r>
        <w:t xml:space="preserve">Li, X., Tramèr, F., Liang, P., &amp; Hashimoto, T. (2022). Large language models can be strong differentially private learners.</w:t>
      </w:r>
      <w:r>
        <w:t xml:space="preserve"> </w:t>
      </w:r>
      <w:r>
        <w:rPr>
          <w:iCs/>
          <w:i/>
        </w:rPr>
        <w:t xml:space="preserve">The Tenth International Conference on Learning Representations (ICLR)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https://arxiv.org/abs/2110.05679</w:t>
        </w:r>
      </w:hyperlink>
    </w:p>
    <w:bookmarkEnd w:id="108"/>
    <w:bookmarkStart w:id="110" w:name="ref-lin2022truthfulqa"/>
    <w:p>
      <w:pPr>
        <w:pStyle w:val="Bibliography"/>
      </w:pPr>
      <w:r>
        <w:t xml:space="preserve">Lin, S., Hilton, J., &amp; Evans, O. (2022).</w:t>
      </w:r>
      <w:r>
        <w:t xml:space="preserve"> </w:t>
      </w:r>
      <w:r>
        <w:t xml:space="preserve">TruthfulQA</w:t>
      </w:r>
      <w:r>
        <w:t xml:space="preserve">: Measuring how models mimic human falsehoods.</w:t>
      </w:r>
      <w:r>
        <w:t xml:space="preserve"> </w:t>
      </w:r>
      <w:r>
        <w:rPr>
          <w:iCs/>
          <w:i/>
        </w:rPr>
        <w:t xml:space="preserve">Proceedings of the 60th Annual Meeting of the Association for Computational Linguistics (ACL)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https://arxiv.org/abs/2109.07958</w:t>
        </w:r>
      </w:hyperlink>
    </w:p>
    <w:bookmarkEnd w:id="110"/>
    <w:bookmarkStart w:id="111" w:name="ref-lukas2023pii"/>
    <w:p>
      <w:pPr>
        <w:pStyle w:val="Bibliography"/>
      </w:pPr>
      <w:r>
        <w:t xml:space="preserve">Lukas, N., Salem, A., Sim, R., Tople, S., Wutschitz, L., &amp; Zanella-Béguelin, S. (2023). Analyzing leakage of personally identifiable information in language models.</w:t>
      </w:r>
      <w:r>
        <w:t xml:space="preserve"> </w:t>
      </w:r>
      <w:r>
        <w:rPr>
          <w:iCs/>
          <w:i/>
        </w:rPr>
        <w:t xml:space="preserve">2023 IEEE Symposium on Security and Privacy (SP)</w:t>
      </w:r>
      <w:r>
        <w:t xml:space="preserve">, 346–363.</w:t>
      </w:r>
    </w:p>
    <w:bookmarkEnd w:id="111"/>
    <w:bookmarkStart w:id="112" w:name="ref-mattern2023neighbourhood"/>
    <w:p>
      <w:pPr>
        <w:pStyle w:val="Bibliography"/>
      </w:pPr>
      <w:r>
        <w:t xml:space="preserve">Mattern, J., Mireshghallah, F., Jin, Z., Schölkopf, B., Sachan, M., &amp; Berg-Kirkpatrick, T. (2023). Membership inference attacks against language models via neighbourhood comparison.</w:t>
      </w:r>
      <w:r>
        <w:t xml:space="preserve"> </w:t>
      </w:r>
      <w:r>
        <w:rPr>
          <w:iCs/>
          <w:i/>
        </w:rPr>
        <w:t xml:space="preserve">Findings of the Association for Computational Linguistics: ACL 2023</w:t>
      </w:r>
      <w:r>
        <w:t xml:space="preserve">, 11330–11343.</w:t>
      </w:r>
    </w:p>
    <w:bookmarkEnd w:id="112"/>
    <w:bookmarkStart w:id="114" w:name="ref-meeus2025sok"/>
    <w:p>
      <w:pPr>
        <w:pStyle w:val="Bibliography"/>
      </w:pPr>
      <w:r>
        <w:t xml:space="preserve">Meeus, M., Shilov, I., Jain, S., Faysse, M., Rei, M., &amp; Montjoye, Y.-A. de. (2025).</w:t>
      </w:r>
      <w:r>
        <w:t xml:space="preserve"> </w:t>
      </w:r>
      <w:r>
        <w:t xml:space="preserve">SoK</w:t>
      </w:r>
      <w:r>
        <w:t xml:space="preserve">: Membership inference attacks on</w:t>
      </w:r>
      <w:r>
        <w:t xml:space="preserve"> </w:t>
      </w:r>
      <w:r>
        <w:t xml:space="preserve">LLM</w:t>
      </w:r>
      <w:r>
        <w:t xml:space="preserve">s are rushing nowhere (and how to fix it).</w:t>
      </w:r>
      <w:r>
        <w:t xml:space="preserve"> </w:t>
      </w:r>
      <w:r>
        <w:rPr>
          <w:iCs/>
          <w:i/>
        </w:rPr>
        <w:t xml:space="preserve">2025 IEEE Conference on Secure and Trustworthy Machine Learning (SaTML)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https://arxiv.org/abs/2406.17975</w:t>
        </w:r>
      </w:hyperlink>
    </w:p>
    <w:bookmarkEnd w:id="114"/>
    <w:bookmarkStart w:id="116" w:name="ref-nasr2025scalable"/>
    <w:p>
      <w:pPr>
        <w:pStyle w:val="Bibliography"/>
      </w:pPr>
      <w:r>
        <w:t xml:space="preserve">Nasr, M., Carlini, N., Hayase, J., Jagielski, M., Cooper, A. F., Ippolito, D., Choquette-Choo, C. A., Wallace, E., Tramèr, F., &amp; Lee, K. (2025). Scalable extraction of training data from (production) language models.</w:t>
      </w:r>
      <w:r>
        <w:t xml:space="preserve"> </w:t>
      </w:r>
      <w:r>
        <w:rPr>
          <w:iCs/>
          <w:i/>
        </w:rPr>
        <w:t xml:space="preserve">The Thirteenth International Conference on Learning Representations (ICLR)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https://arxiv.org/abs/2311.17035</w:t>
        </w:r>
      </w:hyperlink>
    </w:p>
    <w:bookmarkEnd w:id="116"/>
    <w:bookmarkStart w:id="118" w:name="ref-oren2024proving"/>
    <w:p>
      <w:pPr>
        <w:pStyle w:val="Bibliography"/>
      </w:pPr>
      <w:r>
        <w:t xml:space="preserve">Oren, Y., Meister, N., Chatterji, N., Ladhak, F., &amp; Hashimoto, T. B. (2024). Proving test set contamination in black-box language models.</w:t>
      </w:r>
      <w:r>
        <w:t xml:space="preserve"> </w:t>
      </w:r>
      <w:r>
        <w:rPr>
          <w:iCs/>
          <w:i/>
        </w:rPr>
        <w:t xml:space="preserve">The Twelfth International Conference on Learning Representations (ICLR)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https://arxiv.org/abs/2310.17623</w:t>
        </w:r>
      </w:hyperlink>
    </w:p>
    <w:bookmarkEnd w:id="118"/>
    <w:bookmarkStart w:id="119" w:name="ref-raffel2020c4"/>
    <w:p>
      <w:pPr>
        <w:pStyle w:val="Bibliography"/>
      </w:pPr>
      <w:r>
        <w:t xml:space="preserve">Raffel, C., Shazeer, N., Roberts, A., Lee, K., Narang, S., Matena, M., Zhou, Y., Li, W., &amp; Liu, P. J. (2020). Exploring the limits of transfer learning with a unified text-to-text transformer.</w:t>
      </w:r>
      <w:r>
        <w:t xml:space="preserve"> </w:t>
      </w:r>
      <w:r>
        <w:rPr>
          <w:iCs/>
          <w:i/>
        </w:rPr>
        <w:t xml:space="preserve">Journal of Machine Learning Research</w:t>
      </w:r>
      <w:r>
        <w:t xml:space="preserve">,</w:t>
      </w:r>
      <w:r>
        <w:t xml:space="preserve"> </w:t>
      </w:r>
      <w:r>
        <w:rPr>
          <w:iCs/>
          <w:i/>
        </w:rPr>
        <w:t xml:space="preserve">21</w:t>
      </w:r>
      <w:r>
        <w:t xml:space="preserve">(140), 1–67.</w:t>
      </w:r>
    </w:p>
    <w:bookmarkEnd w:id="119"/>
    <w:bookmarkStart w:id="120" w:name="ref-ravaut2024survey"/>
    <w:p>
      <w:pPr>
        <w:pStyle w:val="Bibliography"/>
      </w:pPr>
      <w:r>
        <w:t xml:space="preserve">Ravaut, M., Ding, B., Jiao, F., Chen, H., Li, X., Zhao, R., Qin, C., Xiong, C., &amp; Joty, S. (2024). A comprehensive survey of contamination detection methods in large language models.</w:t>
      </w:r>
      <w:r>
        <w:t xml:space="preserve"> </w:t>
      </w:r>
      <w:r>
        <w:rPr>
          <w:iCs/>
          <w:i/>
        </w:rPr>
        <w:t xml:space="preserve">arXiv Preprint arXiv:2404.00699</w:t>
      </w:r>
      <w:r>
        <w:t xml:space="preserve">.</w:t>
      </w:r>
    </w:p>
    <w:bookmarkEnd w:id="120"/>
    <w:bookmarkStart w:id="122" w:name="ref-shi2024detecting"/>
    <w:p>
      <w:pPr>
        <w:pStyle w:val="Bibliography"/>
      </w:pPr>
      <w:r>
        <w:t xml:space="preserve">Shi, W., Ajith, A., Xia, M., Huang, Y., Liu, D., Blevins, T., Chen, D., &amp; Zettlemoyer, L. (2024). Detecting pretraining data from large language models.</w:t>
      </w:r>
      <w:r>
        <w:t xml:space="preserve"> </w:t>
      </w:r>
      <w:r>
        <w:rPr>
          <w:iCs/>
          <w:i/>
        </w:rPr>
        <w:t xml:space="preserve">The Twelfth International Conference on Learning Representations (ICLR)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https://arxiv.org/abs/2310.16789</w:t>
        </w:r>
      </w:hyperlink>
    </w:p>
    <w:bookmarkEnd w:id="122"/>
    <w:bookmarkStart w:id="123" w:name="ref-shokri2017membership"/>
    <w:p>
      <w:pPr>
        <w:pStyle w:val="Bibliography"/>
      </w:pPr>
      <w:r>
        <w:t xml:space="preserve">Shokri, R., Stronati, M., Song, C., &amp; Shmatikov, V. (2017). Membership inference attacks against machine learning models.</w:t>
      </w:r>
      <w:r>
        <w:t xml:space="preserve"> </w:t>
      </w:r>
      <w:r>
        <w:rPr>
          <w:iCs/>
          <w:i/>
        </w:rPr>
        <w:t xml:space="preserve">2017 IEEE Symposium on Security and Privacy (SP)</w:t>
      </w:r>
      <w:r>
        <w:t xml:space="preserve">, 3–18.</w:t>
      </w:r>
    </w:p>
    <w:bookmarkEnd w:id="123"/>
    <w:bookmarkStart w:id="125" w:name="ref-soldaini2024dolma"/>
    <w:p>
      <w:pPr>
        <w:pStyle w:val="Bibliography"/>
      </w:pPr>
      <w:r>
        <w:t xml:space="preserve">Soldaini, L., Kinney, R., Bhagia, A., Schwenk, D., Atkinson, D., Authur, R., Bogin, B., Chandu, K., Dumas, J., Elazar, Y., Hofmann, V., Jha, A. H., Kumar, S., Lucy, L., Lyu, X., Lambert, N., Magnusson, I., Morrison, J., Muennighoff, N., … Lo, K. (2024). Dolma: An open corpus of three trillion tokens for language model pretraining research.</w:t>
      </w:r>
      <w:r>
        <w:t xml:space="preserve"> </w:t>
      </w:r>
      <w:r>
        <w:rPr>
          <w:iCs/>
          <w:i/>
        </w:rPr>
        <w:t xml:space="preserve">Proceedings of the 62nd Annual Meeting of the Association for Computational Linguistics (ACL)</w:t>
      </w:r>
      <w:r>
        <w:t xml:space="preserve">.</w:t>
      </w:r>
      <w:r>
        <w:t xml:space="preserve"> </w:t>
      </w:r>
      <w:hyperlink r:id="rId124">
        <w:r>
          <w:rPr>
            <w:rStyle w:val="Hyperlink"/>
          </w:rPr>
          <w:t xml:space="preserve">https://arxiv.org/abs/2402.00159</w:t>
        </w:r>
      </w:hyperlink>
    </w:p>
    <w:bookmarkEnd w:id="125"/>
    <w:bookmarkStart w:id="126" w:name="ref-touvron2023llama"/>
    <w:p>
      <w:pPr>
        <w:pStyle w:val="Bibliography"/>
      </w:pPr>
      <w:r>
        <w:t xml:space="preserve">Touvron, H., Lavril, T., Izacard, G., Martinet, X., Lachaux, M.-A., Lacroix, T., Rozière, B., Goyal, N., Hambro, E., Azhar, F., Rodriguez, A., Joulin, A., Grave, E., &amp; Lample, G. (2023).</w:t>
      </w:r>
      <w:r>
        <w:t xml:space="preserve"> </w:t>
      </w:r>
      <w:r>
        <w:t xml:space="preserve">LLaMA</w:t>
      </w:r>
      <w:r>
        <w:t xml:space="preserve">: Open and efficient foundation language models.</w:t>
      </w:r>
      <w:r>
        <w:t xml:space="preserve"> </w:t>
      </w:r>
      <w:r>
        <w:rPr>
          <w:iCs/>
          <w:i/>
        </w:rPr>
        <w:t xml:space="preserve">arXiv Preprint arXiv:2302.13971</w:t>
      </w:r>
      <w:r>
        <w:t xml:space="preserve">.</w:t>
      </w:r>
    </w:p>
    <w:bookmarkEnd w:id="126"/>
    <w:bookmarkStart w:id="128" w:name="ref-weber2024redpajama"/>
    <w:p>
      <w:pPr>
        <w:pStyle w:val="Bibliography"/>
      </w:pPr>
      <w:r>
        <w:t xml:space="preserve">Weber, M., Fu, D., Anthony, Q., Oren, Y., Adams, S., Alexandrov, A., Lyu, X., Nguyen, H., Yao, X., Adams, V., Athiwaratkun, B., Chalamala, R., Chen, K., Ryabinin, M., Dao, T., Liang, P., Ré, C., Rish, I., &amp; Zhang, C. (2024).</w:t>
      </w:r>
      <w:r>
        <w:t xml:space="preserve"> </w:t>
      </w:r>
      <w:r>
        <w:t xml:space="preserve">RedPajama</w:t>
      </w:r>
      <w:r>
        <w:t xml:space="preserve">: An open dataset for training large language models.</w:t>
      </w:r>
      <w:r>
        <w:t xml:space="preserve"> </w:t>
      </w:r>
      <w:r>
        <w:rPr>
          <w:iCs/>
          <w:i/>
        </w:rPr>
        <w:t xml:space="preserve">Advances in Neural Information Processing Systems (NeurIPS), Datasets and Benchmarks Track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https://arxiv.org/abs/2411.12372</w:t>
        </w:r>
      </w:hyperlink>
    </w:p>
    <w:bookmarkEnd w:id="128"/>
    <w:bookmarkStart w:id="130" w:name="ref-yeom2018privacy"/>
    <w:p>
      <w:pPr>
        <w:pStyle w:val="Bibliography"/>
      </w:pPr>
      <w:r>
        <w:t xml:space="preserve">Yeom, S., Giacomelli, I., Fredrikson, M., &amp; Jha, S. (2018). Privacy risk in machine learning: Analyzing the connection to overfitting.</w:t>
      </w:r>
      <w:r>
        <w:t xml:space="preserve"> </w:t>
      </w:r>
      <w:r>
        <w:rPr>
          <w:iCs/>
          <w:i/>
        </w:rPr>
        <w:t xml:space="preserve">2018 IEEE 31st Computer Security Foundations Symposium (CSF)</w:t>
      </w:r>
      <w:r>
        <w:t xml:space="preserve">, 268–282.</w:t>
      </w:r>
      <w:r>
        <w:t xml:space="preserve"> </w:t>
      </w:r>
      <w:hyperlink r:id="rId129">
        <w:r>
          <w:rPr>
            <w:rStyle w:val="Hyperlink"/>
          </w:rPr>
          <w:t xml:space="preserve">https://doi.org/10.1109/CSF.2018.00027</w:t>
        </w:r>
      </w:hyperlink>
    </w:p>
    <w:bookmarkEnd w:id="130"/>
    <w:bookmarkStart w:id="132" w:name="ref-yu2022dpfinetuning"/>
    <w:p>
      <w:pPr>
        <w:pStyle w:val="Bibliography"/>
      </w:pPr>
      <w:r>
        <w:t xml:space="preserve">Yu, D., Naik, S., Backurs, A., Gopi, S., Inan, H. A., Kamath, G., Kulkarni, J., Lee, Y. T., Manoel, A., Wutschitz, L., Yekhanin, S., &amp; Zhang, H. (2022). Differentially private fine-tuning of language models.</w:t>
      </w:r>
      <w:r>
        <w:t xml:space="preserve"> </w:t>
      </w:r>
      <w:r>
        <w:rPr>
          <w:iCs/>
          <w:i/>
        </w:rPr>
        <w:t xml:space="preserve">The Tenth International Conference on Learning Representations (ICLR)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https://arxiv.org/abs/2110.06500</w:t>
        </w:r>
      </w:hyperlink>
    </w:p>
    <w:bookmarkEnd w:id="132"/>
    <w:bookmarkStart w:id="134" w:name="ref-zellers2019hellaswag"/>
    <w:p>
      <w:pPr>
        <w:pStyle w:val="Bibliography"/>
      </w:pPr>
      <w:r>
        <w:t xml:space="preserve">Zellers, R., Holtzman, A., Bisk, Y., Farhadi, A., &amp; Choi, Y. (2019).</w:t>
      </w:r>
      <w:r>
        <w:t xml:space="preserve"> </w:t>
      </w:r>
      <w:r>
        <w:t xml:space="preserve">HellaSwag</w:t>
      </w:r>
      <w:r>
        <w:t xml:space="preserve">: Can a machine really finish your sentence?</w:t>
      </w:r>
      <w:r>
        <w:t xml:space="preserve"> </w:t>
      </w:r>
      <w:r>
        <w:rPr>
          <w:iCs/>
          <w:i/>
        </w:rPr>
        <w:t xml:space="preserve">Proceedings of the 57th Annual Meeting of the Association for Computational Linguistics (ACL)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https://arxiv.org/abs/1905.07830</w:t>
        </w:r>
      </w:hyperlink>
    </w:p>
    <w:bookmarkEnd w:id="134"/>
    <w:bookmarkStart w:id="135" w:name="ref-zhang2023counterfactual"/>
    <w:p>
      <w:pPr>
        <w:pStyle w:val="Bibliography"/>
      </w:pPr>
      <w:r>
        <w:t xml:space="preserve">Zhang, C., Ippolito, D., Lee, K., Jagielski, M., Tramèr, F., &amp; Carlini, N. (2023). Counterfactual memorization in neural language models.</w:t>
      </w:r>
      <w:r>
        <w:t xml:space="preserve"> </w:t>
      </w:r>
      <w:r>
        <w:rPr>
          <w:iCs/>
          <w:i/>
        </w:rPr>
        <w:t xml:space="preserve">Advances in Neural Information Processing Systems (NeurIPS)</w:t>
      </w:r>
      <w:r>
        <w:t xml:space="preserve">,</w:t>
      </w:r>
      <w:r>
        <w:t xml:space="preserve"> </w:t>
      </w:r>
      <w:r>
        <w:rPr>
          <w:iCs/>
          <w:i/>
        </w:rPr>
        <w:t xml:space="preserve">36</w:t>
      </w:r>
      <w:r>
        <w:t xml:space="preserve">.</w:t>
      </w:r>
    </w:p>
    <w:bookmarkEnd w:id="135"/>
    <w:bookmarkStart w:id="137" w:name="ref-zhang2025minkpp"/>
    <w:p>
      <w:pPr>
        <w:pStyle w:val="Bibliography"/>
      </w:pPr>
      <w:r>
        <w:t xml:space="preserve">Zhang, J., Sun, J., Yeats, E., Ouyang, Y., Kuo, M., Zhang, J., Yang, H. F., &amp; Li, H. (2025). Min-k%++: Improved baseline for detecting pre-training data from large language models.</w:t>
      </w:r>
      <w:r>
        <w:t xml:space="preserve"> </w:t>
      </w:r>
      <w:r>
        <w:rPr>
          <w:iCs/>
          <w:i/>
        </w:rPr>
        <w:t xml:space="preserve">The Thirteenth International Conference on Learning Representations (ICLR)</w:t>
      </w:r>
      <w:r>
        <w:t xml:space="preserve">.</w:t>
      </w:r>
      <w:r>
        <w:t xml:space="preserve"> </w:t>
      </w:r>
      <w:hyperlink r:id="rId136">
        <w:r>
          <w:rPr>
            <w:rStyle w:val="Hyperlink"/>
          </w:rPr>
          <w:t xml:space="preserve">https://arxiv.org/abs/2404.02936</w:t>
        </w:r>
      </w:hyperlink>
    </w:p>
    <w:bookmarkEnd w:id="137"/>
    <w:bookmarkEnd w:id="138"/>
    <w:bookmarkEnd w:id="1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0"/>
        <w:szCs w:val="20"/>
        <w:lang w:bidi="ar-SA" w:eastAsia="en-US" w:val="en-US"/>
      </w:rPr>
    </w:rPrDefault>
    <w:pPrDefault>
      <w:pPr>
        <w:spacing w:after="120" w:line="24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60" w:before="240"/>
      <w:jc w:val="center"/>
    </w:pPr>
    <w:rPr>
      <w:rFonts w:ascii="Times New Roman" w:cs="Times New Roman" w:eastAsia="Times New Roman" w:hAnsi="Times New Roman"/>
      <w:b/>
      <w:bCs/>
      <w:color w:val="000000"/>
      <w:sz w:val="34"/>
      <w:szCs w:val="34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qFormat/>
    <w:pPr>
      <w:keepNext/>
      <w:keepLines/>
      <w:spacing w:after="120" w:before="260"/>
      <w:jc w:val="center"/>
      <w:outlineLvl w:val="0"/>
    </w:pPr>
    <w:rPr>
      <w:rFonts w:ascii="Times New Roman" w:cs="Times New Roman" w:eastAsia="Times New Roman" w:hAnsi="Times New Roman"/>
      <w:b/>
      <w:bCs/>
      <w:smallCaps/>
      <w:color w:val="000000"/>
      <w:sz w:val="22"/>
      <w:szCs w:val="22"/>
    </w:rPr>
  </w:style>
  <w:style w:styleId="Heading2" w:type="paragraph">
    <w:name w:val="Heading 2"/>
    <w:basedOn w:val="Normal"/>
    <w:next w:val="BodyText"/>
    <w:qFormat/>
    <w:pPr>
      <w:keepNext/>
      <w:keepLines/>
      <w:spacing w:after="60" w:before="160"/>
      <w:jc w:val="left"/>
      <w:outlineLvl w:val="1"/>
    </w:pPr>
    <w:rPr>
      <w:rFonts w:ascii="Times New Roman" w:cs="Times New Roman" w:eastAsia="Times New Roman" w:hAnsi="Times New Roman"/>
      <w:i/>
      <w:iCs/>
      <w:color w:val="000000"/>
      <w:sz w:val="20"/>
      <w:szCs w:val="20"/>
    </w:rPr>
  </w:style>
  <w:style w:styleId="Heading3" w:type="paragraph">
    <w:name w:val="Heading 3"/>
    <w:basedOn w:val="Normal"/>
    <w:next w:val="BodyText"/>
    <w:qFormat/>
    <w:pPr>
      <w:keepNext/>
      <w:keepLines/>
      <w:spacing w:after="40" w:before="120"/>
      <w:jc w:val="left"/>
      <w:outlineLvl w:val="2"/>
    </w:pPr>
    <w:rPr>
      <w:rFonts w:ascii="Times New Roman" w:cs="Times New Roman" w:eastAsia="Times New Roman" w:hAnsi="Times New Roman"/>
      <w:i/>
      <w:iCs/>
      <w:color w:val="000000"/>
      <w:sz w:val="20"/>
      <w:szCs w:val="20"/>
    </w:rPr>
  </w:style>
  <w:style w:styleId="Heading4" w:type="paragraph">
    <w:name w:val="Heading 4"/>
    <w:basedOn w:val="Normal"/>
    <w:next w:val="BodyText"/>
    <w:qFormat/>
    <w:pPr>
      <w:keepNext/>
      <w:keepLines/>
      <w:spacing w:after="0" w:before="120"/>
      <w:jc w:val="left"/>
      <w:outlineLvl w:val="3"/>
    </w:pPr>
    <w:rPr>
      <w:rFonts w:ascii="Times New Roman" w:cs="Times New Roman" w:eastAsia="Times New Roman" w:hAnsi="Times New Roman"/>
      <w:i/>
      <w:iCs/>
      <w:color w:val="000000"/>
      <w:sz w:val="20"/>
      <w:szCs w:val="20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BodyText"/>
    <w:pPr>
      <w:keepNext/>
      <w:spacing w:after="80" w:before="120"/>
      <w:jc w:val="center"/>
    </w:pPr>
    <w:rPr>
      <w:rFonts w:ascii="Times New Roman" w:cs="Times New Roman" w:eastAsia="Times New Roman" w:hAnsi="Times New Roman"/>
      <w:smallCaps/>
      <w:i w:val="false"/>
      <w:iCs w:val="false"/>
      <w:color w:val="000000"/>
      <w:sz w:val="18"/>
      <w:szCs w:val="18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33" Target="https://arxiv.org/abs/1905.07830" TargetMode="External" /><Relationship Type="http://schemas.openxmlformats.org/officeDocument/2006/relationships/hyperlink" Id="rId83" Target="https://arxiv.org/abs/1905.10044" TargetMode="External" /><Relationship Type="http://schemas.openxmlformats.org/officeDocument/2006/relationships/hyperlink" Id="rId72" Target="https://arxiv.org/abs/2005.14165" TargetMode="External" /><Relationship Type="http://schemas.openxmlformats.org/officeDocument/2006/relationships/hyperlink" Id="rId101" Target="https://arxiv.org/abs/2009.03300" TargetMode="External" /><Relationship Type="http://schemas.openxmlformats.org/officeDocument/2006/relationships/hyperlink" Id="rId90" Target="https://arxiv.org/abs/2104.08758" TargetMode="External" /><Relationship Type="http://schemas.openxmlformats.org/officeDocument/2006/relationships/hyperlink" Id="rId109" Target="https://arxiv.org/abs/2109.07958" TargetMode="External" /><Relationship Type="http://schemas.openxmlformats.org/officeDocument/2006/relationships/hyperlink" Id="rId107" Target="https://arxiv.org/abs/2110.05679" TargetMode="External" /><Relationship Type="http://schemas.openxmlformats.org/officeDocument/2006/relationships/hyperlink" Id="rId131" Target="https://arxiv.org/abs/2110.06500" TargetMode="External" /><Relationship Type="http://schemas.openxmlformats.org/officeDocument/2006/relationships/hyperlink" Id="rId76" Target="https://arxiv.org/abs/2202.07646" TargetMode="External" /><Relationship Type="http://schemas.openxmlformats.org/officeDocument/2006/relationships/hyperlink" Id="rId104" Target="https://arxiv.org/abs/2210.17546" TargetMode="External" /><Relationship Type="http://schemas.openxmlformats.org/officeDocument/2006/relationships/hyperlink" Id="rId70" Target="https://arxiv.org/abs/2304.01373" TargetMode="External" /><Relationship Type="http://schemas.openxmlformats.org/officeDocument/2006/relationships/hyperlink" Id="rId95" Target="https://arxiv.org/abs/2308.08493" TargetMode="External" /><Relationship Type="http://schemas.openxmlformats.org/officeDocument/2006/relationships/hyperlink" Id="rId121" Target="https://arxiv.org/abs/2310.16789" TargetMode="External" /><Relationship Type="http://schemas.openxmlformats.org/officeDocument/2006/relationships/hyperlink" Id="rId117" Target="https://arxiv.org/abs/2310.17623" TargetMode="External" /><Relationship Type="http://schemas.openxmlformats.org/officeDocument/2006/relationships/hyperlink" Id="rId115" Target="https://arxiv.org/abs/2311.17035" TargetMode="External" /><Relationship Type="http://schemas.openxmlformats.org/officeDocument/2006/relationships/hyperlink" Id="rId124" Target="https://arxiv.org/abs/2402.00159" TargetMode="External" /><Relationship Type="http://schemas.openxmlformats.org/officeDocument/2006/relationships/hyperlink" Id="rId97" Target="https://arxiv.org/abs/2402.00838" TargetMode="External" /><Relationship Type="http://schemas.openxmlformats.org/officeDocument/2006/relationships/hyperlink" Id="rId92" Target="https://arxiv.org/abs/2402.07841" TargetMode="External" /><Relationship Type="http://schemas.openxmlformats.org/officeDocument/2006/relationships/hyperlink" Id="rId136" Target="https://arxiv.org/abs/2404.02936" TargetMode="External" /><Relationship Type="http://schemas.openxmlformats.org/officeDocument/2006/relationships/hyperlink" Id="rId88" Target="https://arxiv.org/abs/2406.16201" TargetMode="External" /><Relationship Type="http://schemas.openxmlformats.org/officeDocument/2006/relationships/hyperlink" Id="rId113" Target="https://arxiv.org/abs/2406.17975" TargetMode="External" /><Relationship Type="http://schemas.openxmlformats.org/officeDocument/2006/relationships/hyperlink" Id="rId127" Target="https://arxiv.org/abs/2411.12372" TargetMode="External" /><Relationship Type="http://schemas.openxmlformats.org/officeDocument/2006/relationships/hyperlink" Id="rId80" Target="https://arxiv.org/abs/2412.13475" TargetMode="External" /><Relationship Type="http://schemas.openxmlformats.org/officeDocument/2006/relationships/hyperlink" Id="rId99" Target="https://arxiv.org/abs/2505.18773" TargetMode="External" /><Relationship Type="http://schemas.openxmlformats.org/officeDocument/2006/relationships/hyperlink" Id="rId68" Target="https://arxiv.org/abs/2512.13352" TargetMode="External" /><Relationship Type="http://schemas.openxmlformats.org/officeDocument/2006/relationships/hyperlink" Id="rId86" Target="https://commoncrawl.org" TargetMode="External" /><Relationship Type="http://schemas.openxmlformats.org/officeDocument/2006/relationships/hyperlink" Id="rId129" Target="https://doi.org/10.1109/CSF.2018.00027" TargetMode="External" /><Relationship Type="http://schemas.openxmlformats.org/officeDocument/2006/relationships/hyperlink" Id="rId74" Target="https://doi.org/10.1109/SP46214.2022.9833649" TargetMode="External" /><Relationship Type="http://schemas.openxmlformats.org/officeDocument/2006/relationships/hyperlink" Id="rId66" Target="https://doi.org/10.1145/2976749.297831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https://arxiv.org/abs/1905.07830" TargetMode="External" /><Relationship Type="http://schemas.openxmlformats.org/officeDocument/2006/relationships/hyperlink" Id="rId83" Target="https://arxiv.org/abs/1905.10044" TargetMode="External" /><Relationship Type="http://schemas.openxmlformats.org/officeDocument/2006/relationships/hyperlink" Id="rId72" Target="https://arxiv.org/abs/2005.14165" TargetMode="External" /><Relationship Type="http://schemas.openxmlformats.org/officeDocument/2006/relationships/hyperlink" Id="rId101" Target="https://arxiv.org/abs/2009.03300" TargetMode="External" /><Relationship Type="http://schemas.openxmlformats.org/officeDocument/2006/relationships/hyperlink" Id="rId90" Target="https://arxiv.org/abs/2104.08758" TargetMode="External" /><Relationship Type="http://schemas.openxmlformats.org/officeDocument/2006/relationships/hyperlink" Id="rId109" Target="https://arxiv.org/abs/2109.07958" TargetMode="External" /><Relationship Type="http://schemas.openxmlformats.org/officeDocument/2006/relationships/hyperlink" Id="rId107" Target="https://arxiv.org/abs/2110.05679" TargetMode="External" /><Relationship Type="http://schemas.openxmlformats.org/officeDocument/2006/relationships/hyperlink" Id="rId131" Target="https://arxiv.org/abs/2110.06500" TargetMode="External" /><Relationship Type="http://schemas.openxmlformats.org/officeDocument/2006/relationships/hyperlink" Id="rId76" Target="https://arxiv.org/abs/2202.07646" TargetMode="External" /><Relationship Type="http://schemas.openxmlformats.org/officeDocument/2006/relationships/hyperlink" Id="rId104" Target="https://arxiv.org/abs/2210.17546" TargetMode="External" /><Relationship Type="http://schemas.openxmlformats.org/officeDocument/2006/relationships/hyperlink" Id="rId70" Target="https://arxiv.org/abs/2304.01373" TargetMode="External" /><Relationship Type="http://schemas.openxmlformats.org/officeDocument/2006/relationships/hyperlink" Id="rId95" Target="https://arxiv.org/abs/2308.08493" TargetMode="External" /><Relationship Type="http://schemas.openxmlformats.org/officeDocument/2006/relationships/hyperlink" Id="rId121" Target="https://arxiv.org/abs/2310.16789" TargetMode="External" /><Relationship Type="http://schemas.openxmlformats.org/officeDocument/2006/relationships/hyperlink" Id="rId117" Target="https://arxiv.org/abs/2310.17623" TargetMode="External" /><Relationship Type="http://schemas.openxmlformats.org/officeDocument/2006/relationships/hyperlink" Id="rId115" Target="https://arxiv.org/abs/2311.17035" TargetMode="External" /><Relationship Type="http://schemas.openxmlformats.org/officeDocument/2006/relationships/hyperlink" Id="rId124" Target="https://arxiv.org/abs/2402.00159" TargetMode="External" /><Relationship Type="http://schemas.openxmlformats.org/officeDocument/2006/relationships/hyperlink" Id="rId97" Target="https://arxiv.org/abs/2402.00838" TargetMode="External" /><Relationship Type="http://schemas.openxmlformats.org/officeDocument/2006/relationships/hyperlink" Id="rId92" Target="https://arxiv.org/abs/2402.07841" TargetMode="External" /><Relationship Type="http://schemas.openxmlformats.org/officeDocument/2006/relationships/hyperlink" Id="rId136" Target="https://arxiv.org/abs/2404.02936" TargetMode="External" /><Relationship Type="http://schemas.openxmlformats.org/officeDocument/2006/relationships/hyperlink" Id="rId88" Target="https://arxiv.org/abs/2406.16201" TargetMode="External" /><Relationship Type="http://schemas.openxmlformats.org/officeDocument/2006/relationships/hyperlink" Id="rId113" Target="https://arxiv.org/abs/2406.17975" TargetMode="External" /><Relationship Type="http://schemas.openxmlformats.org/officeDocument/2006/relationships/hyperlink" Id="rId127" Target="https://arxiv.org/abs/2411.12372" TargetMode="External" /><Relationship Type="http://schemas.openxmlformats.org/officeDocument/2006/relationships/hyperlink" Id="rId80" Target="https://arxiv.org/abs/2412.13475" TargetMode="External" /><Relationship Type="http://schemas.openxmlformats.org/officeDocument/2006/relationships/hyperlink" Id="rId99" Target="https://arxiv.org/abs/2505.18773" TargetMode="External" /><Relationship Type="http://schemas.openxmlformats.org/officeDocument/2006/relationships/hyperlink" Id="rId68" Target="https://arxiv.org/abs/2512.13352" TargetMode="External" /><Relationship Type="http://schemas.openxmlformats.org/officeDocument/2006/relationships/hyperlink" Id="rId86" Target="https://commoncrawl.org" TargetMode="External" /><Relationship Type="http://schemas.openxmlformats.org/officeDocument/2006/relationships/hyperlink" Id="rId129" Target="https://doi.org/10.1109/CSF.2018.00027" TargetMode="External" /><Relationship Type="http://schemas.openxmlformats.org/officeDocument/2006/relationships/hyperlink" Id="rId74" Target="https://doi.org/10.1109/SP46214.2022.9833649" TargetMode="External" /><Relationship Type="http://schemas.openxmlformats.org/officeDocument/2006/relationships/hyperlink" Id="rId66" Target="https://doi.org/10.1145/2976749.297831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Benchmark Contamination as a Privacy and Security Vulnerability in Large Language Models</dc:title>
  <dc:creator/>
  <cp:keywords/>
  <dcterms:created xsi:type="dcterms:W3CDTF">2026-07-04T03:54:22Z</dcterms:created>
  <dcterms:modified xsi:type="dcterms:W3CDTF">2026-07-04T03:54:22Z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/tmp/refs_clean.bib</vt:lpwstr>
  </property>
  <property fmtid="{D5CDD505-2E9C-101B-9397-08002B2CF9AE}" pid="3" name="csl">
    <vt:lpwstr>paper/apa.csl</vt:lpwstr>
  </property>
  <property fmtid="{D5CDD505-2E9C-101B-9397-08002B2CF9AE}" pid="4" name="reference-section-title">
    <vt:lpwstr>References</vt:lpwstr>
  </property>
</Properties>
</file>