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808" w:rsidRDefault="001741BD" w:rsidP="00643808">
      <w:pPr>
        <w:spacing w:after="0"/>
        <w:ind w:left="720" w:hanging="720"/>
        <w:jc w:val="both"/>
        <w:rPr>
          <w:lang w:val="es-SV"/>
        </w:rPr>
      </w:pPr>
      <w:r w:rsidRPr="001741BD">
        <w:rPr>
          <w:lang w:val="es-SV"/>
        </w:rPr>
        <w:t>Art. 30</w:t>
      </w:r>
      <w:r w:rsidR="00643808">
        <w:rPr>
          <w:lang w:val="es-SV"/>
        </w:rPr>
        <w:t xml:space="preserve">. </w:t>
      </w:r>
      <w:r w:rsidR="00643808">
        <w:rPr>
          <w:lang w:val="es-SV"/>
        </w:rPr>
        <w:tab/>
      </w:r>
      <w:r w:rsidRPr="001741BD">
        <w:rPr>
          <w:lang w:val="es-SV"/>
        </w:rPr>
        <w:t xml:space="preserve">Es deducible de la renta obtenida, el costo de adquisición o de fabricación, de los bienes aprovechados por el contribuyente, para la generación de la renta computable, de acuerdo a lo dispuesto en este artículo. </w:t>
      </w:r>
    </w:p>
    <w:p w:rsidR="00643808" w:rsidRDefault="001741BD" w:rsidP="00643808">
      <w:pPr>
        <w:spacing w:after="0"/>
        <w:ind w:left="720"/>
        <w:jc w:val="both"/>
        <w:rPr>
          <w:lang w:val="es-SV"/>
        </w:rPr>
      </w:pPr>
      <w:r w:rsidRPr="001741BD">
        <w:rPr>
          <w:lang w:val="es-SV"/>
        </w:rPr>
        <w:t>En los bienes que se consumen o agotan en un período no mayor de d</w:t>
      </w:r>
      <w:r w:rsidR="00643808">
        <w:rPr>
          <w:lang w:val="es-SV"/>
        </w:rPr>
        <w:t xml:space="preserve">oce meses de uso o empleo en la </w:t>
      </w:r>
      <w:r w:rsidRPr="001741BD">
        <w:rPr>
          <w:lang w:val="es-SV"/>
        </w:rPr>
        <w:t xml:space="preserve">producción de la renta, su costo total se deducirá en el ejercicio en que su empleo haya sido mayor, según lo declare el contribuyente. </w:t>
      </w:r>
    </w:p>
    <w:p w:rsidR="00643808" w:rsidRDefault="001741BD" w:rsidP="00643808">
      <w:pPr>
        <w:ind w:left="720"/>
        <w:jc w:val="both"/>
        <w:rPr>
          <w:lang w:val="es-SV"/>
        </w:rPr>
      </w:pPr>
      <w:r w:rsidRPr="001741BD">
        <w:rPr>
          <w:lang w:val="es-SV"/>
        </w:rPr>
        <w:t>En los bienes cuyo uso o empleo en la producción de la renta, se extienda por un período mayor de doce meses, se determinará una cuota anual deducible de la renta obtenida, de conformidad a las reglas siguientes:</w:t>
      </w:r>
    </w:p>
    <w:p w:rsidR="00643808" w:rsidRPr="00643808" w:rsidRDefault="001741BD" w:rsidP="00643808">
      <w:pPr>
        <w:pStyle w:val="Prrafodelista"/>
        <w:numPr>
          <w:ilvl w:val="0"/>
          <w:numId w:val="4"/>
        </w:numPr>
        <w:jc w:val="both"/>
        <w:rPr>
          <w:lang w:val="es-SV"/>
        </w:rPr>
      </w:pPr>
      <w:r w:rsidRPr="00643808">
        <w:rPr>
          <w:lang w:val="es-SV"/>
        </w:rPr>
        <w:t xml:space="preserve">La deducción procede por la pérdida de valor que sufren los bienes e instalaciones por el uso, la acción del tiempo, la obsolescencia, la </w:t>
      </w:r>
      <w:proofErr w:type="spellStart"/>
      <w:r w:rsidRPr="00643808">
        <w:rPr>
          <w:lang w:val="es-SV"/>
        </w:rPr>
        <w:t>incosteabilidad</w:t>
      </w:r>
      <w:proofErr w:type="spellEnd"/>
      <w:r w:rsidRPr="00643808">
        <w:rPr>
          <w:lang w:val="es-SV"/>
        </w:rPr>
        <w:t xml:space="preserve"> de su operación o el agotamiento. </w:t>
      </w:r>
    </w:p>
    <w:p w:rsidR="00643808" w:rsidRPr="00643808" w:rsidRDefault="001741BD" w:rsidP="00643808">
      <w:pPr>
        <w:pStyle w:val="Prrafodelista"/>
        <w:numPr>
          <w:ilvl w:val="0"/>
          <w:numId w:val="4"/>
        </w:numPr>
        <w:jc w:val="both"/>
        <w:rPr>
          <w:lang w:val="es-SV"/>
        </w:rPr>
      </w:pPr>
      <w:r w:rsidRPr="00643808">
        <w:rPr>
          <w:lang w:val="es-SV"/>
        </w:rPr>
        <w:t xml:space="preserve">El valor sujeto a depreciación será el costo total del bien salvo en los casos siguientes: </w:t>
      </w:r>
    </w:p>
    <w:p w:rsidR="00643808" w:rsidRDefault="001741BD" w:rsidP="00643808">
      <w:pPr>
        <w:ind w:left="1440"/>
        <w:jc w:val="both"/>
        <w:rPr>
          <w:lang w:val="es-SV"/>
        </w:rPr>
      </w:pPr>
      <w:r w:rsidRPr="001741BD">
        <w:rPr>
          <w:lang w:val="es-SV"/>
        </w:rPr>
        <w:t>a) Cuando se tratare de maquinaria importada que haya gozad</w:t>
      </w:r>
      <w:r w:rsidR="00643808">
        <w:rPr>
          <w:lang w:val="es-SV"/>
        </w:rPr>
        <w:t xml:space="preserve">o de exención del Impuesto a la </w:t>
      </w:r>
      <w:r w:rsidRPr="001741BD">
        <w:rPr>
          <w:lang w:val="es-SV"/>
        </w:rPr>
        <w:t xml:space="preserve">Transferencia de Bienes Muebles y a la Prestación de Servicios en su importación, será como máximo el valor registrado por la Dirección General al momento de realizar la importación; </w:t>
      </w:r>
    </w:p>
    <w:p w:rsidR="00643808" w:rsidRDefault="001741BD" w:rsidP="00643808">
      <w:pPr>
        <w:ind w:left="1440"/>
        <w:jc w:val="both"/>
        <w:rPr>
          <w:lang w:val="es-SV"/>
        </w:rPr>
      </w:pPr>
      <w:r w:rsidRPr="001741BD">
        <w:rPr>
          <w:lang w:val="es-SV"/>
        </w:rPr>
        <w:t>b) Cuando se tratare de maquinaria o bienes muebles usados, el valor máximo sujeto a depreciación será el precio del bien nuevo al momento de su adquisición, ajustado de acuerdo a los siguientes porcentajes:</w:t>
      </w:r>
    </w:p>
    <w:p w:rsidR="00643808" w:rsidRDefault="001741BD" w:rsidP="00643808">
      <w:pPr>
        <w:jc w:val="both"/>
        <w:rPr>
          <w:lang w:val="es-SV"/>
        </w:rPr>
      </w:pPr>
      <w:r w:rsidRPr="001741BD">
        <w:rPr>
          <w:lang w:val="es-SV"/>
        </w:rPr>
        <w:t xml:space="preserve"> AÑOS DE VIDA PORCENTAJE DEL PRECIO DE MAQUINARIA O BIENES MUEBLES USADOS</w:t>
      </w:r>
    </w:p>
    <w:p w:rsidR="00643808" w:rsidRDefault="001741BD" w:rsidP="00643808">
      <w:pPr>
        <w:jc w:val="both"/>
        <w:rPr>
          <w:lang w:val="es-SV"/>
        </w:rPr>
      </w:pPr>
      <w:r w:rsidRPr="001741BD">
        <w:rPr>
          <w:lang w:val="es-SV"/>
        </w:rPr>
        <w:t xml:space="preserve"> 1 año 80%</w:t>
      </w:r>
    </w:p>
    <w:p w:rsidR="00643808" w:rsidRDefault="001741BD" w:rsidP="00643808">
      <w:pPr>
        <w:jc w:val="both"/>
        <w:rPr>
          <w:lang w:val="es-SV"/>
        </w:rPr>
      </w:pPr>
      <w:r>
        <w:rPr>
          <w:lang w:val="es-SV"/>
        </w:rPr>
        <w:t xml:space="preserve"> </w:t>
      </w:r>
      <w:r w:rsidRPr="001741BD">
        <w:rPr>
          <w:lang w:val="es-SV"/>
        </w:rPr>
        <w:t>2 años 60%</w:t>
      </w:r>
    </w:p>
    <w:p w:rsidR="00643808" w:rsidRDefault="001741BD" w:rsidP="00643808">
      <w:pPr>
        <w:jc w:val="both"/>
        <w:rPr>
          <w:lang w:val="es-SV"/>
        </w:rPr>
      </w:pPr>
      <w:r w:rsidRPr="001741BD">
        <w:rPr>
          <w:lang w:val="es-SV"/>
        </w:rPr>
        <w:t xml:space="preserve"> 3 años 40%</w:t>
      </w:r>
    </w:p>
    <w:p w:rsidR="00643808" w:rsidRDefault="001741BD" w:rsidP="00643808">
      <w:pPr>
        <w:jc w:val="both"/>
        <w:rPr>
          <w:lang w:val="es-SV"/>
        </w:rPr>
      </w:pPr>
      <w:r w:rsidRPr="001741BD">
        <w:rPr>
          <w:lang w:val="es-SV"/>
        </w:rPr>
        <w:t xml:space="preserve"> 4 años y más 20% </w:t>
      </w:r>
    </w:p>
    <w:p w:rsidR="00643808" w:rsidRDefault="001741BD" w:rsidP="00643808">
      <w:pPr>
        <w:jc w:val="both"/>
        <w:rPr>
          <w:lang w:val="es-SV"/>
        </w:rPr>
      </w:pPr>
      <w:r w:rsidRPr="001741BD">
        <w:rPr>
          <w:lang w:val="es-SV"/>
        </w:rPr>
        <w:t>Los precios de los bienes señalados estarán sujetos a fiscalización.</w:t>
      </w:r>
    </w:p>
    <w:p w:rsidR="00643808" w:rsidRPr="00643808" w:rsidRDefault="001741BD" w:rsidP="00643808">
      <w:pPr>
        <w:pStyle w:val="Prrafodelista"/>
        <w:numPr>
          <w:ilvl w:val="0"/>
          <w:numId w:val="4"/>
        </w:numPr>
        <w:jc w:val="both"/>
        <w:rPr>
          <w:b/>
          <w:lang w:val="es-SV"/>
        </w:rPr>
      </w:pPr>
      <w:r w:rsidRPr="00643808">
        <w:rPr>
          <w:lang w:val="es-SV"/>
        </w:rPr>
        <w:t xml:space="preserve">El contribuyente, para establecer el monto de la depreciación, podrá utilizar el método siguiente: </w:t>
      </w:r>
    </w:p>
    <w:p w:rsidR="00643808" w:rsidRPr="00643808" w:rsidRDefault="001741BD" w:rsidP="00643808">
      <w:pPr>
        <w:pStyle w:val="Prrafodelista"/>
        <w:ind w:left="768"/>
        <w:jc w:val="both"/>
        <w:rPr>
          <w:b/>
          <w:lang w:val="es-SV"/>
        </w:rPr>
      </w:pPr>
      <w:r w:rsidRPr="00643808">
        <w:rPr>
          <w:lang w:val="es-SV"/>
        </w:rPr>
        <w:t xml:space="preserve">Aplicar un porcentaje fijo y constante sobre el valor sujeto a depreciación. </w:t>
      </w:r>
    </w:p>
    <w:p w:rsidR="00643808" w:rsidRDefault="001741BD" w:rsidP="00643808">
      <w:pPr>
        <w:pStyle w:val="Prrafodelista"/>
        <w:ind w:left="768"/>
        <w:jc w:val="both"/>
        <w:rPr>
          <w:lang w:val="es-SV"/>
        </w:rPr>
      </w:pPr>
      <w:r w:rsidRPr="00643808">
        <w:rPr>
          <w:lang w:val="es-SV"/>
        </w:rPr>
        <w:t xml:space="preserve">Los porcentajes máximos de depreciación anual permitidos serán: </w:t>
      </w:r>
    </w:p>
    <w:p w:rsidR="00643808" w:rsidRDefault="001741BD" w:rsidP="00643808">
      <w:pPr>
        <w:pStyle w:val="Prrafodelista"/>
        <w:ind w:left="768"/>
        <w:jc w:val="both"/>
        <w:rPr>
          <w:lang w:val="es-SV"/>
        </w:rPr>
      </w:pPr>
      <w:r w:rsidRPr="00643808">
        <w:rPr>
          <w:lang w:val="es-SV"/>
        </w:rPr>
        <w:t xml:space="preserve">Edificaciones 5% </w:t>
      </w:r>
    </w:p>
    <w:p w:rsidR="00643808" w:rsidRDefault="001741BD" w:rsidP="00643808">
      <w:pPr>
        <w:pStyle w:val="Prrafodelista"/>
        <w:ind w:left="768"/>
        <w:jc w:val="both"/>
        <w:rPr>
          <w:lang w:val="es-SV"/>
        </w:rPr>
      </w:pPr>
      <w:r w:rsidRPr="00643808">
        <w:rPr>
          <w:lang w:val="es-SV"/>
        </w:rPr>
        <w:t xml:space="preserve">Maquinaria 20% </w:t>
      </w:r>
    </w:p>
    <w:p w:rsidR="00643808" w:rsidRDefault="001741BD" w:rsidP="00643808">
      <w:pPr>
        <w:pStyle w:val="Prrafodelista"/>
        <w:ind w:left="768"/>
        <w:jc w:val="both"/>
        <w:rPr>
          <w:lang w:val="es-SV"/>
        </w:rPr>
      </w:pPr>
      <w:r w:rsidRPr="00643808">
        <w:rPr>
          <w:lang w:val="es-SV"/>
        </w:rPr>
        <w:t xml:space="preserve">Otros Bienes Muebles 50% </w:t>
      </w:r>
    </w:p>
    <w:p w:rsidR="00643808" w:rsidRDefault="00643808" w:rsidP="00643808">
      <w:pPr>
        <w:pStyle w:val="Prrafodelista"/>
        <w:ind w:left="768"/>
        <w:jc w:val="both"/>
        <w:rPr>
          <w:lang w:val="es-SV"/>
        </w:rPr>
      </w:pPr>
    </w:p>
    <w:p w:rsidR="00643808" w:rsidRDefault="001741BD" w:rsidP="00643808">
      <w:pPr>
        <w:pStyle w:val="Prrafodelista"/>
        <w:ind w:left="768"/>
        <w:jc w:val="both"/>
        <w:rPr>
          <w:lang w:val="es-SV"/>
        </w:rPr>
      </w:pPr>
      <w:r w:rsidRPr="00643808">
        <w:rPr>
          <w:lang w:val="es-SV"/>
        </w:rPr>
        <w:t xml:space="preserve">Para el caso de maquinaria nueva el contribuyente podrá aplicar otro método consistente en un porcentaje fijo y constante sobre el saldo decreciente del valor sujeto a depreciación Dicho </w:t>
      </w:r>
      <w:r w:rsidRPr="00643808">
        <w:rPr>
          <w:lang w:val="es-SV"/>
        </w:rPr>
        <w:lastRenderedPageBreak/>
        <w:t>porcentaje será el doble del anteriormente señalado. Una vez que el contribuyente haya adoptado un método para un determinado bien, no podrá cambiarlo sin autoriz</w:t>
      </w:r>
      <w:r w:rsidR="00643808">
        <w:rPr>
          <w:lang w:val="es-SV"/>
        </w:rPr>
        <w:t>ación de la Dirección General”.</w:t>
      </w:r>
    </w:p>
    <w:p w:rsidR="00643808" w:rsidRPr="00643808" w:rsidRDefault="001741BD" w:rsidP="00643808">
      <w:pPr>
        <w:pStyle w:val="Prrafodelista"/>
        <w:numPr>
          <w:ilvl w:val="0"/>
          <w:numId w:val="4"/>
        </w:numPr>
        <w:jc w:val="both"/>
        <w:rPr>
          <w:b/>
          <w:lang w:val="es-SV"/>
        </w:rPr>
      </w:pPr>
      <w:r w:rsidRPr="00643808">
        <w:rPr>
          <w:lang w:val="es-SV"/>
        </w:rPr>
        <w:t xml:space="preserve"> Para los efectos de esta deducción no es aplicable la valuación o revaluación de los bienes en uso; </w:t>
      </w:r>
    </w:p>
    <w:p w:rsidR="00643808" w:rsidRPr="00643808" w:rsidRDefault="001741BD" w:rsidP="00643808">
      <w:pPr>
        <w:pStyle w:val="Prrafodelista"/>
        <w:numPr>
          <w:ilvl w:val="0"/>
          <w:numId w:val="4"/>
        </w:numPr>
        <w:jc w:val="both"/>
        <w:rPr>
          <w:b/>
          <w:lang w:val="es-SV"/>
        </w:rPr>
      </w:pPr>
      <w:r w:rsidRPr="00643808">
        <w:rPr>
          <w:lang w:val="es-SV"/>
        </w:rPr>
        <w:t>El contribuyente podrá reclamar esta depreciación únicamente sobre bienes que sean de su propiedad, y mientras se encuentren en uso en la reducción de ingresos gravables.</w:t>
      </w:r>
    </w:p>
    <w:p w:rsidR="00643808" w:rsidRDefault="001741BD" w:rsidP="00643808">
      <w:pPr>
        <w:pStyle w:val="Prrafodelista"/>
        <w:ind w:left="768"/>
        <w:jc w:val="both"/>
        <w:rPr>
          <w:lang w:val="es-SV"/>
        </w:rPr>
      </w:pPr>
      <w:r w:rsidRPr="00643808">
        <w:rPr>
          <w:lang w:val="es-SV"/>
        </w:rPr>
        <w:t xml:space="preserve">Cuando se trate de bienes en que una persona tenga el usufructo y otra la nuda propiedad, la depreciación la hará el usufructuario mientras dure el usufructo; </w:t>
      </w:r>
    </w:p>
    <w:p w:rsidR="00643808" w:rsidRPr="00643808" w:rsidRDefault="001741BD" w:rsidP="00643808">
      <w:pPr>
        <w:pStyle w:val="Prrafodelista"/>
        <w:numPr>
          <w:ilvl w:val="0"/>
          <w:numId w:val="4"/>
        </w:numPr>
        <w:jc w:val="both"/>
        <w:rPr>
          <w:b/>
          <w:lang w:val="es-SV"/>
        </w:rPr>
      </w:pPr>
      <w:r w:rsidRPr="00643808">
        <w:rPr>
          <w:lang w:val="es-SV"/>
        </w:rPr>
        <w:t xml:space="preserve">Los contribuyentes deberán llevar registro detallado de la depreciación, salvo aquellos que no estén obligados por ley a llevar contabilidad formal o registros. </w:t>
      </w:r>
    </w:p>
    <w:p w:rsidR="00643808" w:rsidRDefault="001741BD" w:rsidP="00643808">
      <w:pPr>
        <w:pStyle w:val="Prrafodelista"/>
        <w:ind w:left="768"/>
        <w:jc w:val="both"/>
        <w:rPr>
          <w:lang w:val="es-SV"/>
        </w:rPr>
      </w:pPr>
      <w:r w:rsidRPr="00643808">
        <w:rPr>
          <w:lang w:val="es-SV"/>
        </w:rPr>
        <w:t xml:space="preserve">El reglamento regulará la forma de llevar dicho registro; </w:t>
      </w:r>
    </w:p>
    <w:p w:rsidR="00643808" w:rsidRPr="00643808" w:rsidRDefault="001741BD" w:rsidP="00643808">
      <w:pPr>
        <w:pStyle w:val="Prrafodelista"/>
        <w:numPr>
          <w:ilvl w:val="0"/>
          <w:numId w:val="4"/>
        </w:numPr>
        <w:jc w:val="both"/>
        <w:rPr>
          <w:b/>
          <w:lang w:val="es-SV"/>
        </w:rPr>
      </w:pPr>
      <w:r w:rsidRPr="00643808">
        <w:rPr>
          <w:lang w:val="es-SV"/>
        </w:rPr>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1741BD" w:rsidRPr="00D519C4" w:rsidRDefault="001741BD" w:rsidP="00643808">
      <w:pPr>
        <w:pStyle w:val="Prrafodelista"/>
        <w:numPr>
          <w:ilvl w:val="0"/>
          <w:numId w:val="4"/>
        </w:numPr>
        <w:jc w:val="both"/>
        <w:rPr>
          <w:b/>
          <w:lang w:val="es-SV"/>
        </w:rPr>
      </w:pPr>
      <w:r w:rsidRPr="00643808">
        <w:rPr>
          <w:lang w:val="es-SV"/>
        </w:rPr>
        <w:t>No son despreciables las mercaderías o existencias del inventario del contribuyente, ni los predios rústicos o urbanos, excepto lo construido sobre ellos.</w:t>
      </w:r>
    </w:p>
    <w:p w:rsidR="00D519C4" w:rsidRDefault="00D519C4" w:rsidP="00D519C4">
      <w:pPr>
        <w:spacing w:after="0"/>
        <w:jc w:val="both"/>
        <w:rPr>
          <w:lang w:val="es-SV"/>
        </w:rPr>
      </w:pPr>
      <w:r w:rsidRPr="00D519C4">
        <w:rPr>
          <w:lang w:val="es-SV"/>
        </w:rPr>
        <w:t>ASAMBLEA LEGISLATIVA - REPUBLICA DE EL SALVADOR</w:t>
      </w:r>
    </w:p>
    <w:p w:rsidR="00D519C4" w:rsidRDefault="00D519C4" w:rsidP="00D519C4">
      <w:pPr>
        <w:spacing w:after="0"/>
        <w:jc w:val="both"/>
        <w:rPr>
          <w:lang w:val="es-SV"/>
        </w:rPr>
      </w:pPr>
      <w:r>
        <w:rPr>
          <w:lang w:val="es-SV"/>
        </w:rPr>
        <w:t>Ley de Impuesto Sobre la Renta</w:t>
      </w:r>
    </w:p>
    <w:p w:rsidR="00D519C4" w:rsidRDefault="00D519C4" w:rsidP="00D519C4">
      <w:pPr>
        <w:spacing w:after="0"/>
        <w:jc w:val="both"/>
        <w:rPr>
          <w:b/>
          <w:lang w:val="es-SV"/>
        </w:rPr>
      </w:pPr>
      <w:hyperlink r:id="rId6" w:history="1">
        <w:r w:rsidRPr="005E2020">
          <w:rPr>
            <w:rStyle w:val="Hipervnculo"/>
            <w:b/>
            <w:lang w:val="es-SV"/>
          </w:rPr>
          <w:t>http://www.asamblea.gob.sv/eparlamento/indice-legislativo/buscador-de-documentos-legislativos/ley-de-impuesto-sobre-la-renta</w:t>
        </w:r>
      </w:hyperlink>
    </w:p>
    <w:p w:rsidR="00D519C4" w:rsidRPr="00D519C4" w:rsidRDefault="00D519C4" w:rsidP="00D519C4">
      <w:pPr>
        <w:numPr>
          <w:ilvl w:val="0"/>
          <w:numId w:val="5"/>
        </w:numPr>
        <w:spacing w:after="0" w:line="240" w:lineRule="auto"/>
        <w:ind w:left="120"/>
        <w:textAlignment w:val="baseline"/>
        <w:rPr>
          <w:rFonts w:ascii="Arial" w:eastAsia="Times New Roman" w:hAnsi="Arial" w:cs="Arial"/>
          <w:color w:val="000000"/>
          <w:sz w:val="20"/>
          <w:szCs w:val="20"/>
        </w:rPr>
      </w:pPr>
      <w:proofErr w:type="spellStart"/>
      <w:r w:rsidRPr="00D519C4">
        <w:rPr>
          <w:rFonts w:ascii="Arial" w:eastAsia="Times New Roman" w:hAnsi="Arial" w:cs="Arial"/>
          <w:color w:val="000000"/>
          <w:sz w:val="20"/>
          <w:szCs w:val="20"/>
        </w:rPr>
        <w:t>Fecha</w:t>
      </w:r>
      <w:proofErr w:type="spellEnd"/>
      <w:r w:rsidRPr="00D519C4">
        <w:rPr>
          <w:rFonts w:ascii="Arial" w:eastAsia="Times New Roman" w:hAnsi="Arial" w:cs="Arial"/>
          <w:color w:val="000000"/>
          <w:sz w:val="20"/>
          <w:szCs w:val="20"/>
        </w:rPr>
        <w:t xml:space="preserve"> </w:t>
      </w:r>
      <w:proofErr w:type="spellStart"/>
      <w:r w:rsidRPr="00D519C4">
        <w:rPr>
          <w:rFonts w:ascii="Arial" w:eastAsia="Times New Roman" w:hAnsi="Arial" w:cs="Arial"/>
          <w:color w:val="000000"/>
          <w:sz w:val="20"/>
          <w:szCs w:val="20"/>
        </w:rPr>
        <w:t>Emisión</w:t>
      </w:r>
      <w:proofErr w:type="spellEnd"/>
      <w:r w:rsidRPr="00D519C4">
        <w:rPr>
          <w:rFonts w:ascii="Arial" w:eastAsia="Times New Roman" w:hAnsi="Arial" w:cs="Arial"/>
          <w:color w:val="000000"/>
          <w:sz w:val="20"/>
          <w:szCs w:val="20"/>
        </w:rPr>
        <w:t>: </w:t>
      </w:r>
      <w:r w:rsidRPr="00D519C4">
        <w:rPr>
          <w:rFonts w:ascii="Arial" w:eastAsia="Times New Roman" w:hAnsi="Arial" w:cs="Arial"/>
          <w:caps/>
          <w:color w:val="000000"/>
          <w:sz w:val="20"/>
          <w:szCs w:val="20"/>
          <w:bdr w:val="none" w:sz="0" w:space="0" w:color="auto" w:frame="1"/>
        </w:rPr>
        <w:t>18/12/1991</w:t>
      </w:r>
    </w:p>
    <w:p w:rsidR="00D519C4" w:rsidRPr="00D519C4" w:rsidRDefault="00D519C4" w:rsidP="00D519C4">
      <w:pPr>
        <w:numPr>
          <w:ilvl w:val="0"/>
          <w:numId w:val="5"/>
        </w:numPr>
        <w:spacing w:after="0" w:line="240" w:lineRule="auto"/>
        <w:ind w:left="120"/>
        <w:textAlignment w:val="baseline"/>
        <w:rPr>
          <w:rFonts w:ascii="Arial" w:eastAsia="Times New Roman" w:hAnsi="Arial" w:cs="Arial"/>
          <w:color w:val="000000"/>
          <w:sz w:val="20"/>
          <w:szCs w:val="20"/>
        </w:rPr>
      </w:pPr>
      <w:proofErr w:type="spellStart"/>
      <w:r w:rsidRPr="00D519C4">
        <w:rPr>
          <w:rFonts w:ascii="Arial" w:eastAsia="Times New Roman" w:hAnsi="Arial" w:cs="Arial"/>
          <w:color w:val="000000"/>
          <w:sz w:val="20"/>
          <w:szCs w:val="20"/>
        </w:rPr>
        <w:t>Fecha</w:t>
      </w:r>
      <w:proofErr w:type="spellEnd"/>
      <w:r w:rsidRPr="00D519C4">
        <w:rPr>
          <w:rFonts w:ascii="Arial" w:eastAsia="Times New Roman" w:hAnsi="Arial" w:cs="Arial"/>
          <w:color w:val="000000"/>
          <w:sz w:val="20"/>
          <w:szCs w:val="20"/>
        </w:rPr>
        <w:t xml:space="preserve"> </w:t>
      </w:r>
      <w:proofErr w:type="spellStart"/>
      <w:r w:rsidRPr="00D519C4">
        <w:rPr>
          <w:rFonts w:ascii="Arial" w:eastAsia="Times New Roman" w:hAnsi="Arial" w:cs="Arial"/>
          <w:color w:val="000000"/>
          <w:sz w:val="20"/>
          <w:szCs w:val="20"/>
        </w:rPr>
        <w:t>Publicación</w:t>
      </w:r>
      <w:proofErr w:type="spellEnd"/>
      <w:r w:rsidRPr="00D519C4">
        <w:rPr>
          <w:rFonts w:ascii="Arial" w:eastAsia="Times New Roman" w:hAnsi="Arial" w:cs="Arial"/>
          <w:color w:val="000000"/>
          <w:sz w:val="20"/>
          <w:szCs w:val="20"/>
        </w:rPr>
        <w:t>: </w:t>
      </w:r>
      <w:r w:rsidRPr="00D519C4">
        <w:rPr>
          <w:rFonts w:ascii="Arial" w:eastAsia="Times New Roman" w:hAnsi="Arial" w:cs="Arial"/>
          <w:caps/>
          <w:color w:val="000000"/>
          <w:sz w:val="20"/>
          <w:szCs w:val="20"/>
          <w:bdr w:val="none" w:sz="0" w:space="0" w:color="auto" w:frame="1"/>
        </w:rPr>
        <w:t>21/12/1991</w:t>
      </w:r>
    </w:p>
    <w:p w:rsidR="00D519C4" w:rsidRPr="00D519C4" w:rsidRDefault="00D519C4" w:rsidP="00D519C4">
      <w:pPr>
        <w:numPr>
          <w:ilvl w:val="0"/>
          <w:numId w:val="5"/>
        </w:numPr>
        <w:spacing w:after="0" w:line="240" w:lineRule="auto"/>
        <w:ind w:left="120"/>
        <w:textAlignment w:val="baseline"/>
        <w:rPr>
          <w:rFonts w:ascii="Arial" w:eastAsia="Times New Roman" w:hAnsi="Arial" w:cs="Arial"/>
          <w:color w:val="000000"/>
          <w:sz w:val="20"/>
          <w:szCs w:val="20"/>
        </w:rPr>
      </w:pPr>
      <w:proofErr w:type="spellStart"/>
      <w:r w:rsidRPr="00D519C4">
        <w:rPr>
          <w:rFonts w:ascii="Arial" w:eastAsia="Times New Roman" w:hAnsi="Arial" w:cs="Arial"/>
          <w:color w:val="000000"/>
          <w:sz w:val="20"/>
          <w:szCs w:val="20"/>
        </w:rPr>
        <w:t>Fecha</w:t>
      </w:r>
      <w:proofErr w:type="spellEnd"/>
      <w:r w:rsidRPr="00D519C4">
        <w:rPr>
          <w:rFonts w:ascii="Arial" w:eastAsia="Times New Roman" w:hAnsi="Arial" w:cs="Arial"/>
          <w:color w:val="000000"/>
          <w:sz w:val="20"/>
          <w:szCs w:val="20"/>
        </w:rPr>
        <w:t xml:space="preserve"> de </w:t>
      </w:r>
      <w:proofErr w:type="spellStart"/>
      <w:r w:rsidRPr="00D519C4">
        <w:rPr>
          <w:rFonts w:ascii="Arial" w:eastAsia="Times New Roman" w:hAnsi="Arial" w:cs="Arial"/>
          <w:color w:val="000000"/>
          <w:sz w:val="20"/>
          <w:szCs w:val="20"/>
        </w:rPr>
        <w:t>Última</w:t>
      </w:r>
      <w:proofErr w:type="spellEnd"/>
      <w:r w:rsidRPr="00D519C4">
        <w:rPr>
          <w:rFonts w:ascii="Arial" w:eastAsia="Times New Roman" w:hAnsi="Arial" w:cs="Arial"/>
          <w:color w:val="000000"/>
          <w:sz w:val="20"/>
          <w:szCs w:val="20"/>
        </w:rPr>
        <w:t xml:space="preserve"> </w:t>
      </w:r>
      <w:proofErr w:type="spellStart"/>
      <w:r w:rsidRPr="00D519C4">
        <w:rPr>
          <w:rFonts w:ascii="Arial" w:eastAsia="Times New Roman" w:hAnsi="Arial" w:cs="Arial"/>
          <w:color w:val="000000"/>
          <w:sz w:val="20"/>
          <w:szCs w:val="20"/>
        </w:rPr>
        <w:t>Modificación</w:t>
      </w:r>
      <w:proofErr w:type="spellEnd"/>
      <w:r w:rsidRPr="00D519C4">
        <w:rPr>
          <w:rFonts w:ascii="Arial" w:eastAsia="Times New Roman" w:hAnsi="Arial" w:cs="Arial"/>
          <w:color w:val="000000"/>
          <w:sz w:val="20"/>
          <w:szCs w:val="20"/>
        </w:rPr>
        <w:t> </w:t>
      </w:r>
      <w:r w:rsidRPr="00D519C4">
        <w:rPr>
          <w:rFonts w:ascii="Arial" w:eastAsia="Times New Roman" w:hAnsi="Arial" w:cs="Arial"/>
          <w:caps/>
          <w:color w:val="000000"/>
          <w:sz w:val="20"/>
          <w:szCs w:val="20"/>
          <w:bdr w:val="none" w:sz="0" w:space="0" w:color="auto" w:frame="1"/>
        </w:rPr>
        <w:t>27/11/2014</w:t>
      </w:r>
    </w:p>
    <w:p w:rsidR="00D519C4" w:rsidRPr="00D519C4" w:rsidRDefault="00D519C4" w:rsidP="00D519C4">
      <w:pPr>
        <w:jc w:val="both"/>
        <w:rPr>
          <w:b/>
          <w:lang w:val="es-SV"/>
        </w:rPr>
      </w:pPr>
    </w:p>
    <w:p w:rsidR="00F77E9E" w:rsidRDefault="00F77E9E" w:rsidP="00643808">
      <w:pPr>
        <w:jc w:val="both"/>
        <w:rPr>
          <w:b/>
          <w:lang w:val="es-SV"/>
        </w:rPr>
      </w:pPr>
      <w:r>
        <w:rPr>
          <w:b/>
          <w:lang w:val="es-SV"/>
        </w:rPr>
        <w:t>Depreciación</w:t>
      </w:r>
    </w:p>
    <w:p w:rsidR="001741BD" w:rsidRPr="001E0A0A" w:rsidRDefault="00F77E9E" w:rsidP="00643808">
      <w:pPr>
        <w:jc w:val="both"/>
        <w:rPr>
          <w:lang w:val="es-SV"/>
        </w:rPr>
      </w:pPr>
      <w:r w:rsidRPr="001E0A0A">
        <w:rPr>
          <w:lang w:val="es-SV"/>
        </w:rPr>
        <w:t xml:space="preserve">Cargo sistemático de una parte de los costos de los activos fijos frente a los ingresos anuales a través </w:t>
      </w:r>
      <w:r w:rsidR="001741BD" w:rsidRPr="001E0A0A">
        <w:rPr>
          <w:lang w:val="es-SV"/>
        </w:rPr>
        <w:t>del tiempo. Con propósitos de información financiera, se pueden utilizar diversos métodos de depreciación (línea recta, doble saldo decreciente y la suma de dígitos de años).</w:t>
      </w:r>
    </w:p>
    <w:p w:rsidR="001741BD" w:rsidRPr="001E0A0A" w:rsidRDefault="001741BD" w:rsidP="00643808">
      <w:pPr>
        <w:jc w:val="both"/>
        <w:rPr>
          <w:color w:val="FF0000"/>
          <w:lang w:val="es-SV"/>
        </w:rPr>
      </w:pPr>
      <w:r w:rsidRPr="001E0A0A">
        <w:rPr>
          <w:color w:val="FF0000"/>
          <w:lang w:val="es-SV"/>
        </w:rPr>
        <w:t>Página 93</w:t>
      </w:r>
    </w:p>
    <w:p w:rsidR="00D70082" w:rsidRPr="002D4613" w:rsidRDefault="00D70082" w:rsidP="00643808">
      <w:pPr>
        <w:jc w:val="both"/>
        <w:rPr>
          <w:b/>
          <w:lang w:val="es-SV"/>
        </w:rPr>
      </w:pPr>
      <w:r w:rsidRPr="002D4613">
        <w:rPr>
          <w:b/>
          <w:lang w:val="es-SV"/>
        </w:rPr>
        <w:t>Valor presente neto (VPN)</w:t>
      </w:r>
      <w:r w:rsidR="005360D5" w:rsidRPr="002D4613">
        <w:rPr>
          <w:b/>
          <w:lang w:val="es-SV"/>
        </w:rPr>
        <w:t>.</w:t>
      </w:r>
    </w:p>
    <w:p w:rsidR="005360D5" w:rsidRDefault="005360D5" w:rsidP="00643808">
      <w:pPr>
        <w:jc w:val="both"/>
        <w:rPr>
          <w:lang w:val="es-SV"/>
        </w:rPr>
      </w:pPr>
      <w:r>
        <w:rPr>
          <w:lang w:val="es-SV"/>
        </w:rPr>
        <w:t>Es una técnica que busca encontrar un valor actual sobre la inversión realizada en un proyecto, teniendo en cuenta los ingresos y egresos que se realicen a una tasa equivalente al importe del capital.</w:t>
      </w:r>
    </w:p>
    <w:p w:rsidR="001E0A0A" w:rsidRPr="001E0A0A" w:rsidRDefault="005360D5" w:rsidP="00643808">
      <w:pPr>
        <w:jc w:val="both"/>
        <w:rPr>
          <w:lang w:val="es-SV"/>
        </w:rPr>
      </w:pPr>
      <w:r w:rsidRPr="001E0A0A">
        <w:rPr>
          <w:lang w:val="es-SV"/>
        </w:rPr>
        <w:t>Como</w:t>
      </w:r>
      <w:r w:rsidR="00D70082" w:rsidRPr="001E0A0A">
        <w:rPr>
          <w:lang w:val="es-SV"/>
        </w:rPr>
        <w:t xml:space="preserve">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w:t>
      </w:r>
      <w:r w:rsidR="00D70082" w:rsidRPr="001E0A0A">
        <w:rPr>
          <w:lang w:val="es-SV"/>
        </w:rPr>
        <w:lastRenderedPageBreak/>
        <w:t xml:space="preserve">rendimiento mínimo que debe ganar un proyecto para que el valor de Mercado de la </w:t>
      </w:r>
      <w:r w:rsidR="00FE7FD9" w:rsidRPr="001E0A0A">
        <w:rPr>
          <w:lang w:val="es-SV"/>
        </w:rPr>
        <w:t>empresa permanezca sin cambio.</w:t>
      </w:r>
    </w:p>
    <w:p w:rsidR="00D70082" w:rsidRPr="00E62B7E" w:rsidRDefault="00D70082" w:rsidP="00643808">
      <w:pPr>
        <w:jc w:val="both"/>
        <w:rPr>
          <w:color w:val="FF0000"/>
          <w:lang w:val="es-SV"/>
        </w:rPr>
      </w:pPr>
    </w:p>
    <w:p w:rsidR="001E0A0A" w:rsidRPr="001E0A0A" w:rsidRDefault="005360D5" w:rsidP="00643808">
      <w:pPr>
        <w:jc w:val="both"/>
        <w:rPr>
          <w:lang w:val="es-SV"/>
        </w:rPr>
      </w:pPr>
      <w:r w:rsidRPr="001E0A0A">
        <w:rPr>
          <w:lang w:val="es-SV"/>
        </w:rPr>
        <w:t>El</w:t>
      </w:r>
      <w:r w:rsidR="00FE7FD9" w:rsidRPr="001E0A0A">
        <w:rPr>
          <w:lang w:val="es-SV"/>
        </w:rPr>
        <w:t xml:space="preserve"> valor presente neto</w:t>
      </w:r>
      <w:r w:rsidR="00E62B7E" w:rsidRPr="001E0A0A">
        <w:rPr>
          <w:lang w:val="es-SV"/>
        </w:rPr>
        <w:t xml:space="preserve"> (VPN)</w:t>
      </w:r>
      <w:r w:rsidR="00FE7FD9" w:rsidRPr="001E0A0A">
        <w:rPr>
          <w:lang w:val="es-SV"/>
        </w:rPr>
        <w:t xml:space="preserve"> se calcula restando la inversión inicial de un proyecto</w:t>
      </w:r>
      <w:r w:rsidR="00E62B7E" w:rsidRPr="001E0A0A">
        <w:rPr>
          <w:lang w:val="es-SV"/>
        </w:rPr>
        <w:t xml:space="preserve"> (CF</w:t>
      </w:r>
      <w:r w:rsidR="00E62B7E" w:rsidRPr="001E0A0A">
        <w:rPr>
          <w:vertAlign w:val="subscript"/>
          <w:lang w:val="es-SV"/>
        </w:rPr>
        <w:t>0</w:t>
      </w:r>
      <w:r w:rsidR="00E62B7E" w:rsidRPr="001E0A0A">
        <w:rPr>
          <w:lang w:val="es-SV"/>
        </w:rPr>
        <w:t>)</w:t>
      </w:r>
      <w:r w:rsidR="00FE7FD9" w:rsidRPr="001E0A0A">
        <w:rPr>
          <w:lang w:val="es-SV"/>
        </w:rPr>
        <w:t xml:space="preserve"> del valor presente de sus entradas de efectivo</w:t>
      </w:r>
      <w:r w:rsidR="00E62B7E" w:rsidRPr="001E0A0A">
        <w:rPr>
          <w:lang w:val="es-SV"/>
        </w:rPr>
        <w:t xml:space="preserve"> (</w:t>
      </w:r>
      <w:proofErr w:type="spellStart"/>
      <w:r w:rsidR="00E62B7E" w:rsidRPr="001E0A0A">
        <w:rPr>
          <w:lang w:val="es-SV"/>
        </w:rPr>
        <w:t>CF</w:t>
      </w:r>
      <w:r w:rsidR="00E62B7E" w:rsidRPr="001E0A0A">
        <w:rPr>
          <w:vertAlign w:val="subscript"/>
          <w:lang w:val="es-SV"/>
        </w:rPr>
        <w:t>t</w:t>
      </w:r>
      <w:proofErr w:type="spellEnd"/>
      <w:r w:rsidR="00E62B7E" w:rsidRPr="001E0A0A">
        <w:rPr>
          <w:lang w:val="es-SV"/>
        </w:rPr>
        <w:t>)</w:t>
      </w:r>
      <w:r w:rsidR="00FE7FD9" w:rsidRPr="001E0A0A">
        <w:rPr>
          <w:lang w:val="es-SV"/>
        </w:rPr>
        <w:t xml:space="preserve"> descontadas a una tasa equivalente al costo de capital de la empresa</w:t>
      </w:r>
      <w:r w:rsidR="00E62B7E" w:rsidRPr="001E0A0A">
        <w:rPr>
          <w:lang w:val="es-SV"/>
        </w:rPr>
        <w:t xml:space="preserve"> (k)</w:t>
      </w:r>
      <w:r w:rsidR="002D4613" w:rsidRPr="001E0A0A">
        <w:rPr>
          <w:lang w:val="es-SV"/>
        </w:rPr>
        <w:t>.</w:t>
      </w:r>
    </w:p>
    <w:p w:rsidR="002D4613" w:rsidRDefault="005360D5" w:rsidP="00643808">
      <w:pPr>
        <w:jc w:val="both"/>
        <w:rPr>
          <w:color w:val="FF0000"/>
          <w:lang w:val="es-SV"/>
        </w:rPr>
      </w:pPr>
      <m:oMathPara>
        <m:oMath>
          <m:r>
            <m:rPr>
              <m:sty m:val="p"/>
            </m:rPr>
            <w:rPr>
              <w:rFonts w:ascii="Cambria Math" w:hAnsi="Cambria Math"/>
              <w:color w:val="FF0000"/>
              <w:lang w:val="es-SV"/>
            </w:rPr>
            <w:br/>
          </m:r>
        </m:oMath>
        <m:oMath>
          <m:r>
            <m:rPr>
              <m:sty m:val="p"/>
            </m:rPr>
            <w:rPr>
              <w:rFonts w:ascii="Cambria Math" w:hAnsi="Cambria Math"/>
              <w:lang w:val="es-SV"/>
            </w:rPr>
            <m:t>VPN</m:t>
          </m:r>
          <m:r>
            <w:rPr>
              <w:rFonts w:ascii="Cambria Math" w:hAnsi="Cambria Math"/>
              <w:lang w:val="es-SV"/>
            </w:rPr>
            <m:t>=</m:t>
          </m:r>
          <m:nary>
            <m:naryPr>
              <m:chr m:val="∑"/>
              <m:limLoc m:val="undOvr"/>
              <m:ctrlPr>
                <w:rPr>
                  <w:rFonts w:ascii="Cambria Math" w:hAnsi="Cambria Math"/>
                  <w:i/>
                  <w:lang w:val="es-SV"/>
                </w:rPr>
              </m:ctrlPr>
            </m:naryPr>
            <m:sub>
              <m:r>
                <w:rPr>
                  <w:rFonts w:ascii="Cambria Math" w:hAnsi="Cambria Math"/>
                  <w:lang w:val="es-SV"/>
                </w:rPr>
                <m:t>t=1</m:t>
              </m:r>
            </m:sub>
            <m:sup>
              <m:r>
                <w:rPr>
                  <w:rFonts w:ascii="Cambria Math" w:hAnsi="Cambria Math"/>
                  <w:lang w:val="es-SV"/>
                </w:rPr>
                <m:t>n</m:t>
              </m:r>
            </m:sup>
            <m:e>
              <m:f>
                <m:fPr>
                  <m:ctrlPr>
                    <w:rPr>
                      <w:rFonts w:ascii="Cambria Math" w:hAnsi="Cambria Math"/>
                      <w:lang w:val="es-SV"/>
                    </w:rPr>
                  </m:ctrlPr>
                </m:fPr>
                <m:num>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t</m:t>
                      </m:r>
                    </m:sub>
                  </m:sSub>
                </m:num>
                <m:den>
                  <m:sSup>
                    <m:sSupPr>
                      <m:ctrlPr>
                        <w:rPr>
                          <w:rFonts w:ascii="Cambria Math" w:hAnsi="Cambria Math"/>
                          <w:i/>
                          <w:lang w:val="es-SV"/>
                        </w:rPr>
                      </m:ctrlPr>
                    </m:sSupPr>
                    <m:e>
                      <m:r>
                        <w:rPr>
                          <w:rFonts w:ascii="Cambria Math" w:hAnsi="Cambria Math"/>
                          <w:lang w:val="es-SV"/>
                        </w:rPr>
                        <m:t>(1+k)</m:t>
                      </m:r>
                    </m:e>
                    <m:sup>
                      <m:r>
                        <w:rPr>
                          <w:rFonts w:ascii="Cambria Math" w:hAnsi="Cambria Math"/>
                          <w:lang w:val="es-SV"/>
                        </w:rPr>
                        <m:t>t</m:t>
                      </m:r>
                    </m:sup>
                  </m:sSup>
                </m:den>
              </m:f>
            </m:e>
          </m:nary>
          <m:r>
            <w:rPr>
              <w:rFonts w:ascii="Cambria Math" w:hAnsi="Cambria Math"/>
              <w:lang w:val="es-SV"/>
            </w:rPr>
            <m:t>-</m:t>
          </m:r>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0</m:t>
              </m:r>
            </m:sub>
          </m:sSub>
        </m:oMath>
      </m:oMathPara>
    </w:p>
    <w:p w:rsidR="002D4613" w:rsidRPr="001E0A0A" w:rsidRDefault="002D4613" w:rsidP="00643808">
      <w:pPr>
        <w:jc w:val="both"/>
        <w:rPr>
          <w:lang w:val="es-SV"/>
        </w:rPr>
      </w:pPr>
      <w:r w:rsidRPr="001E0A0A">
        <w:rPr>
          <w:lang w:val="es-SV"/>
        </w:rPr>
        <w:t>Criterios de decisión</w:t>
      </w:r>
    </w:p>
    <w:p w:rsidR="002D4613" w:rsidRPr="001E0A0A" w:rsidRDefault="002D4613" w:rsidP="00643808">
      <w:pPr>
        <w:jc w:val="both"/>
        <w:rPr>
          <w:lang w:val="es-SV"/>
        </w:rPr>
      </w:pPr>
      <w:r w:rsidRPr="001E0A0A">
        <w:rPr>
          <w:lang w:val="es-SV"/>
        </w:rPr>
        <w:t>Cuando el VPN se usa para tomar decisiones de aceptar o rechazar, los criterios de decisión son los siguientes:</w:t>
      </w:r>
    </w:p>
    <w:p w:rsidR="002D4613" w:rsidRPr="001E0A0A" w:rsidRDefault="002D4613" w:rsidP="00643808">
      <w:pPr>
        <w:pStyle w:val="Prrafodelista"/>
        <w:numPr>
          <w:ilvl w:val="0"/>
          <w:numId w:val="1"/>
        </w:numPr>
        <w:jc w:val="both"/>
        <w:rPr>
          <w:lang w:val="es-SV"/>
        </w:rPr>
      </w:pPr>
      <w:r w:rsidRPr="001E0A0A">
        <w:rPr>
          <w:lang w:val="es-SV"/>
        </w:rPr>
        <w:t>Si el VPN es mayor que 0 dólares, aceptar el proyecto.</w:t>
      </w:r>
    </w:p>
    <w:p w:rsidR="002D4613" w:rsidRPr="001E0A0A" w:rsidRDefault="002D4613" w:rsidP="00643808">
      <w:pPr>
        <w:pStyle w:val="Prrafodelista"/>
        <w:numPr>
          <w:ilvl w:val="0"/>
          <w:numId w:val="1"/>
        </w:numPr>
        <w:jc w:val="both"/>
        <w:rPr>
          <w:lang w:val="es-SV"/>
        </w:rPr>
      </w:pPr>
      <w:r w:rsidRPr="001E0A0A">
        <w:rPr>
          <w:lang w:val="es-SV"/>
        </w:rPr>
        <w:t>Si el VPN es menor que 0 dólares, rechazar el proyecto.</w:t>
      </w:r>
    </w:p>
    <w:p w:rsidR="002D4613" w:rsidRPr="001E0A0A" w:rsidRDefault="002D4613" w:rsidP="00643808">
      <w:pPr>
        <w:jc w:val="both"/>
        <w:rPr>
          <w:lang w:val="es-SV"/>
        </w:rPr>
      </w:pPr>
      <w:r w:rsidRPr="001E0A0A">
        <w:rPr>
          <w:lang w:val="es-SV"/>
        </w:rPr>
        <w:t>Si el VPN es mayor que 0 dólares, la empresa ganará un rendimiento mayor que su costo de capital. Esta acción debe aumentar el valor de mercado de la empresa y, por lo tanto, la riqueza de sus propietarios en un monto igual al VPN.</w:t>
      </w:r>
    </w:p>
    <w:p w:rsidR="00433DAB" w:rsidRPr="001E0A0A" w:rsidRDefault="00433DAB" w:rsidP="00643808">
      <w:pPr>
        <w:jc w:val="both"/>
        <w:rPr>
          <w:color w:val="FF0000"/>
          <w:lang w:val="es-SV"/>
        </w:rPr>
      </w:pPr>
      <w:r w:rsidRPr="001E0A0A">
        <w:rPr>
          <w:color w:val="FF0000"/>
          <w:lang w:val="es-SV"/>
        </w:rPr>
        <w:t>Página 357 y 358</w:t>
      </w:r>
    </w:p>
    <w:p w:rsidR="002D4613" w:rsidRPr="00433DAB" w:rsidRDefault="002D4613" w:rsidP="00643808">
      <w:pPr>
        <w:jc w:val="both"/>
        <w:rPr>
          <w:b/>
          <w:lang w:val="es-SV"/>
        </w:rPr>
      </w:pPr>
      <w:r w:rsidRPr="00433DAB">
        <w:rPr>
          <w:b/>
          <w:lang w:val="es-SV"/>
        </w:rPr>
        <w:t>Tasa interna de retorno (TIR)</w:t>
      </w:r>
    </w:p>
    <w:p w:rsidR="002D4613" w:rsidRPr="001E0A0A" w:rsidRDefault="002D4613" w:rsidP="00643808">
      <w:pPr>
        <w:jc w:val="both"/>
        <w:rPr>
          <w:lang w:val="es-SV"/>
        </w:rPr>
      </w:pPr>
      <w:r w:rsidRPr="001E0A0A">
        <w:rPr>
          <w:lang w:val="es-SV"/>
        </w:rPr>
        <w:t>Técnica compleja del presupuesto de capital; tasa de descuento que iguala el VPN de una oportunidad de inversión a 0 dólares (debido a que el valor presente de las entradas de efectivo es igual a la inversión inicial); es la tasa de rendimiento anual compuesta que la empresa ganará si invierte en el proyecto y recibe las entradas de efectivo esperadas</w:t>
      </w:r>
      <w:r w:rsidR="00433DAB" w:rsidRPr="001E0A0A">
        <w:rPr>
          <w:lang w:val="es-SV"/>
        </w:rPr>
        <w:t>.</w:t>
      </w:r>
    </w:p>
    <w:p w:rsidR="00433DAB" w:rsidRPr="001E0A0A" w:rsidRDefault="00433DAB" w:rsidP="001E0A0A">
      <w:pPr>
        <w:tabs>
          <w:tab w:val="right" w:pos="9360"/>
        </w:tabs>
        <w:jc w:val="both"/>
        <w:rPr>
          <w:lang w:val="es-SV"/>
        </w:rPr>
      </w:pPr>
      <w:r w:rsidRPr="001E0A0A">
        <w:rPr>
          <w:lang w:val="es-SV"/>
        </w:rPr>
        <w:t>Matemáticamente, la TIR es el valor de k en la ecuación, que hace que el VPN sea igual a 0 dólares.</w:t>
      </w:r>
      <w:r w:rsidR="001E0A0A" w:rsidRPr="001E0A0A">
        <w:rPr>
          <w:lang w:val="es-SV"/>
        </w:rPr>
        <w:tab/>
      </w:r>
    </w:p>
    <w:p w:rsidR="00433DAB" w:rsidRPr="00433DAB" w:rsidRDefault="00433DAB" w:rsidP="00643808">
      <w:pPr>
        <w:jc w:val="both"/>
        <w:rPr>
          <w:color w:val="FF0000"/>
          <w:lang w:val="es-SV"/>
        </w:rPr>
      </w:pPr>
      <w:r w:rsidRPr="00433DAB">
        <w:rPr>
          <w:color w:val="FF0000"/>
          <w:lang w:val="es-SV"/>
        </w:rPr>
        <w:t xml:space="preserve"> </w:t>
      </w:r>
    </w:p>
    <w:p w:rsidR="00433DAB" w:rsidRPr="00433DAB" w:rsidRDefault="00433DAB" w:rsidP="00643808">
      <w:pPr>
        <w:jc w:val="both"/>
        <w:rPr>
          <w:color w:val="FF0000"/>
          <w:lang w:val="es-SV"/>
        </w:rPr>
      </w:pPr>
    </w:p>
    <w:p w:rsidR="002D4613" w:rsidRPr="002D4613" w:rsidRDefault="00433DAB" w:rsidP="00643808">
      <w:pPr>
        <w:jc w:val="both"/>
        <w:rPr>
          <w:color w:val="FF0000"/>
          <w:lang w:val="es-SV"/>
        </w:rPr>
      </w:pPr>
      <m:oMathPara>
        <m:oMath>
          <m:r>
            <m:rPr>
              <m:sty m:val="p"/>
            </m:rPr>
            <w:rPr>
              <w:rFonts w:ascii="Cambria Math" w:hAnsi="Cambria Math"/>
              <w:lang w:val="es-SV"/>
            </w:rPr>
            <m:t>$0</m:t>
          </m:r>
          <m:r>
            <w:rPr>
              <w:rFonts w:ascii="Cambria Math" w:hAnsi="Cambria Math"/>
              <w:lang w:val="es-SV"/>
            </w:rPr>
            <m:t>=</m:t>
          </m:r>
          <m:nary>
            <m:naryPr>
              <m:chr m:val="∑"/>
              <m:limLoc m:val="undOvr"/>
              <m:ctrlPr>
                <w:rPr>
                  <w:rFonts w:ascii="Cambria Math" w:hAnsi="Cambria Math"/>
                  <w:i/>
                  <w:lang w:val="es-SV"/>
                </w:rPr>
              </m:ctrlPr>
            </m:naryPr>
            <m:sub>
              <m:r>
                <w:rPr>
                  <w:rFonts w:ascii="Cambria Math" w:hAnsi="Cambria Math"/>
                  <w:lang w:val="es-SV"/>
                </w:rPr>
                <m:t>t=1</m:t>
              </m:r>
            </m:sub>
            <m:sup>
              <m:r>
                <w:rPr>
                  <w:rFonts w:ascii="Cambria Math" w:hAnsi="Cambria Math"/>
                  <w:lang w:val="es-SV"/>
                </w:rPr>
                <m:t>n</m:t>
              </m:r>
            </m:sup>
            <m:e>
              <m:f>
                <m:fPr>
                  <m:ctrlPr>
                    <w:rPr>
                      <w:rFonts w:ascii="Cambria Math" w:hAnsi="Cambria Math"/>
                      <w:lang w:val="es-SV"/>
                    </w:rPr>
                  </m:ctrlPr>
                </m:fPr>
                <m:num>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t</m:t>
                      </m:r>
                    </m:sub>
                  </m:sSub>
                </m:num>
                <m:den>
                  <m:sSup>
                    <m:sSupPr>
                      <m:ctrlPr>
                        <w:rPr>
                          <w:rFonts w:ascii="Cambria Math" w:hAnsi="Cambria Math"/>
                          <w:i/>
                          <w:lang w:val="es-SV"/>
                        </w:rPr>
                      </m:ctrlPr>
                    </m:sSupPr>
                    <m:e>
                      <m:r>
                        <w:rPr>
                          <w:rFonts w:ascii="Cambria Math" w:hAnsi="Cambria Math"/>
                          <w:lang w:val="es-SV"/>
                        </w:rPr>
                        <m:t>(1+k)</m:t>
                      </m:r>
                    </m:e>
                    <m:sup>
                      <m:r>
                        <w:rPr>
                          <w:rFonts w:ascii="Cambria Math" w:hAnsi="Cambria Math"/>
                          <w:lang w:val="es-SV"/>
                        </w:rPr>
                        <m:t>t</m:t>
                      </m:r>
                    </m:sup>
                  </m:sSup>
                </m:den>
              </m:f>
            </m:e>
          </m:nary>
          <m:r>
            <w:rPr>
              <w:rFonts w:ascii="Cambria Math" w:hAnsi="Cambria Math"/>
              <w:lang w:val="es-SV"/>
            </w:rPr>
            <m:t>-</m:t>
          </m:r>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0</m:t>
              </m:r>
            </m:sub>
          </m:sSub>
        </m:oMath>
      </m:oMathPara>
    </w:p>
    <w:p w:rsidR="00433DAB" w:rsidRDefault="00D519C4" w:rsidP="00643808">
      <w:pPr>
        <w:jc w:val="both"/>
        <w:rPr>
          <w:lang w:val="es-SV"/>
        </w:rPr>
      </w:pPr>
      <m:oMathPara>
        <m:oMath>
          <m:nary>
            <m:naryPr>
              <m:chr m:val="∑"/>
              <m:limLoc m:val="undOvr"/>
              <m:ctrlPr>
                <w:rPr>
                  <w:rFonts w:ascii="Cambria Math" w:hAnsi="Cambria Math"/>
                  <w:i/>
                  <w:lang w:val="es-SV"/>
                </w:rPr>
              </m:ctrlPr>
            </m:naryPr>
            <m:sub>
              <m:r>
                <w:rPr>
                  <w:rFonts w:ascii="Cambria Math" w:hAnsi="Cambria Math"/>
                  <w:lang w:val="es-SV"/>
                </w:rPr>
                <m:t>t=1</m:t>
              </m:r>
            </m:sub>
            <m:sup>
              <m:r>
                <w:rPr>
                  <w:rFonts w:ascii="Cambria Math" w:hAnsi="Cambria Math"/>
                  <w:lang w:val="es-SV"/>
                </w:rPr>
                <m:t>n</m:t>
              </m:r>
            </m:sup>
            <m:e>
              <m:f>
                <m:fPr>
                  <m:ctrlPr>
                    <w:rPr>
                      <w:rFonts w:ascii="Cambria Math" w:hAnsi="Cambria Math"/>
                      <w:lang w:val="es-SV"/>
                    </w:rPr>
                  </m:ctrlPr>
                </m:fPr>
                <m:num>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t</m:t>
                      </m:r>
                    </m:sub>
                  </m:sSub>
                </m:num>
                <m:den>
                  <m:sSup>
                    <m:sSupPr>
                      <m:ctrlPr>
                        <w:rPr>
                          <w:rFonts w:ascii="Cambria Math" w:hAnsi="Cambria Math"/>
                          <w:i/>
                          <w:lang w:val="es-SV"/>
                        </w:rPr>
                      </m:ctrlPr>
                    </m:sSupPr>
                    <m:e>
                      <m:r>
                        <w:rPr>
                          <w:rFonts w:ascii="Cambria Math" w:hAnsi="Cambria Math"/>
                          <w:lang w:val="es-SV"/>
                        </w:rPr>
                        <m:t>(1+k)</m:t>
                      </m:r>
                    </m:e>
                    <m:sup>
                      <m:r>
                        <w:rPr>
                          <w:rFonts w:ascii="Cambria Math" w:hAnsi="Cambria Math"/>
                          <w:lang w:val="es-SV"/>
                        </w:rPr>
                        <m:t>t</m:t>
                      </m:r>
                    </m:sup>
                  </m:sSup>
                </m:den>
              </m:f>
            </m:e>
          </m:nary>
          <m:r>
            <w:rPr>
              <w:rFonts w:ascii="Cambria Math" w:hAnsi="Cambria Math"/>
              <w:lang w:val="es-SV"/>
            </w:rPr>
            <m:t>=</m:t>
          </m:r>
          <m:sSub>
            <m:sSubPr>
              <m:ctrlPr>
                <w:rPr>
                  <w:rFonts w:ascii="Cambria Math" w:hAnsi="Cambria Math"/>
                  <w:i/>
                  <w:lang w:val="es-SV"/>
                </w:rPr>
              </m:ctrlPr>
            </m:sSubPr>
            <m:e>
              <m:r>
                <w:rPr>
                  <w:rFonts w:ascii="Cambria Math" w:hAnsi="Cambria Math"/>
                  <w:lang w:val="es-SV"/>
                </w:rPr>
                <m:t>CF</m:t>
              </m:r>
            </m:e>
            <m:sub>
              <m:r>
                <w:rPr>
                  <w:rFonts w:ascii="Cambria Math" w:hAnsi="Cambria Math"/>
                  <w:lang w:val="es-SV"/>
                </w:rPr>
                <m:t>0</m:t>
              </m:r>
            </m:sub>
          </m:sSub>
        </m:oMath>
      </m:oMathPara>
    </w:p>
    <w:p w:rsidR="00433DAB" w:rsidRPr="00433DAB" w:rsidRDefault="00433DAB" w:rsidP="00643808">
      <w:pPr>
        <w:jc w:val="both"/>
        <w:rPr>
          <w:color w:val="FF0000"/>
          <w:lang w:val="es-SV"/>
        </w:rPr>
      </w:pPr>
    </w:p>
    <w:p w:rsidR="00E62B7E" w:rsidRPr="001E0A0A" w:rsidRDefault="00433DAB" w:rsidP="00643808">
      <w:pPr>
        <w:jc w:val="both"/>
        <w:rPr>
          <w:lang w:val="es-SV"/>
        </w:rPr>
      </w:pPr>
      <w:r w:rsidRPr="001E0A0A">
        <w:rPr>
          <w:lang w:val="es-SV"/>
        </w:rPr>
        <w:t>Criterios de decisión</w:t>
      </w:r>
    </w:p>
    <w:p w:rsidR="00433DAB" w:rsidRPr="001E0A0A" w:rsidRDefault="00433DAB" w:rsidP="00643808">
      <w:pPr>
        <w:jc w:val="both"/>
        <w:rPr>
          <w:lang w:val="es-SV"/>
        </w:rPr>
      </w:pPr>
      <w:r w:rsidRPr="001E0A0A">
        <w:rPr>
          <w:lang w:val="es-SV"/>
        </w:rPr>
        <w:t>Cuando la TIR se usa para tomar las decisiones de aceptar o rechazar, los criterios de decisión son los siguientes:</w:t>
      </w:r>
    </w:p>
    <w:p w:rsidR="00433DAB" w:rsidRPr="001E0A0A" w:rsidRDefault="00433DAB" w:rsidP="00643808">
      <w:pPr>
        <w:pStyle w:val="Prrafodelista"/>
        <w:numPr>
          <w:ilvl w:val="0"/>
          <w:numId w:val="2"/>
        </w:numPr>
        <w:jc w:val="both"/>
        <w:rPr>
          <w:lang w:val="es-SV"/>
        </w:rPr>
      </w:pPr>
      <w:r w:rsidRPr="001E0A0A">
        <w:rPr>
          <w:lang w:val="es-SV"/>
        </w:rPr>
        <w:t>Si la TIR es mayor que el costo de capital, aceptar el proyecto.</w:t>
      </w:r>
    </w:p>
    <w:p w:rsidR="00433DAB" w:rsidRPr="001E0A0A" w:rsidRDefault="00433DAB" w:rsidP="00643808">
      <w:pPr>
        <w:pStyle w:val="Prrafodelista"/>
        <w:numPr>
          <w:ilvl w:val="0"/>
          <w:numId w:val="2"/>
        </w:numPr>
        <w:jc w:val="both"/>
        <w:rPr>
          <w:lang w:val="es-SV"/>
        </w:rPr>
      </w:pPr>
      <w:r w:rsidRPr="001E0A0A">
        <w:rPr>
          <w:lang w:val="es-SV"/>
        </w:rPr>
        <w:t>Si la TIR es menor que el costo de capital, rechazar el proyecto.</w:t>
      </w:r>
    </w:p>
    <w:p w:rsidR="00433DAB" w:rsidRPr="001E0A0A" w:rsidRDefault="00433DAB" w:rsidP="00643808">
      <w:pPr>
        <w:jc w:val="both"/>
        <w:rPr>
          <w:lang w:val="es-SV"/>
        </w:rPr>
      </w:pPr>
      <w:r w:rsidRPr="001E0A0A">
        <w:rPr>
          <w:lang w:val="es-SV"/>
        </w:rPr>
        <w:t>Estos criterios garantizan que la empresa gane por lo menos su rendimiento requerido. Este resultado debe aumentar el valor de mercado de la empresa y, por lo tanto, la riqueza de sus propietarios.</w:t>
      </w:r>
    </w:p>
    <w:p w:rsidR="00433DAB" w:rsidRPr="001E0A0A" w:rsidRDefault="00433DAB" w:rsidP="00643808">
      <w:pPr>
        <w:jc w:val="both"/>
        <w:rPr>
          <w:color w:val="FF0000"/>
          <w:lang w:val="es-SV"/>
        </w:rPr>
      </w:pPr>
      <w:r w:rsidRPr="001E0A0A">
        <w:rPr>
          <w:color w:val="FF0000"/>
          <w:lang w:val="es-SV"/>
        </w:rPr>
        <w:t>Página 359 y 360</w:t>
      </w:r>
    </w:p>
    <w:p w:rsidR="00433DAB" w:rsidRPr="00433DAB" w:rsidRDefault="00433DAB" w:rsidP="00643808">
      <w:pPr>
        <w:spacing w:after="0"/>
        <w:jc w:val="both"/>
        <w:rPr>
          <w:color w:val="943634" w:themeColor="accent2" w:themeShade="BF"/>
          <w:lang w:val="es-SV"/>
        </w:rPr>
      </w:pPr>
      <w:r w:rsidRPr="00433DAB">
        <w:rPr>
          <w:color w:val="943634" w:themeColor="accent2" w:themeShade="BF"/>
          <w:lang w:val="es-SV"/>
        </w:rPr>
        <w:t>Principios de Administración Financiera</w:t>
      </w:r>
    </w:p>
    <w:p w:rsidR="00433DAB" w:rsidRPr="00433DAB" w:rsidRDefault="00433DAB" w:rsidP="00643808">
      <w:pPr>
        <w:spacing w:after="0"/>
        <w:jc w:val="both"/>
        <w:rPr>
          <w:color w:val="943634" w:themeColor="accent2" w:themeShade="BF"/>
          <w:lang w:val="es-SV"/>
        </w:rPr>
      </w:pPr>
      <w:r w:rsidRPr="00433DAB">
        <w:rPr>
          <w:color w:val="943634" w:themeColor="accent2" w:themeShade="BF"/>
          <w:lang w:val="es-SV"/>
        </w:rPr>
        <w:t>Decimoprimera edición</w:t>
      </w:r>
    </w:p>
    <w:p w:rsidR="00433DAB" w:rsidRPr="00433DAB" w:rsidRDefault="00433DAB" w:rsidP="00643808">
      <w:pPr>
        <w:spacing w:after="0"/>
        <w:jc w:val="both"/>
        <w:rPr>
          <w:color w:val="943634" w:themeColor="accent2" w:themeShade="BF"/>
          <w:lang w:val="es-SV"/>
        </w:rPr>
      </w:pPr>
      <w:proofErr w:type="spellStart"/>
      <w:r w:rsidRPr="00433DAB">
        <w:rPr>
          <w:color w:val="943634" w:themeColor="accent2" w:themeShade="BF"/>
          <w:lang w:val="es-SV"/>
        </w:rPr>
        <w:t>Gitman</w:t>
      </w:r>
      <w:proofErr w:type="spellEnd"/>
      <w:r w:rsidRPr="00433DAB">
        <w:rPr>
          <w:color w:val="943634" w:themeColor="accent2" w:themeShade="BF"/>
          <w:lang w:val="es-SV"/>
        </w:rPr>
        <w:t>, Lawrence J.</w:t>
      </w:r>
    </w:p>
    <w:p w:rsidR="00433DAB" w:rsidRDefault="00433DAB" w:rsidP="00643808">
      <w:pPr>
        <w:spacing w:after="0"/>
        <w:jc w:val="both"/>
        <w:rPr>
          <w:color w:val="943634" w:themeColor="accent2" w:themeShade="BF"/>
          <w:lang w:val="es-SV"/>
        </w:rPr>
      </w:pPr>
      <w:r w:rsidRPr="00433DAB">
        <w:rPr>
          <w:color w:val="943634" w:themeColor="accent2" w:themeShade="BF"/>
          <w:lang w:val="es-SV"/>
        </w:rPr>
        <w:t>Editorial Pearson</w:t>
      </w:r>
    </w:p>
    <w:p w:rsidR="00060DCD" w:rsidRDefault="00060DCD" w:rsidP="00643808">
      <w:pPr>
        <w:spacing w:after="0"/>
        <w:jc w:val="both"/>
        <w:rPr>
          <w:color w:val="943634" w:themeColor="accent2" w:themeShade="BF"/>
          <w:lang w:val="es-SV"/>
        </w:rPr>
      </w:pPr>
    </w:p>
    <w:p w:rsidR="00756724" w:rsidRPr="00756724" w:rsidRDefault="00756724" w:rsidP="00756724">
      <w:pPr>
        <w:jc w:val="both"/>
        <w:rPr>
          <w:rFonts w:ascii="Times New Roman" w:hAnsi="Times New Roman" w:cs="Times New Roman"/>
          <w:b/>
          <w:sz w:val="24"/>
          <w:szCs w:val="24"/>
          <w:lang w:val="es-ES"/>
        </w:rPr>
      </w:pPr>
      <w:r w:rsidRPr="00756724">
        <w:rPr>
          <w:rFonts w:ascii="Times New Roman" w:hAnsi="Times New Roman" w:cs="Times New Roman"/>
          <w:b/>
          <w:sz w:val="24"/>
          <w:szCs w:val="24"/>
          <w:lang w:val="es-ES"/>
        </w:rPr>
        <w:t>Viabilidad de la investigación</w:t>
      </w:r>
    </w:p>
    <w:p w:rsidR="00756724" w:rsidRPr="002F256F" w:rsidRDefault="00756724" w:rsidP="00756724">
      <w:pPr>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Es necesario considerar otro aspecto importante del planteamiento del problema: la viabilidad  o factibilidad misma del estudio; para ello, debemos tomar  en cuenta la disponibilidad de recursos financieros, humanos y materiales que determinaran, en última instancia, los alcances de la investigación (Rojas, 2002). Viabilidad de la investigación: Factibilidad de la realización de un estudio en cuanto a los recursos disponibles</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Página 52</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 xml:space="preserve">Metodología de la Investigación </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Cuarta Edición</w:t>
      </w:r>
    </w:p>
    <w:p w:rsidR="00756724" w:rsidRPr="002F256F" w:rsidRDefault="00756724" w:rsidP="00756724">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 xml:space="preserve">Roberto Hernández </w:t>
      </w:r>
      <w:proofErr w:type="spellStart"/>
      <w:r w:rsidRPr="002F256F">
        <w:rPr>
          <w:rFonts w:ascii="Times New Roman" w:hAnsi="Times New Roman" w:cs="Times New Roman"/>
          <w:sz w:val="24"/>
          <w:szCs w:val="24"/>
          <w:lang w:val="es-ES"/>
        </w:rPr>
        <w:t>Sampieri</w:t>
      </w:r>
      <w:proofErr w:type="spellEnd"/>
    </w:p>
    <w:p w:rsidR="00756724" w:rsidRPr="002F256F" w:rsidRDefault="00756724" w:rsidP="00756724">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Carlos Fernández-Collado</w:t>
      </w:r>
    </w:p>
    <w:p w:rsidR="00756724" w:rsidRPr="002F256F" w:rsidRDefault="00756724" w:rsidP="00756724">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Pilar Baptista Lucio</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Editorial McGraw  Hill</w:t>
      </w:r>
    </w:p>
    <w:p w:rsidR="00756724" w:rsidRPr="002F256F" w:rsidRDefault="00D519C4" w:rsidP="00756724">
      <w:pPr>
        <w:autoSpaceDE w:val="0"/>
        <w:autoSpaceDN w:val="0"/>
        <w:adjustRightInd w:val="0"/>
        <w:spacing w:after="0" w:line="24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Mexico</w:t>
      </w:r>
      <w:proofErr w:type="spellEnd"/>
    </w:p>
    <w:p w:rsidR="00756724" w:rsidRPr="002F256F" w:rsidRDefault="00756724" w:rsidP="00756724">
      <w:pPr>
        <w:pBdr>
          <w:bottom w:val="single" w:sz="4" w:space="1" w:color="auto"/>
        </w:pBd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2006</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p>
    <w:p w:rsidR="00756724" w:rsidRPr="002F256F" w:rsidRDefault="00756724" w:rsidP="00756724">
      <w:pPr>
        <w:autoSpaceDE w:val="0"/>
        <w:autoSpaceDN w:val="0"/>
        <w:adjustRightInd w:val="0"/>
        <w:spacing w:after="0" w:line="240" w:lineRule="auto"/>
        <w:jc w:val="both"/>
        <w:rPr>
          <w:rFonts w:ascii="Times New Roman" w:hAnsi="Times New Roman" w:cs="Times New Roman"/>
          <w:b/>
          <w:sz w:val="24"/>
          <w:szCs w:val="24"/>
          <w:shd w:val="clear" w:color="auto" w:fill="FFFFFF"/>
          <w:lang w:val="es-ES"/>
        </w:rPr>
      </w:pPr>
      <w:r w:rsidRPr="002F256F">
        <w:rPr>
          <w:rFonts w:ascii="Times New Roman" w:hAnsi="Times New Roman" w:cs="Times New Roman"/>
          <w:b/>
          <w:sz w:val="24"/>
          <w:szCs w:val="24"/>
          <w:shd w:val="clear" w:color="auto" w:fill="FFFFFF"/>
          <w:lang w:val="es-ES"/>
        </w:rPr>
        <w:t>Factibilidad</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shd w:val="clear" w:color="auto" w:fill="FFFFFF"/>
          <w:lang w:val="es-ES"/>
        </w:rPr>
      </w:pPr>
      <w:r w:rsidRPr="002F256F">
        <w:rPr>
          <w:rFonts w:ascii="Times New Roman" w:hAnsi="Times New Roman" w:cs="Times New Roman"/>
          <w:sz w:val="24"/>
          <w:szCs w:val="24"/>
          <w:shd w:val="clear" w:color="auto" w:fill="FFFFFF"/>
          <w:lang w:val="es-ES"/>
        </w:rPr>
        <w:t xml:space="preserve">Según Varela, “se entiende por Factibilidad las posibilidades que tiene de lograrse un determinado proyecto”. El estudio de factibilidad es el análisis que realiza una empresa para determinar si el negocio que se propone será bueno o malo, y cuáles serán las estrategias que se deben desarrollar para que sea exitoso. </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br/>
      </w:r>
      <w:r w:rsidRPr="002F256F">
        <w:rPr>
          <w:rFonts w:ascii="Times New Roman" w:hAnsi="Times New Roman" w:cs="Times New Roman"/>
          <w:sz w:val="24"/>
          <w:szCs w:val="24"/>
          <w:shd w:val="clear" w:color="auto" w:fill="FFFFFF"/>
          <w:lang w:val="es-ES"/>
        </w:rPr>
        <w:t>Según el Diccionario de la Real Academia Española, la Factibilidad es la “cualidad o condición de factible”. Factible: “que se puede hacer”.</w:t>
      </w:r>
    </w:p>
    <w:p w:rsidR="00756724" w:rsidRPr="002F256F" w:rsidRDefault="00756724" w:rsidP="00756724">
      <w:pPr>
        <w:autoSpaceDE w:val="0"/>
        <w:autoSpaceDN w:val="0"/>
        <w:adjustRightInd w:val="0"/>
        <w:spacing w:after="0" w:line="240" w:lineRule="auto"/>
        <w:jc w:val="both"/>
        <w:rPr>
          <w:rFonts w:ascii="Times New Roman" w:hAnsi="Times New Roman" w:cs="Times New Roman"/>
          <w:sz w:val="24"/>
          <w:szCs w:val="24"/>
          <w:lang w:val="es-ES"/>
        </w:rPr>
      </w:pPr>
    </w:p>
    <w:p w:rsidR="00756724" w:rsidRPr="00483B5C"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2F256F">
        <w:rPr>
          <w:rFonts w:ascii="Times New Roman" w:eastAsia="Times New Roman" w:hAnsi="Times New Roman" w:cs="Times New Roman"/>
          <w:b/>
          <w:bCs/>
          <w:sz w:val="24"/>
          <w:szCs w:val="24"/>
          <w:lang w:val="es-ES"/>
        </w:rPr>
        <w:t>Factibilidad. Aspectos básicos.</w:t>
      </w:r>
    </w:p>
    <w:p w:rsidR="00756724" w:rsidRPr="002F256F" w:rsidRDefault="00756724" w:rsidP="00756724">
      <w:pPr>
        <w:shd w:val="clear" w:color="auto" w:fill="FFFFFF"/>
        <w:spacing w:after="0" w:line="240" w:lineRule="auto"/>
        <w:jc w:val="both"/>
        <w:rPr>
          <w:rFonts w:ascii="Times New Roman" w:eastAsia="Times New Roman" w:hAnsi="Times New Roman" w:cs="Times New Roman"/>
          <w:b/>
          <w:bCs/>
          <w:sz w:val="24"/>
          <w:szCs w:val="24"/>
          <w:lang w:val="es-ES"/>
        </w:rPr>
      </w:pPr>
      <w:r w:rsidRPr="00483B5C">
        <w:rPr>
          <w:rFonts w:ascii="Times New Roman" w:eastAsia="Times New Roman" w:hAnsi="Times New Roman" w:cs="Times New Roman"/>
          <w:sz w:val="24"/>
          <w:szCs w:val="24"/>
          <w:lang w:val="es-ES"/>
        </w:rPr>
        <w:br/>
      </w:r>
      <w:r w:rsidRPr="002F256F">
        <w:rPr>
          <w:rFonts w:ascii="Times New Roman" w:eastAsia="Times New Roman" w:hAnsi="Times New Roman" w:cs="Times New Roman"/>
          <w:b/>
          <w:bCs/>
          <w:sz w:val="24"/>
          <w:szCs w:val="24"/>
          <w:lang w:val="es-ES"/>
        </w:rPr>
        <w:t>Factibilidad Operacional.</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b/>
          <w:bCs/>
          <w:sz w:val="24"/>
          <w:szCs w:val="24"/>
          <w:lang w:val="es-ES"/>
        </w:rPr>
        <w:br/>
      </w:r>
      <w:r w:rsidRPr="00483B5C">
        <w:rPr>
          <w:rFonts w:ascii="Times New Roman" w:eastAsia="Times New Roman" w:hAnsi="Times New Roman" w:cs="Times New Roman"/>
          <w:sz w:val="24"/>
          <w:szCs w:val="24"/>
          <w:lang w:val="es-ES"/>
        </w:rPr>
        <w:t>Comprende una determinación de posibilidad que un nuevo sistema se use como se supone. Se deben considerar cuatro aspectos:</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La utilización de un nuevo sistema puede ser demasiado complejo para los usuarios de la organización o los operadores del sistema.</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Este nuevo sistema puede hacer que los usuarios se resistan a él como consecuencia de una técnica de trabajo, miedo a ser desplazado u otras razones.</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Un sistema nuevo puede introducir cambios demasiado rápidos que no permita al personal adaptarse a él y aceptarlo.</w:t>
      </w:r>
    </w:p>
    <w:p w:rsidR="00756724" w:rsidRPr="002F256F" w:rsidRDefault="00756724" w:rsidP="00756724">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La probabilidad de obsolescencia en el sistema. Cambios anticipados en la práctica o políticas administrativas pueden hacerse que un nuevo sistema sea obsoleto muy pronto.</w:t>
      </w:r>
    </w:p>
    <w:p w:rsidR="00144CA9" w:rsidRPr="00756724" w:rsidRDefault="00144CA9" w:rsidP="00643808">
      <w:pPr>
        <w:spacing w:after="0"/>
        <w:jc w:val="both"/>
        <w:rPr>
          <w:lang w:val="es-ES"/>
        </w:rPr>
      </w:pPr>
    </w:p>
    <w:p w:rsidR="00144CA9" w:rsidRPr="00C458EF" w:rsidRDefault="00144CA9" w:rsidP="00643808">
      <w:pPr>
        <w:spacing w:after="0"/>
        <w:jc w:val="both"/>
        <w:rPr>
          <w:lang w:val="es-SV"/>
        </w:rPr>
      </w:pPr>
    </w:p>
    <w:p w:rsidR="001741BD" w:rsidRDefault="001741BD" w:rsidP="00643808">
      <w:pPr>
        <w:spacing w:after="0"/>
        <w:jc w:val="both"/>
        <w:rPr>
          <w:color w:val="943634" w:themeColor="accent2" w:themeShade="BF"/>
          <w:lang w:val="es-SV"/>
        </w:rPr>
      </w:pPr>
    </w:p>
    <w:p w:rsidR="001741BD" w:rsidRDefault="001741BD" w:rsidP="00643808">
      <w:pPr>
        <w:spacing w:after="0"/>
        <w:jc w:val="both"/>
        <w:rPr>
          <w:color w:val="943634" w:themeColor="accent2" w:themeShade="BF"/>
          <w:lang w:val="es-SV"/>
        </w:rPr>
      </w:pPr>
    </w:p>
    <w:p w:rsidR="001F1A55" w:rsidRPr="002F256F" w:rsidRDefault="001F1A55" w:rsidP="001F1A55">
      <w:pPr>
        <w:shd w:val="clear" w:color="auto" w:fill="FFFFFF"/>
        <w:spacing w:after="0" w:line="240" w:lineRule="auto"/>
        <w:jc w:val="both"/>
        <w:rPr>
          <w:rFonts w:ascii="Times New Roman" w:eastAsia="Times New Roman" w:hAnsi="Times New Roman" w:cs="Times New Roman"/>
          <w:b/>
          <w:bCs/>
          <w:sz w:val="24"/>
          <w:szCs w:val="24"/>
          <w:lang w:val="es-ES"/>
        </w:rPr>
      </w:pPr>
      <w:r w:rsidRPr="002F256F">
        <w:rPr>
          <w:rFonts w:ascii="Times New Roman" w:eastAsia="Times New Roman" w:hAnsi="Times New Roman" w:cs="Times New Roman"/>
          <w:b/>
          <w:bCs/>
          <w:sz w:val="24"/>
          <w:szCs w:val="24"/>
          <w:lang w:val="es-ES"/>
        </w:rPr>
        <w:t>Factibilidad Técnica.</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b/>
          <w:bCs/>
          <w:sz w:val="24"/>
          <w:szCs w:val="24"/>
          <w:lang w:val="es-ES"/>
        </w:rPr>
        <w:br/>
      </w:r>
      <w:r w:rsidRPr="00483B5C">
        <w:rPr>
          <w:rFonts w:ascii="Times New Roman" w:eastAsia="Times New Roman" w:hAnsi="Times New Roman" w:cs="Times New Roman"/>
          <w:sz w:val="24"/>
          <w:szCs w:val="24"/>
          <w:lang w:val="es-ES"/>
        </w:rPr>
        <w:t xml:space="preserve">Permite evaluar si el equipo y software están disponibles y tienen las capacidades técnicas requeridas por cada alternativa del diseño que se esté planificando, también se consideran las </w:t>
      </w:r>
      <w:r w:rsidR="00D519C4" w:rsidRPr="00483B5C">
        <w:rPr>
          <w:rFonts w:ascii="Times New Roman" w:eastAsia="Times New Roman" w:hAnsi="Times New Roman" w:cs="Times New Roman"/>
          <w:sz w:val="24"/>
          <w:szCs w:val="24"/>
          <w:lang w:val="es-ES"/>
        </w:rPr>
        <w:t>interfaces</w:t>
      </w:r>
      <w:r w:rsidRPr="00483B5C">
        <w:rPr>
          <w:rFonts w:ascii="Times New Roman" w:eastAsia="Times New Roman" w:hAnsi="Times New Roman" w:cs="Times New Roman"/>
          <w:sz w:val="24"/>
          <w:szCs w:val="24"/>
          <w:lang w:val="es-ES"/>
        </w:rPr>
        <w:t xml:space="preserve"> entre los sistemas actuales y los nuevos.</w:t>
      </w:r>
    </w:p>
    <w:p w:rsidR="001F1A55" w:rsidRPr="002F256F" w:rsidRDefault="001F1A55" w:rsidP="001F1A55">
      <w:pPr>
        <w:shd w:val="clear" w:color="auto" w:fill="FFFFFF"/>
        <w:spacing w:after="0" w:line="240" w:lineRule="auto"/>
        <w:jc w:val="both"/>
        <w:rPr>
          <w:rFonts w:ascii="Times New Roman" w:eastAsia="Times New Roman" w:hAnsi="Times New Roman" w:cs="Times New Roman"/>
          <w:b/>
          <w:bCs/>
          <w:sz w:val="24"/>
          <w:szCs w:val="24"/>
          <w:lang w:val="es-ES"/>
        </w:rPr>
      </w:pPr>
      <w:r w:rsidRPr="00483B5C">
        <w:rPr>
          <w:rFonts w:ascii="Times New Roman" w:eastAsia="Times New Roman" w:hAnsi="Times New Roman" w:cs="Times New Roman"/>
          <w:sz w:val="24"/>
          <w:szCs w:val="24"/>
          <w:lang w:val="es-ES"/>
        </w:rPr>
        <w:br/>
        <w:t>Así mismo, estos estudios consideran si las organizaciones tienen el personal que posee la experiencia técnica requerida para diseñar, implementar, operar y mantener el sistema propuesto.</w:t>
      </w:r>
      <w:r w:rsidRPr="00483B5C">
        <w:rPr>
          <w:rFonts w:ascii="Times New Roman" w:eastAsia="Times New Roman" w:hAnsi="Times New Roman" w:cs="Times New Roman"/>
          <w:sz w:val="24"/>
          <w:szCs w:val="24"/>
          <w:lang w:val="es-ES"/>
        </w:rPr>
        <w:br/>
      </w:r>
      <w:r w:rsidRPr="00483B5C">
        <w:rPr>
          <w:rFonts w:ascii="Times New Roman" w:eastAsia="Times New Roman" w:hAnsi="Times New Roman" w:cs="Times New Roman"/>
          <w:sz w:val="24"/>
          <w:szCs w:val="24"/>
          <w:lang w:val="es-ES"/>
        </w:rPr>
        <w:br/>
      </w:r>
      <w:r w:rsidRPr="002F256F">
        <w:rPr>
          <w:rFonts w:ascii="Times New Roman" w:eastAsia="Times New Roman" w:hAnsi="Times New Roman" w:cs="Times New Roman"/>
          <w:b/>
          <w:bCs/>
          <w:sz w:val="24"/>
          <w:szCs w:val="24"/>
          <w:lang w:val="es-ES"/>
        </w:rPr>
        <w:t>Factibilidad Económica.</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b/>
          <w:bCs/>
          <w:sz w:val="24"/>
          <w:szCs w:val="24"/>
          <w:lang w:val="es-ES"/>
        </w:rPr>
        <w:br/>
      </w:r>
      <w:r w:rsidRPr="00483B5C">
        <w:rPr>
          <w:rFonts w:ascii="Times New Roman" w:eastAsia="Times New Roman" w:hAnsi="Times New Roman" w:cs="Times New Roman"/>
          <w:sz w:val="24"/>
          <w:szCs w:val="24"/>
          <w:lang w:val="es-ES"/>
        </w:rPr>
        <w:t>Dentro de estos estudios se pueden incluir el análisis de costo y beneficios asociados con cada alternativa del proyecto.</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Con análisis de costo/beneficios, todos los costos y beneficios de adquirir y operar cada sistema alternativo se identifican y se establece una comparación entre ellos. Esto permite seleccionar el más conveniente para la empresa.</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Dentro de esta comparación se debe tomar en cuenta lo siguiente:</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Se comparan los costos esperados de cada alternativa con los beneficios esperados para asegurarse que los beneficios excedan los costos.</w:t>
      </w:r>
    </w:p>
    <w:p w:rsidR="001F1A55" w:rsidRPr="002F256F"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lastRenderedPageBreak/>
        <w:br/>
        <w:t>• La proporción costo/beneficio de cada alternativa se comparan con las que proporcionan los costos/beneficios de las otras alternativas para escoger la mejor.</w:t>
      </w:r>
    </w:p>
    <w:p w:rsidR="001F1A55" w:rsidRPr="00483B5C" w:rsidRDefault="001F1A55" w:rsidP="001F1A55">
      <w:pPr>
        <w:shd w:val="clear" w:color="auto" w:fill="FFFFFF"/>
        <w:spacing w:after="0" w:line="240" w:lineRule="auto"/>
        <w:jc w:val="both"/>
        <w:rPr>
          <w:rFonts w:ascii="Times New Roman" w:eastAsia="Times New Roman" w:hAnsi="Times New Roman" w:cs="Times New Roman"/>
          <w:sz w:val="24"/>
          <w:szCs w:val="24"/>
          <w:lang w:val="es-ES"/>
        </w:rPr>
      </w:pPr>
      <w:r w:rsidRPr="00483B5C">
        <w:rPr>
          <w:rFonts w:ascii="Times New Roman" w:eastAsia="Times New Roman" w:hAnsi="Times New Roman" w:cs="Times New Roman"/>
          <w:sz w:val="24"/>
          <w:szCs w:val="24"/>
          <w:lang w:val="es-ES"/>
        </w:rPr>
        <w:br/>
        <w:t>• Se determinan las formas en que la organización podría gastar su dinero.</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D519C4" w:rsidP="00D519C4">
      <w:pPr>
        <w:pBdr>
          <w:bottom w:val="single" w:sz="4" w:space="1" w:color="auto"/>
        </w:pBdr>
        <w:autoSpaceDE w:val="0"/>
        <w:autoSpaceDN w:val="0"/>
        <w:adjustRightInd w:val="0"/>
        <w:spacing w:after="0" w:line="240" w:lineRule="auto"/>
        <w:jc w:val="both"/>
        <w:rPr>
          <w:rFonts w:ascii="Times New Roman" w:hAnsi="Times New Roman" w:cs="Times New Roman"/>
          <w:sz w:val="24"/>
          <w:szCs w:val="24"/>
          <w:lang w:val="es-ES"/>
        </w:rPr>
      </w:pPr>
      <w:hyperlink r:id="rId7" w:history="1">
        <w:r w:rsidR="001F1A55" w:rsidRPr="002F256F">
          <w:rPr>
            <w:rStyle w:val="Hipervnculo"/>
            <w:rFonts w:ascii="Times New Roman" w:hAnsi="Times New Roman" w:cs="Times New Roman"/>
            <w:sz w:val="24"/>
            <w:szCs w:val="24"/>
            <w:lang w:val="es-ES"/>
          </w:rPr>
          <w:t>http://estudiodefactibilidadyproyectos.blogspot.com/2010/09/factibilidad-y-viabilidad.html</w:t>
        </w:r>
      </w:hyperlink>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b/>
          <w:sz w:val="24"/>
          <w:szCs w:val="24"/>
          <w:lang w:val="es-ES"/>
        </w:rPr>
      </w:pPr>
      <w:r w:rsidRPr="002F256F">
        <w:rPr>
          <w:rFonts w:ascii="Times New Roman" w:hAnsi="Times New Roman" w:cs="Times New Roman"/>
          <w:b/>
          <w:sz w:val="24"/>
          <w:szCs w:val="24"/>
          <w:lang w:val="es-ES"/>
        </w:rPr>
        <w:t>Cuestionario</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Tal vez el instrumento más utilizado para recolectar los datos es el cuestionario. Un cuestionario consiste en un conjunto de preguntas respecto a una o más variables a medir.</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¿Qué tipo de preguntas puede haber?</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El contenido de las preguntas de un cuestionario es tan variado como los aspectos que mide.</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Básicamente se consideran dos tipos de preguntas: Cerradas y abiertas.</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Preguntas cerradas.</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Preguntas abiertas</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Las preguntas abiertas no delimitan de antemano las alternativas de respuesta, por lo cual el número de categorías de respuesta es muy elevado; es infinito, y puede</w:t>
      </w:r>
      <w:r>
        <w:rPr>
          <w:rFonts w:ascii="Times New Roman" w:hAnsi="Times New Roman" w:cs="Times New Roman"/>
          <w:sz w:val="24"/>
          <w:szCs w:val="24"/>
          <w:lang w:val="es-ES"/>
        </w:rPr>
        <w:t>n</w:t>
      </w:r>
      <w:r w:rsidRPr="002F256F">
        <w:rPr>
          <w:rFonts w:ascii="Times New Roman" w:hAnsi="Times New Roman" w:cs="Times New Roman"/>
          <w:sz w:val="24"/>
          <w:szCs w:val="24"/>
          <w:lang w:val="es-ES"/>
        </w:rPr>
        <w:t xml:space="preserve"> varias de población en población.</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Página 310 y 314</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 xml:space="preserve">Metodología de la Investigación </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Cuarta Edición</w:t>
      </w:r>
    </w:p>
    <w:p w:rsidR="001F1A55" w:rsidRPr="002F256F" w:rsidRDefault="001F1A55" w:rsidP="001F1A55">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 xml:space="preserve">Roberto Hernández </w:t>
      </w:r>
      <w:proofErr w:type="spellStart"/>
      <w:r w:rsidRPr="002F256F">
        <w:rPr>
          <w:rFonts w:ascii="Times New Roman" w:hAnsi="Times New Roman" w:cs="Times New Roman"/>
          <w:sz w:val="24"/>
          <w:szCs w:val="24"/>
          <w:lang w:val="es-ES"/>
        </w:rPr>
        <w:t>Sampieri</w:t>
      </w:r>
      <w:proofErr w:type="spellEnd"/>
    </w:p>
    <w:p w:rsidR="001F1A55" w:rsidRPr="002F256F" w:rsidRDefault="001F1A55" w:rsidP="001F1A55">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Carlos Fernández-Collado</w:t>
      </w:r>
    </w:p>
    <w:p w:rsidR="001F1A55" w:rsidRPr="002F256F" w:rsidRDefault="001F1A55" w:rsidP="001F1A55">
      <w:pPr>
        <w:autoSpaceDE w:val="0"/>
        <w:autoSpaceDN w:val="0"/>
        <w:adjustRightInd w:val="0"/>
        <w:spacing w:after="0" w:line="240" w:lineRule="auto"/>
        <w:ind w:left="720"/>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Pilar Baptista Lucio</w:t>
      </w:r>
    </w:p>
    <w:p w:rsidR="001F1A55" w:rsidRPr="002F256F" w:rsidRDefault="001F1A55" w:rsidP="001F1A55">
      <w:pP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Editorial McGraw  Hill</w:t>
      </w:r>
    </w:p>
    <w:p w:rsidR="001F1A55" w:rsidRPr="002F256F" w:rsidRDefault="00D519C4" w:rsidP="001F1A55">
      <w:pPr>
        <w:autoSpaceDE w:val="0"/>
        <w:autoSpaceDN w:val="0"/>
        <w:adjustRightInd w:val="0"/>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Mexico</w:t>
      </w:r>
      <w:bookmarkStart w:id="0" w:name="_GoBack"/>
      <w:bookmarkEnd w:id="0"/>
    </w:p>
    <w:p w:rsidR="001F1A55" w:rsidRPr="002F256F" w:rsidRDefault="001F1A55" w:rsidP="001F1A55">
      <w:pPr>
        <w:pBdr>
          <w:bottom w:val="single" w:sz="4" w:space="1" w:color="auto"/>
        </w:pBdr>
        <w:autoSpaceDE w:val="0"/>
        <w:autoSpaceDN w:val="0"/>
        <w:adjustRightInd w:val="0"/>
        <w:spacing w:after="0" w:line="240" w:lineRule="auto"/>
        <w:jc w:val="both"/>
        <w:rPr>
          <w:rFonts w:ascii="Times New Roman" w:hAnsi="Times New Roman" w:cs="Times New Roman"/>
          <w:sz w:val="24"/>
          <w:szCs w:val="24"/>
          <w:lang w:val="es-ES"/>
        </w:rPr>
      </w:pPr>
      <w:r w:rsidRPr="002F256F">
        <w:rPr>
          <w:rFonts w:ascii="Times New Roman" w:hAnsi="Times New Roman" w:cs="Times New Roman"/>
          <w:sz w:val="24"/>
          <w:szCs w:val="24"/>
          <w:lang w:val="es-ES"/>
        </w:rPr>
        <w:t>2006</w:t>
      </w:r>
    </w:p>
    <w:p w:rsidR="001741BD" w:rsidRDefault="001741BD" w:rsidP="00643808">
      <w:pPr>
        <w:spacing w:after="0"/>
        <w:jc w:val="both"/>
        <w:rPr>
          <w:color w:val="943634" w:themeColor="accent2" w:themeShade="BF"/>
          <w:lang w:val="es-SV"/>
        </w:rPr>
      </w:pPr>
    </w:p>
    <w:p w:rsidR="001741BD" w:rsidRPr="00433DAB" w:rsidRDefault="001741BD" w:rsidP="00643808">
      <w:pPr>
        <w:spacing w:after="0"/>
        <w:jc w:val="both"/>
        <w:rPr>
          <w:color w:val="943634" w:themeColor="accent2" w:themeShade="BF"/>
          <w:lang w:val="es-SV"/>
        </w:rPr>
      </w:pPr>
    </w:p>
    <w:p w:rsidR="00433DAB" w:rsidRDefault="00433DAB" w:rsidP="00643808">
      <w:pPr>
        <w:jc w:val="both"/>
        <w:rPr>
          <w:color w:val="365F91" w:themeColor="accent1" w:themeShade="BF"/>
          <w:lang w:val="es-SV"/>
        </w:rPr>
      </w:pPr>
    </w:p>
    <w:p w:rsidR="00433DAB" w:rsidRPr="00433DAB" w:rsidRDefault="00433DAB" w:rsidP="00643808">
      <w:pPr>
        <w:jc w:val="both"/>
        <w:rPr>
          <w:color w:val="365F91" w:themeColor="accent1" w:themeShade="BF"/>
          <w:lang w:val="es-SV"/>
        </w:rPr>
      </w:pPr>
    </w:p>
    <w:p w:rsidR="00433DAB" w:rsidRPr="00433DAB" w:rsidRDefault="00433DAB" w:rsidP="00643808">
      <w:pPr>
        <w:jc w:val="both"/>
        <w:rPr>
          <w:lang w:val="es-SV"/>
        </w:rPr>
      </w:pPr>
    </w:p>
    <w:sectPr w:rsidR="00433DAB" w:rsidRPr="0043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673F5"/>
    <w:multiLevelType w:val="hybridMultilevel"/>
    <w:tmpl w:val="AB960D3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431959A3"/>
    <w:multiLevelType w:val="multilevel"/>
    <w:tmpl w:val="1F88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069FA"/>
    <w:multiLevelType w:val="hybridMultilevel"/>
    <w:tmpl w:val="7C100C6E"/>
    <w:lvl w:ilvl="0" w:tplc="04090011">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082"/>
    <w:rsid w:val="00060DCD"/>
    <w:rsid w:val="00096880"/>
    <w:rsid w:val="00144CA9"/>
    <w:rsid w:val="001741BD"/>
    <w:rsid w:val="001E0A0A"/>
    <w:rsid w:val="001F1A55"/>
    <w:rsid w:val="002D4613"/>
    <w:rsid w:val="00433DAB"/>
    <w:rsid w:val="004402D2"/>
    <w:rsid w:val="004B26A8"/>
    <w:rsid w:val="005360D5"/>
    <w:rsid w:val="00643808"/>
    <w:rsid w:val="00756724"/>
    <w:rsid w:val="008604F0"/>
    <w:rsid w:val="009E1FDF"/>
    <w:rsid w:val="00AD4132"/>
    <w:rsid w:val="00C12187"/>
    <w:rsid w:val="00C458EF"/>
    <w:rsid w:val="00D225A3"/>
    <w:rsid w:val="00D519C4"/>
    <w:rsid w:val="00D70082"/>
    <w:rsid w:val="00E343FE"/>
    <w:rsid w:val="00E62B7E"/>
    <w:rsid w:val="00F77E9E"/>
    <w:rsid w:val="00FE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character" w:styleId="Textodelmarcadordeposicin">
    <w:name w:val="Placeholder Text"/>
    <w:basedOn w:val="Fuentedeprrafopredeter"/>
    <w:uiPriority w:val="99"/>
    <w:semiHidden/>
    <w:rsid w:val="00E62B7E"/>
    <w:rPr>
      <w:color w:val="808080"/>
    </w:rPr>
  </w:style>
  <w:style w:type="paragraph" w:styleId="Textodeglobo">
    <w:name w:val="Balloon Text"/>
    <w:basedOn w:val="Normal"/>
    <w:link w:val="TextodegloboCar"/>
    <w:uiPriority w:val="99"/>
    <w:semiHidden/>
    <w:unhideWhenUsed/>
    <w:rsid w:val="00E62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B7E"/>
    <w:rPr>
      <w:rFonts w:ascii="Tahoma" w:hAnsi="Tahoma" w:cs="Tahoma"/>
      <w:sz w:val="16"/>
      <w:szCs w:val="16"/>
    </w:rPr>
  </w:style>
  <w:style w:type="character" w:styleId="Hipervnculo">
    <w:name w:val="Hyperlink"/>
    <w:basedOn w:val="Fuentedeprrafopredeter"/>
    <w:uiPriority w:val="99"/>
    <w:unhideWhenUsed/>
    <w:rsid w:val="001F1A55"/>
    <w:rPr>
      <w:color w:val="0000FF" w:themeColor="hyperlink"/>
      <w:u w:val="single"/>
    </w:rPr>
  </w:style>
  <w:style w:type="character" w:customStyle="1" w:styleId="apple-converted-space">
    <w:name w:val="apple-converted-space"/>
    <w:basedOn w:val="Fuentedeprrafopredeter"/>
    <w:rsid w:val="00D519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character" w:styleId="Textodelmarcadordeposicin">
    <w:name w:val="Placeholder Text"/>
    <w:basedOn w:val="Fuentedeprrafopredeter"/>
    <w:uiPriority w:val="99"/>
    <w:semiHidden/>
    <w:rsid w:val="00E62B7E"/>
    <w:rPr>
      <w:color w:val="808080"/>
    </w:rPr>
  </w:style>
  <w:style w:type="paragraph" w:styleId="Textodeglobo">
    <w:name w:val="Balloon Text"/>
    <w:basedOn w:val="Normal"/>
    <w:link w:val="TextodegloboCar"/>
    <w:uiPriority w:val="99"/>
    <w:semiHidden/>
    <w:unhideWhenUsed/>
    <w:rsid w:val="00E62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B7E"/>
    <w:rPr>
      <w:rFonts w:ascii="Tahoma" w:hAnsi="Tahoma" w:cs="Tahoma"/>
      <w:sz w:val="16"/>
      <w:szCs w:val="16"/>
    </w:rPr>
  </w:style>
  <w:style w:type="character" w:styleId="Hipervnculo">
    <w:name w:val="Hyperlink"/>
    <w:basedOn w:val="Fuentedeprrafopredeter"/>
    <w:uiPriority w:val="99"/>
    <w:unhideWhenUsed/>
    <w:rsid w:val="001F1A55"/>
    <w:rPr>
      <w:color w:val="0000FF" w:themeColor="hyperlink"/>
      <w:u w:val="single"/>
    </w:rPr>
  </w:style>
  <w:style w:type="character" w:customStyle="1" w:styleId="apple-converted-space">
    <w:name w:val="apple-converted-space"/>
    <w:basedOn w:val="Fuentedeprrafopredeter"/>
    <w:rsid w:val="00D5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studiodefactibilidadyproyectos.blogspot.com/2010/09/factibilidad-y-viabilid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amblea.gob.sv/eparlamento/indice-legislativo/buscador-de-documentos-legislativos/ley-de-impuesto-sobre-la-ren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1679</Words>
  <Characters>9571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6</cp:revision>
  <dcterms:created xsi:type="dcterms:W3CDTF">2016-10-09T22:12:00Z</dcterms:created>
  <dcterms:modified xsi:type="dcterms:W3CDTF">2016-10-10T17:04:00Z</dcterms:modified>
</cp:coreProperties>
</file>