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73" w:rsidRDefault="00054FDD">
      <w:r w:rsidRPr="00054FDD">
        <w:t xml:space="preserve">Servidor en torre </w:t>
      </w:r>
      <w:proofErr w:type="spellStart"/>
      <w:r w:rsidRPr="00054FDD">
        <w:t>PowerEdge</w:t>
      </w:r>
      <w:proofErr w:type="spellEnd"/>
      <w:r w:rsidRPr="00054FDD">
        <w:t xml:space="preserve"> T130</w:t>
      </w:r>
    </w:p>
    <w:p w:rsidR="00054FDD" w:rsidRDefault="00054FDD" w:rsidP="00054F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SV"/>
        </w:rPr>
      </w:pPr>
      <w:r w:rsidRPr="00054FDD">
        <w:rPr>
          <w:rFonts w:ascii="Arial" w:eastAsia="Times New Roman" w:hAnsi="Arial" w:cs="Arial"/>
          <w:color w:val="000000"/>
          <w:sz w:val="20"/>
          <w:szCs w:val="20"/>
          <w:lang w:eastAsia="es-SV"/>
        </w:rPr>
        <w:br/>
        <w:t> </w:t>
      </w:r>
      <w:hyperlink r:id="rId5" w:history="1">
        <w:r w:rsidRPr="000A6766">
          <w:rPr>
            <w:rStyle w:val="Hipervnculo"/>
            <w:rFonts w:ascii="Arial" w:eastAsia="Times New Roman" w:hAnsi="Arial" w:cs="Arial"/>
            <w:sz w:val="20"/>
            <w:szCs w:val="20"/>
            <w:lang w:eastAsia="es-SV"/>
          </w:rPr>
          <w:t>http://www.dell.com/sv/empresas/p/poweredge-t130/pd</w:t>
        </w:r>
      </w:hyperlink>
    </w:p>
    <w:p w:rsidR="00054FDD" w:rsidRPr="00054FDD" w:rsidRDefault="00054FDD" w:rsidP="00054F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SV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SV"/>
        </w:rPr>
        <w:drawing>
          <wp:inline distT="0" distB="0" distL="0" distR="0">
            <wp:extent cx="3191320" cy="2791215"/>
            <wp:effectExtent l="0" t="0" r="0" b="9525"/>
            <wp:docPr id="3" name="Imagen 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8FC3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4FDD" w:rsidRPr="00054FDD" w:rsidRDefault="00054FDD" w:rsidP="00054FDD">
      <w:pPr>
        <w:spacing w:after="0" w:line="277" w:lineRule="atLeast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SV"/>
        </w:rPr>
      </w:pPr>
      <w:r w:rsidRPr="00054FDD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SV"/>
        </w:rPr>
        <w:t>Potente, compacto y ágil.</w:t>
      </w:r>
    </w:p>
    <w:p w:rsidR="00054FDD" w:rsidRPr="00054FDD" w:rsidRDefault="00054FDD" w:rsidP="00054FDD">
      <w:pPr>
        <w:spacing w:after="100" w:afterAutospacing="1" w:line="332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SV"/>
        </w:rPr>
      </w:pPr>
      <w:r w:rsidRPr="00054FDD">
        <w:rPr>
          <w:rFonts w:ascii="Arial" w:eastAsia="Times New Roman" w:hAnsi="Arial" w:cs="Arial"/>
          <w:color w:val="333333"/>
          <w:sz w:val="20"/>
          <w:szCs w:val="20"/>
          <w:lang w:eastAsia="es-SV"/>
        </w:rPr>
        <w:t xml:space="preserve">Primer servidor potente en </w:t>
      </w:r>
      <w:proofErr w:type="spellStart"/>
      <w:r w:rsidRPr="00054FDD">
        <w:rPr>
          <w:rFonts w:ascii="Arial" w:eastAsia="Times New Roman" w:hAnsi="Arial" w:cs="Arial"/>
          <w:color w:val="333333"/>
          <w:sz w:val="20"/>
          <w:szCs w:val="20"/>
          <w:lang w:eastAsia="es-SV"/>
        </w:rPr>
        <w:t>minitorre</w:t>
      </w:r>
      <w:proofErr w:type="spellEnd"/>
      <w:r w:rsidRPr="00054FDD">
        <w:rPr>
          <w:rFonts w:ascii="Arial" w:eastAsia="Times New Roman" w:hAnsi="Arial" w:cs="Arial"/>
          <w:color w:val="333333"/>
          <w:sz w:val="20"/>
          <w:szCs w:val="20"/>
          <w:lang w:eastAsia="es-SV"/>
        </w:rPr>
        <w:t xml:space="preserve"> de 1 socket para oficinas pequeñas, oficinas en el hogar y pequeñas y medianas empresas para consolidar datos y utilizar las aplicaciones más rápido.</w:t>
      </w:r>
    </w:p>
    <w:p w:rsidR="00054FDD" w:rsidRPr="00054FDD" w:rsidRDefault="00054FDD" w:rsidP="00054FDD">
      <w:pPr>
        <w:numPr>
          <w:ilvl w:val="0"/>
          <w:numId w:val="1"/>
        </w:numPr>
        <w:spacing w:after="0" w:line="240" w:lineRule="atLeast"/>
        <w:ind w:left="0"/>
        <w:textAlignment w:val="baseline"/>
        <w:rPr>
          <w:rFonts w:ascii="Arial" w:eastAsia="Times New Roman" w:hAnsi="Arial" w:cs="Arial"/>
          <w:color w:val="388D27"/>
          <w:sz w:val="20"/>
          <w:szCs w:val="20"/>
          <w:bdr w:val="none" w:sz="0" w:space="0" w:color="auto" w:frame="1"/>
          <w:shd w:val="clear" w:color="auto" w:fill="EEEEEE"/>
          <w:lang w:eastAsia="es-SV"/>
        </w:rPr>
      </w:pPr>
      <w:r w:rsidRPr="00054FDD">
        <w:rPr>
          <w:rFonts w:ascii="Arial" w:eastAsia="Times New Roman" w:hAnsi="Arial" w:cs="Arial"/>
          <w:color w:val="388D27"/>
          <w:sz w:val="20"/>
          <w:szCs w:val="20"/>
          <w:bdr w:val="none" w:sz="0" w:space="0" w:color="auto" w:frame="1"/>
          <w:lang w:eastAsia="es-SV"/>
        </w:rPr>
        <w:t>Subtotal </w:t>
      </w:r>
      <w:r w:rsidRPr="00054FDD">
        <w:rPr>
          <w:rFonts w:ascii="Arial" w:eastAsia="Times New Roman" w:hAnsi="Arial" w:cs="Arial"/>
          <w:color w:val="388D27"/>
          <w:sz w:val="31"/>
          <w:szCs w:val="31"/>
          <w:bdr w:val="none" w:sz="0" w:space="0" w:color="auto" w:frame="1"/>
          <w:vertAlign w:val="superscript"/>
          <w:lang w:eastAsia="es-SV"/>
        </w:rPr>
        <w:t>$</w:t>
      </w:r>
      <w:r w:rsidRPr="00054FDD">
        <w:rPr>
          <w:rFonts w:ascii="Arial" w:eastAsia="Times New Roman" w:hAnsi="Arial" w:cs="Arial"/>
          <w:color w:val="388D27"/>
          <w:sz w:val="30"/>
          <w:szCs w:val="30"/>
          <w:bdr w:val="none" w:sz="0" w:space="0" w:color="auto" w:frame="1"/>
          <w:lang w:eastAsia="es-SV"/>
        </w:rPr>
        <w:t>1897</w:t>
      </w:r>
      <w:r w:rsidRPr="00054FDD">
        <w:rPr>
          <w:rFonts w:ascii="Arial" w:eastAsia="Times New Roman" w:hAnsi="Arial" w:cs="Arial"/>
          <w:color w:val="388D27"/>
          <w:sz w:val="30"/>
          <w:szCs w:val="30"/>
          <w:bdr w:val="none" w:sz="0" w:space="0" w:color="auto" w:frame="1"/>
          <w:vertAlign w:val="superscript"/>
          <w:lang w:eastAsia="es-SV"/>
        </w:rPr>
        <w:t>00</w:t>
      </w:r>
    </w:p>
    <w:p w:rsidR="00054FDD" w:rsidRPr="00054FDD" w:rsidRDefault="00054FDD" w:rsidP="00054FD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EEEEEE"/>
          <w:lang w:eastAsia="es-SV"/>
        </w:rPr>
      </w:pPr>
      <w:r w:rsidRPr="00054FD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s-SV"/>
        </w:rPr>
        <w:t>Precio incluye descuentos</w:t>
      </w:r>
    </w:p>
    <w:p w:rsidR="00054FDD" w:rsidRDefault="00054FDD"/>
    <w:p w:rsidR="00054FDD" w:rsidRDefault="00054FDD" w:rsidP="00054FDD">
      <w:pPr>
        <w:pStyle w:val="Ttulo2"/>
        <w:spacing w:before="300" w:beforeAutospacing="0" w:after="150" w:afterAutospacing="0" w:line="277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Organícese y obtenga mayor productividad</w:t>
      </w:r>
    </w:p>
    <w:p w:rsidR="00054FDD" w:rsidRDefault="00054FDD" w:rsidP="00054FDD">
      <w:pPr>
        <w:numPr>
          <w:ilvl w:val="0"/>
          <w:numId w:val="2"/>
        </w:numPr>
        <w:spacing w:after="0" w:line="341" w:lineRule="atLeast"/>
        <w:ind w:left="185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Consolide datos de varias laptops o computadoras de escritorio en un único servidor con hasta 4 discos duros internos de 3,5".  </w:t>
      </w:r>
    </w:p>
    <w:p w:rsidR="00054FDD" w:rsidRDefault="00054FDD" w:rsidP="00054FDD">
      <w:pPr>
        <w:numPr>
          <w:ilvl w:val="0"/>
          <w:numId w:val="2"/>
        </w:numPr>
        <w:spacing w:after="0" w:line="341" w:lineRule="atLeast"/>
        <w:ind w:left="185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Garantice tiempos de respuesta rápidos con la última familia de productos Intel® Xeon® E3-1200 v6 de cuatro núcleos y con las flexibles opciones de procesador de doble núcleo, incluidos Intel Pentium®, Intel Core i3® o Intel Celeron®.</w:t>
      </w:r>
    </w:p>
    <w:p w:rsidR="00054FDD" w:rsidRDefault="00054FDD" w:rsidP="00054FDD">
      <w:pPr>
        <w:numPr>
          <w:ilvl w:val="0"/>
          <w:numId w:val="2"/>
        </w:numPr>
        <w:spacing w:after="0" w:line="341" w:lineRule="atLeast"/>
        <w:ind w:left="185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Conecte dispositivos periféricos con ocho puertos USB externos de manera fácil y flexible.</w:t>
      </w:r>
    </w:p>
    <w:p w:rsidR="00054FDD" w:rsidRDefault="00054FDD" w:rsidP="00054FDD">
      <w:pPr>
        <w:spacing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004185" cy="2130425"/>
            <wp:effectExtent l="0" t="0" r="5715" b="3175"/>
            <wp:docPr id="2" name="Imagen 2" descr="Servidor en torre PowerEdge T130: Acelere el rendimiento de las apl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dor en torre PowerEdge T130: Acelere el rendimiento de las aplicaci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DD" w:rsidRDefault="00054FDD" w:rsidP="00054FDD">
      <w:pPr>
        <w:pStyle w:val="Ttulo2"/>
        <w:spacing w:before="300" w:beforeAutospacing="0" w:after="150" w:afterAutospacing="0" w:line="277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Acelere el rendimiento de las aplicaciones</w:t>
      </w:r>
    </w:p>
    <w:p w:rsidR="00054FDD" w:rsidRDefault="00054FDD" w:rsidP="00054FDD">
      <w:pPr>
        <w:numPr>
          <w:ilvl w:val="0"/>
          <w:numId w:val="3"/>
        </w:numPr>
        <w:spacing w:after="0" w:line="341" w:lineRule="atLeast"/>
        <w:ind w:left="185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Genere un mayor rendimiento de la memoria y amplíe la capacidad hasta 64 GB a través del tiempo con 4 ranuras DIMM y una memoria DDR4 mejorada, que ofrece una velocidad de reloj un 50% más rápida que la de la memoria DDR3 de la generación anterior, lo que representa un 12,5% más rápido que la implementación inicial de 2133 MT/s de DDR4</w:t>
      </w:r>
      <w:bookmarkStart w:id="1" w:name="modalPopup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fldChar w:fldCharType="begin"/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instrText xml:space="preserve"> HYPERLINK "http://www.dell.com/mc.ashx?id=technotes:spec-sheet-comparison-of-ddr4&amp;c=sv&amp;l=es&amp;s=bsd&amp;modalwidth=400&amp;modalHeight=150&amp;ovropac=0&amp;modalscroll=yes&amp;modaltarget=div&amp;modaltype=tooltip&amp;position=bottom&amp;title=Detalles%20importantes&amp;flip=false&amp;eventType=rollover" </w:instrTex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fldChar w:fldCharType="separate"/>
      </w:r>
      <w:r>
        <w:rPr>
          <w:rStyle w:val="Hipervnculo"/>
          <w:rFonts w:ascii="Arial" w:hAnsi="Arial" w:cs="Arial"/>
          <w:b/>
          <w:bCs/>
          <w:color w:val="999999"/>
          <w:sz w:val="20"/>
          <w:szCs w:val="20"/>
          <w:u w:val="none"/>
          <w:bdr w:val="none" w:sz="0" w:space="0" w:color="auto" w:frame="1"/>
          <w:vertAlign w:val="superscript"/>
        </w:rPr>
        <w:t>2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fldChar w:fldCharType="end"/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054FDD" w:rsidRDefault="00054FDD" w:rsidP="00054FDD">
      <w:pPr>
        <w:numPr>
          <w:ilvl w:val="0"/>
          <w:numId w:val="3"/>
        </w:numPr>
        <w:spacing w:after="0" w:line="341" w:lineRule="atLeast"/>
        <w:ind w:left="185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Aumente el rendimiento de datos con 4 ranuras </w:t>
      </w:r>
      <w:proofErr w:type="spellStart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PCle</w:t>
      </w:r>
      <w:proofErr w:type="spellEnd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3.0 que entregan un procesamiento de datos doble en comparación con PCIe 2.0.</w:t>
      </w:r>
    </w:p>
    <w:p w:rsidR="00054FDD" w:rsidRDefault="00054FDD" w:rsidP="00054FDD">
      <w:pPr>
        <w:numPr>
          <w:ilvl w:val="0"/>
          <w:numId w:val="3"/>
        </w:numPr>
        <w:spacing w:after="0" w:line="341" w:lineRule="atLeast"/>
        <w:ind w:left="185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Aumente 2 veces el rendimiento de IOPS con la controladora RAID PERC9 de </w:t>
      </w:r>
      <w:proofErr w:type="spellStart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PowerEdge</w:t>
      </w:r>
      <w:proofErr w:type="spellEnd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en comparación con el </w:t>
      </w:r>
      <w:proofErr w:type="spellStart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PowerEdge</w:t>
      </w:r>
      <w:proofErr w:type="spellEnd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T110 II de la generación anterior, equipado con PERC8.</w:t>
      </w:r>
      <w:hyperlink r:id="rId8" w:history="1">
        <w:r>
          <w:rPr>
            <w:rStyle w:val="Hipervnculo"/>
            <w:rFonts w:ascii="Arial" w:hAnsi="Arial" w:cs="Arial"/>
            <w:b/>
            <w:bCs/>
            <w:color w:val="999999"/>
            <w:sz w:val="20"/>
            <w:szCs w:val="20"/>
            <w:u w:val="none"/>
            <w:bdr w:val="none" w:sz="0" w:space="0" w:color="auto" w:frame="1"/>
            <w:vertAlign w:val="superscript"/>
          </w:rPr>
          <w:t>3</w:t>
        </w:r>
      </w:hyperlink>
    </w:p>
    <w:p w:rsidR="00054FDD" w:rsidRDefault="00054FDD" w:rsidP="00054FDD">
      <w:pPr>
        <w:spacing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004185" cy="1849120"/>
            <wp:effectExtent l="0" t="0" r="5715" b="0"/>
            <wp:docPr id="1" name="Imagen 1" descr="Servidor en torre PowerEdge T130: Funcionamiento confiable y sin preocup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dor en torre PowerEdge T130: Funcionamiento confiable y sin preocupacion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DD" w:rsidRDefault="00054FDD" w:rsidP="00054FDD">
      <w:pPr>
        <w:pStyle w:val="Ttulo2"/>
        <w:spacing w:before="300" w:beforeAutospacing="0" w:after="150" w:afterAutospacing="0" w:line="277" w:lineRule="atLeast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Funcionamiento confiable y sin preocupaciones</w:t>
      </w:r>
    </w:p>
    <w:p w:rsidR="00054FDD" w:rsidRDefault="00054FDD" w:rsidP="00054FDD">
      <w:pPr>
        <w:numPr>
          <w:ilvl w:val="0"/>
          <w:numId w:val="4"/>
        </w:numPr>
        <w:spacing w:after="0" w:line="341" w:lineRule="atLeast"/>
        <w:ind w:left="185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Implemente con velocidad y convierta el servidor para un trabajo productivo rápidamente con soluciones de administración de sistemas </w:t>
      </w:r>
      <w:proofErr w:type="spellStart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OpenManage</w:t>
      </w:r>
      <w:proofErr w:type="spellEnd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de Dell.</w:t>
      </w:r>
    </w:p>
    <w:p w:rsidR="00054FDD" w:rsidRDefault="00054FDD" w:rsidP="00054FDD">
      <w:pPr>
        <w:numPr>
          <w:ilvl w:val="0"/>
          <w:numId w:val="4"/>
        </w:numPr>
        <w:spacing w:after="0" w:line="341" w:lineRule="atLeast"/>
        <w:ind w:left="185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Controle fácilmente la condición del sistema y el comportamiento con la consola simple e intuitiva </w:t>
      </w:r>
      <w:proofErr w:type="spellStart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OpenManage</w:t>
      </w:r>
      <w:proofErr w:type="spellEnd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 Essentials de Dell.</w:t>
      </w:r>
    </w:p>
    <w:p w:rsidR="00054FDD" w:rsidRDefault="00054FDD" w:rsidP="00054FDD">
      <w:pPr>
        <w:numPr>
          <w:ilvl w:val="0"/>
          <w:numId w:val="4"/>
        </w:numPr>
        <w:spacing w:after="0" w:line="341" w:lineRule="atLeast"/>
        <w:ind w:left="185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Ahorre tiempo al administrador de TI al automatizar las actualizaciones de firmware: hasta un 92% de reducción en el tiempo de actualización de firmware mediante el uso de actualizaciones 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lastRenderedPageBreak/>
        <w:t>automáticas en comparación con las actualizaciones manuales del administrador de Repositorio </w:t>
      </w:r>
      <w:hyperlink r:id="rId10" w:history="1">
        <w:r>
          <w:rPr>
            <w:rStyle w:val="Hipervnculo"/>
            <w:rFonts w:ascii="Arial" w:hAnsi="Arial" w:cs="Arial"/>
            <w:b/>
            <w:bCs/>
            <w:color w:val="999999"/>
            <w:sz w:val="20"/>
            <w:szCs w:val="20"/>
            <w:u w:val="none"/>
            <w:bdr w:val="none" w:sz="0" w:space="0" w:color="auto" w:frame="1"/>
            <w:vertAlign w:val="superscript"/>
          </w:rPr>
          <w:t>4</w:t>
        </w:r>
      </w:hyperlink>
      <w:bookmarkEnd w:id="1"/>
    </w:p>
    <w:p w:rsidR="00054FDD" w:rsidRDefault="00054FDD"/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Procesador</w:t>
      </w:r>
    </w:p>
    <w:p w:rsidR="00054FDD" w:rsidRDefault="00054FDD" w:rsidP="00054FDD">
      <w:pPr>
        <w:numPr>
          <w:ilvl w:val="0"/>
          <w:numId w:val="5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 procesador de las siguientes familias de productos: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Familia de productos de procesadores E3-1200 v6 Intel® Xeon®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Intel Pentium®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Intel Core i3®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Intel Celeron®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Sistema operativo</w:t>
      </w:r>
    </w:p>
    <w:p w:rsidR="00054FDD" w:rsidRDefault="00054FDD" w:rsidP="00054FDD">
      <w:pPr>
        <w:numPr>
          <w:ilvl w:val="0"/>
          <w:numId w:val="6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Microsoft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vertAlign w:val="subscript"/>
        </w:rPr>
        <w:t>®</w:t>
      </w:r>
      <w:r>
        <w:rPr>
          <w:rFonts w:ascii="Arial" w:hAnsi="Arial" w:cs="Arial"/>
          <w:color w:val="333333"/>
          <w:sz w:val="20"/>
          <w:szCs w:val="20"/>
        </w:rPr>
        <w:t> Windows Server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vertAlign w:val="subscript"/>
        </w:rPr>
        <w:t>® </w:t>
      </w:r>
      <w:r>
        <w:rPr>
          <w:rFonts w:ascii="Arial" w:hAnsi="Arial" w:cs="Arial"/>
          <w:color w:val="333333"/>
          <w:sz w:val="20"/>
          <w:szCs w:val="20"/>
        </w:rPr>
        <w:t>2012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Microsoft Windows Server 2012 R2, x64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Microsoft® Windows Server® 2016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Red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Hat</w:t>
      </w:r>
      <w:proofErr w:type="spellEnd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vertAlign w:val="subscript"/>
        </w:rPr>
        <w:t>®</w:t>
      </w:r>
      <w:r>
        <w:rPr>
          <w:rFonts w:ascii="Arial" w:hAnsi="Arial" w:cs="Arial"/>
          <w:color w:val="333333"/>
          <w:sz w:val="20"/>
          <w:szCs w:val="20"/>
        </w:rPr>
        <w:t> Enterprise Linux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vertAlign w:val="subscript"/>
        </w:rPr>
        <w:t>®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VMware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vSphere</w:t>
      </w:r>
      <w:proofErr w:type="spellEnd"/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vertAlign w:val="subscript"/>
        </w:rPr>
        <w:t>®</w:t>
      </w:r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ESXi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®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SUSE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vertAlign w:val="subscript"/>
        </w:rPr>
        <w:t>®</w:t>
      </w:r>
      <w:r>
        <w:rPr>
          <w:rFonts w:ascii="Arial" w:hAnsi="Arial" w:cs="Arial"/>
          <w:color w:val="333333"/>
          <w:sz w:val="20"/>
          <w:szCs w:val="20"/>
        </w:rPr>
        <w:t> Linux Enterprise Server</w:t>
      </w: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  <w:vertAlign w:val="subscript"/>
        </w:rPr>
        <w:t>®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Chipset</w:t>
      </w:r>
    </w:p>
    <w:p w:rsidR="00054FDD" w:rsidRDefault="00054FDD" w:rsidP="00054FDD">
      <w:pPr>
        <w:numPr>
          <w:ilvl w:val="0"/>
          <w:numId w:val="7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Intel C236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Memoria</w:t>
      </w:r>
      <w:hyperlink r:id="rId11" w:history="1">
        <w:r>
          <w:rPr>
            <w:rStyle w:val="Hipervnculo"/>
            <w:rFonts w:ascii="Arial" w:hAnsi="Arial" w:cs="Arial"/>
            <w:color w:val="999999"/>
            <w:sz w:val="26"/>
            <w:szCs w:val="26"/>
            <w:u w:val="none"/>
            <w:bdr w:val="none" w:sz="0" w:space="0" w:color="auto" w:frame="1"/>
            <w:vertAlign w:val="superscript"/>
          </w:rPr>
          <w:t>1</w:t>
        </w:r>
      </w:hyperlink>
    </w:p>
    <w:p w:rsidR="00054FDD" w:rsidRDefault="00054FDD" w:rsidP="00054FDD">
      <w:pPr>
        <w:numPr>
          <w:ilvl w:val="0"/>
          <w:numId w:val="8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Arquitectura: hasta 2400 MT/s DDR4 DIMM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Tipo de memoria: UDIMM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Sockets del módulo de memoria: 4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RAM máximo: hasta 64 GB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Hipervisor integrado (opcional)</w:t>
      </w:r>
    </w:p>
    <w:p w:rsidR="00054FDD" w:rsidRDefault="00054FDD" w:rsidP="00054FDD">
      <w:pPr>
        <w:numPr>
          <w:ilvl w:val="0"/>
          <w:numId w:val="9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Compatibilidad con hipervisores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Microsoft Windows Server con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Hyper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-V®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VMware®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vSphere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®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ESXi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®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Almacenamiento</w:t>
      </w:r>
    </w:p>
    <w:p w:rsidR="00054FDD" w:rsidRDefault="00054FDD" w:rsidP="00054FDD">
      <w:pPr>
        <w:numPr>
          <w:ilvl w:val="0"/>
          <w:numId w:val="10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Discos duros de 3,5" Enterprise SATA (7200)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Discos duros de 3,5"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nearline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SAS y 7200 RPM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Unidades de entrada SATA de 3,5” y 7200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Compartimientos de unidades</w:t>
      </w:r>
    </w:p>
    <w:p w:rsidR="00054FDD" w:rsidRDefault="00054FDD" w:rsidP="00054FDD">
      <w:pPr>
        <w:numPr>
          <w:ilvl w:val="0"/>
          <w:numId w:val="11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 discos duros de 3,5" con cables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Ranuras</w:t>
      </w:r>
    </w:p>
    <w:p w:rsidR="00054FDD" w:rsidRDefault="00054FDD" w:rsidP="00054FDD">
      <w:pPr>
        <w:numPr>
          <w:ilvl w:val="0"/>
          <w:numId w:val="12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4 ranuras: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1x8 PCIe de 3.0 (de 16 conectores)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1x4 PCIe de 3.0 (de 8 conectores)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1x4 PCIe de 3.0 (de 8 conectores)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1x1 PCIe de 3.0 (de 1 conector)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Controladoras RAID</w:t>
      </w:r>
    </w:p>
    <w:p w:rsidR="00054FDD" w:rsidRDefault="00054FDD" w:rsidP="00054FDD">
      <w:pPr>
        <w:numPr>
          <w:ilvl w:val="0"/>
          <w:numId w:val="13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130,H</w:t>
      </w:r>
      <w:proofErr w:type="gramEnd"/>
      <w:r>
        <w:rPr>
          <w:rFonts w:ascii="Arial" w:hAnsi="Arial" w:cs="Arial"/>
          <w:color w:val="333333"/>
          <w:sz w:val="20"/>
          <w:szCs w:val="20"/>
        </w:rPr>
        <w:t>330,H730, H830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Controladora de red</w:t>
      </w:r>
    </w:p>
    <w:p w:rsidR="00054FDD" w:rsidRDefault="00054FDD" w:rsidP="00054FDD">
      <w:pPr>
        <w:numPr>
          <w:ilvl w:val="0"/>
          <w:numId w:val="14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Broadcom® BCM5720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Comunicaciones</w:t>
      </w:r>
    </w:p>
    <w:p w:rsidR="00054FDD" w:rsidRDefault="00054FDD" w:rsidP="00054FDD">
      <w:pPr>
        <w:numPr>
          <w:ilvl w:val="0"/>
          <w:numId w:val="15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 LOM de 1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GbE</w:t>
      </w:r>
      <w:proofErr w:type="spellEnd"/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Alimentación</w:t>
      </w:r>
    </w:p>
    <w:p w:rsidR="00054FDD" w:rsidRDefault="00054FDD" w:rsidP="00054FDD">
      <w:pPr>
        <w:numPr>
          <w:ilvl w:val="0"/>
          <w:numId w:val="16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PSU de 290W con cable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Chasis</w:t>
      </w:r>
    </w:p>
    <w:p w:rsidR="00054FDD" w:rsidRDefault="00054FDD" w:rsidP="00054FDD">
      <w:pPr>
        <w:numPr>
          <w:ilvl w:val="0"/>
          <w:numId w:val="17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Minitorre</w:t>
      </w:r>
      <w:proofErr w:type="spellEnd"/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Acceso al dispositivo</w:t>
      </w:r>
    </w:p>
    <w:p w:rsidR="00054FDD" w:rsidRDefault="00054FDD" w:rsidP="00054FDD">
      <w:pPr>
        <w:numPr>
          <w:ilvl w:val="0"/>
          <w:numId w:val="18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8 USB en total: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 w:type="textWrapping" w:clear="all"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 w:type="textWrapping" w:clear="all"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USB posterior: dos USB 3.0 más cuatro USB 2.0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 w:type="textWrapping" w:clear="all"/>
        <w:t>USB frontal: un USB 2.0 más un USB 3.0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Administración</w:t>
      </w:r>
    </w:p>
    <w:p w:rsidR="00054FDD" w:rsidRDefault="00054FDD" w:rsidP="00054FDD">
      <w:pPr>
        <w:pStyle w:val="Ttulo4"/>
        <w:keepNext w:val="0"/>
        <w:keepLines w:val="0"/>
        <w:numPr>
          <w:ilvl w:val="0"/>
          <w:numId w:val="19"/>
        </w:numPr>
        <w:spacing w:before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0"/>
          <w:szCs w:val="20"/>
          <w:bdr w:val="none" w:sz="0" w:space="0" w:color="auto" w:frame="1"/>
        </w:rPr>
        <w:t>Administración de sistemas:</w:t>
      </w:r>
    </w:p>
    <w:p w:rsidR="00054FDD" w:rsidRDefault="00054FDD" w:rsidP="00054FDD">
      <w:pPr>
        <w:spacing w:line="30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Cumple con IPMI 2.0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Dell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OpenManage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Essentials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Dell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OpenManage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Mobile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Centro de alimentación Dell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OpenManage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 w:type="textWrapping" w:clear="all"/>
      </w: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Integraciones de Dell </w:t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OpenManage</w:t>
      </w:r>
      <w:proofErr w:type="spellEnd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Dell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OpenManage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Integration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Suite para Microsoft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System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Center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Dell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OpenManage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Integration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para VMware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vCenter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®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</w: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 xml:space="preserve">Conexiones de Dell </w:t>
      </w:r>
      <w:proofErr w:type="spellStart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OpenManage</w:t>
      </w:r>
      <w:proofErr w:type="spellEnd"/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Gerente de operaciones de HP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IBM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Tivoli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®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Netcool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®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Administración de sistemas y red de CA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Complemento Dell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OpenManage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para Oracle®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Database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Manager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</w:r>
      <w:r>
        <w:rPr>
          <w:rStyle w:val="Textoennegrita"/>
          <w:rFonts w:ascii="Arial" w:hAnsi="Arial" w:cs="Arial"/>
          <w:color w:val="333333"/>
          <w:sz w:val="20"/>
          <w:szCs w:val="20"/>
          <w:bdr w:val="none" w:sz="0" w:space="0" w:color="auto" w:frame="1"/>
        </w:rPr>
        <w:t>Administración remota:</w:t>
      </w:r>
      <w:r>
        <w:rPr>
          <w:rFonts w:ascii="Arial" w:hAnsi="Arial" w:cs="Arial"/>
          <w:b/>
          <w:bCs/>
          <w:color w:val="333333"/>
          <w:sz w:val="20"/>
          <w:szCs w:val="20"/>
          <w:bdr w:val="none" w:sz="0" w:space="0" w:color="auto" w:frame="1"/>
        </w:rPr>
        <w:br w:type="textWrapping" w:clear="all"/>
      </w:r>
      <w:r>
        <w:rPr>
          <w:rFonts w:ascii="Arial" w:hAnsi="Arial" w:cs="Arial"/>
          <w:color w:val="333333"/>
          <w:sz w:val="20"/>
          <w:szCs w:val="20"/>
        </w:rPr>
        <w:t>iDRAC8 con controladora del ciclo de vida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iDRAC8 Express (predeterminada)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iDRAC8 Enterprise (actualización)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Medios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vFlash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8 GB (actualización) 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 xml:space="preserve">Medios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vFlash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de 16 GB (actualización)</w:t>
      </w:r>
    </w:p>
    <w:p w:rsidR="00054FDD" w:rsidRDefault="00054FDD" w:rsidP="00054FDD">
      <w:pPr>
        <w:pStyle w:val="Ttulo3"/>
        <w:spacing w:before="0"/>
        <w:ind w:right="19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Dimensiones</w:t>
      </w:r>
    </w:p>
    <w:p w:rsidR="00054FDD" w:rsidRDefault="00054FDD" w:rsidP="00054FDD">
      <w:pPr>
        <w:numPr>
          <w:ilvl w:val="0"/>
          <w:numId w:val="20"/>
        </w:numPr>
        <w:spacing w:after="0" w:line="305" w:lineRule="atLeast"/>
        <w:ind w:left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Alto: 14,17 in o 36,0 cm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Ancho: 6,89 in o 17,5 cm</w:t>
      </w:r>
      <w:r>
        <w:rPr>
          <w:rFonts w:ascii="Arial" w:hAnsi="Arial" w:cs="Arial"/>
          <w:color w:val="333333"/>
          <w:sz w:val="20"/>
          <w:szCs w:val="20"/>
        </w:rPr>
        <w:br w:type="textWrapping" w:clear="all"/>
        <w:t>Profundidad: 17,12 in o 43,5 cm</w:t>
      </w:r>
    </w:p>
    <w:p w:rsidR="00054FDD" w:rsidRDefault="00054FDD"/>
    <w:sectPr w:rsidR="00054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6BE"/>
    <w:multiLevelType w:val="multilevel"/>
    <w:tmpl w:val="C87E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C1AF5"/>
    <w:multiLevelType w:val="multilevel"/>
    <w:tmpl w:val="D3C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06393"/>
    <w:multiLevelType w:val="multilevel"/>
    <w:tmpl w:val="A582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34DAD"/>
    <w:multiLevelType w:val="multilevel"/>
    <w:tmpl w:val="613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A487F"/>
    <w:multiLevelType w:val="multilevel"/>
    <w:tmpl w:val="DF2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810E4"/>
    <w:multiLevelType w:val="multilevel"/>
    <w:tmpl w:val="5898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4C5B85"/>
    <w:multiLevelType w:val="multilevel"/>
    <w:tmpl w:val="A492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3310A"/>
    <w:multiLevelType w:val="multilevel"/>
    <w:tmpl w:val="1AF4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3068E"/>
    <w:multiLevelType w:val="multilevel"/>
    <w:tmpl w:val="58DA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65989"/>
    <w:multiLevelType w:val="multilevel"/>
    <w:tmpl w:val="54D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2426C"/>
    <w:multiLevelType w:val="multilevel"/>
    <w:tmpl w:val="C4C8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C6A60"/>
    <w:multiLevelType w:val="multilevel"/>
    <w:tmpl w:val="63EC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B7C4C"/>
    <w:multiLevelType w:val="multilevel"/>
    <w:tmpl w:val="802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A676AB"/>
    <w:multiLevelType w:val="multilevel"/>
    <w:tmpl w:val="AE1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BB664C"/>
    <w:multiLevelType w:val="multilevel"/>
    <w:tmpl w:val="786E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22847"/>
    <w:multiLevelType w:val="multilevel"/>
    <w:tmpl w:val="C488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D5D50"/>
    <w:multiLevelType w:val="multilevel"/>
    <w:tmpl w:val="2764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A4F82"/>
    <w:multiLevelType w:val="multilevel"/>
    <w:tmpl w:val="F91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9155A"/>
    <w:multiLevelType w:val="multilevel"/>
    <w:tmpl w:val="9F32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A42CE"/>
    <w:multiLevelType w:val="multilevel"/>
    <w:tmpl w:val="2964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5"/>
  </w:num>
  <w:num w:numId="4">
    <w:abstractNumId w:val="13"/>
  </w:num>
  <w:num w:numId="5">
    <w:abstractNumId w:val="6"/>
  </w:num>
  <w:num w:numId="6">
    <w:abstractNumId w:val="15"/>
  </w:num>
  <w:num w:numId="7">
    <w:abstractNumId w:val="10"/>
  </w:num>
  <w:num w:numId="8">
    <w:abstractNumId w:val="3"/>
  </w:num>
  <w:num w:numId="9">
    <w:abstractNumId w:val="12"/>
  </w:num>
  <w:num w:numId="10">
    <w:abstractNumId w:val="1"/>
  </w:num>
  <w:num w:numId="11">
    <w:abstractNumId w:val="2"/>
  </w:num>
  <w:num w:numId="12">
    <w:abstractNumId w:val="0"/>
  </w:num>
  <w:num w:numId="13">
    <w:abstractNumId w:val="7"/>
  </w:num>
  <w:num w:numId="14">
    <w:abstractNumId w:val="18"/>
  </w:num>
  <w:num w:numId="15">
    <w:abstractNumId w:val="9"/>
  </w:num>
  <w:num w:numId="16">
    <w:abstractNumId w:val="8"/>
  </w:num>
  <w:num w:numId="17">
    <w:abstractNumId w:val="16"/>
  </w:num>
  <w:num w:numId="18">
    <w:abstractNumId w:val="17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DD"/>
    <w:rsid w:val="00054FDD"/>
    <w:rsid w:val="00232D78"/>
    <w:rsid w:val="00307729"/>
    <w:rsid w:val="003432D0"/>
    <w:rsid w:val="004B5B72"/>
    <w:rsid w:val="005C739E"/>
    <w:rsid w:val="00A740AE"/>
    <w:rsid w:val="00D03EA5"/>
    <w:rsid w:val="00DE32DE"/>
    <w:rsid w:val="00F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5216E"/>
  <w15:chartTrackingRefBased/>
  <w15:docId w15:val="{CB27C763-FCEA-4AC1-BE37-279E2158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54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4F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4F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54FDD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customStyle="1" w:styleId="proddesc">
    <w:name w:val="proddesc"/>
    <w:basedOn w:val="Normal"/>
    <w:rsid w:val="0005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ipervnculo">
    <w:name w:val="Hyperlink"/>
    <w:basedOn w:val="Fuentedeprrafopredeter"/>
    <w:uiPriority w:val="99"/>
    <w:unhideWhenUsed/>
    <w:rsid w:val="00054FDD"/>
    <w:rPr>
      <w:color w:val="0000FF"/>
      <w:u w:val="single"/>
    </w:rPr>
  </w:style>
  <w:style w:type="character" w:customStyle="1" w:styleId="pdesc">
    <w:name w:val="pdesc"/>
    <w:basedOn w:val="Fuentedeprrafopredeter"/>
    <w:rsid w:val="00054FDD"/>
  </w:style>
  <w:style w:type="character" w:customStyle="1" w:styleId="pamt">
    <w:name w:val="pamt"/>
    <w:basedOn w:val="Fuentedeprrafopredeter"/>
    <w:rsid w:val="00054FDD"/>
  </w:style>
  <w:style w:type="character" w:customStyle="1" w:styleId="price">
    <w:name w:val="price"/>
    <w:basedOn w:val="Fuentedeprrafopredeter"/>
    <w:rsid w:val="00054FDD"/>
  </w:style>
  <w:style w:type="character" w:customStyle="1" w:styleId="additionalfields">
    <w:name w:val="additionalfields"/>
    <w:basedOn w:val="Fuentedeprrafopredeter"/>
    <w:rsid w:val="00054FDD"/>
  </w:style>
  <w:style w:type="character" w:customStyle="1" w:styleId="Ttulo3Car">
    <w:name w:val="Título 3 Car"/>
    <w:basedOn w:val="Fuentedeprrafopredeter"/>
    <w:link w:val="Ttulo3"/>
    <w:uiPriority w:val="9"/>
    <w:semiHidden/>
    <w:rsid w:val="00054F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4F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054FD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54F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6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6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35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622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15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07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696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126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7668500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1062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3472212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3014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7857797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1085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545918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12853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20134834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14386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20929215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969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9315449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3769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6159909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1187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5492676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1605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14072689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9730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17784512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92551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1989794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7365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2001612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27093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13807839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6406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1321303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0130">
          <w:marLeft w:val="0"/>
          <w:marRight w:val="0"/>
          <w:marTop w:val="0"/>
          <w:marBottom w:val="450"/>
          <w:divBdr>
            <w:top w:val="single" w:sz="2" w:space="0" w:color="CCCCCC"/>
            <w:left w:val="single" w:sz="2" w:space="0" w:color="CCCCCC"/>
            <w:bottom w:val="single" w:sz="6" w:space="8" w:color="CCCCCC"/>
            <w:right w:val="single" w:sz="2" w:space="0" w:color="CCCCCC"/>
          </w:divBdr>
          <w:divsChild>
            <w:div w:id="5044422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663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279">
              <w:marLeft w:val="-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8560">
          <w:marLeft w:val="-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229">
              <w:marLeft w:val="-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l.com/mc.ashx?id=technotes:spec-sheet-comparison-of-perc9&amp;c=sv&amp;l=es&amp;s=bsd&amp;modalwidth=400&amp;modalHeight=150&amp;ovropac=0&amp;modalscroll=yes&amp;modaltarget=div&amp;modaltype=tooltip&amp;position=bottom&amp;title=Detalles%20importantes&amp;flip=false&amp;eventType=rollov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http://www.dell.com/mc.ashx?id=technotes:graphics-and-system-memory&amp;c=sv&amp;l=es&amp;s=bsd&amp;modalwidth=400&amp;modalHeight=150&amp;ovropac=0&amp;modalscroll=yes&amp;modaltarget=div&amp;modaltype=tooltip&amp;position=bottom&amp;title=Detalles%20importantes&amp;flip=false&amp;eventType=rollover" TargetMode="External"/><Relationship Id="rId5" Type="http://schemas.openxmlformats.org/officeDocument/2006/relationships/hyperlink" Target="http://www.dell.com/sv/empresas/p/poweredge-t130/pd" TargetMode="External"/><Relationship Id="rId10" Type="http://schemas.openxmlformats.org/officeDocument/2006/relationships/hyperlink" Target="http://www.dell.com/mc.ashx?id=technotes:based-on-principled-technologies&amp;c=sv&amp;l=es&amp;s=bsd&amp;modalwidth=400&amp;modalHeight=150&amp;ovropac=0&amp;modalscroll=yes&amp;modaltarget=div&amp;modaltype=tooltip&amp;position=bottom&amp;title=Detalles%20importantes&amp;flip=false&amp;eventType=rollo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826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Henríquez Merino</dc:creator>
  <cp:keywords/>
  <dc:description/>
  <cp:lastModifiedBy>Alejandro Antonio Henríquez Merino</cp:lastModifiedBy>
  <cp:revision>1</cp:revision>
  <dcterms:created xsi:type="dcterms:W3CDTF">2017-07-07T03:35:00Z</dcterms:created>
  <dcterms:modified xsi:type="dcterms:W3CDTF">2017-07-07T03:43:00Z</dcterms:modified>
</cp:coreProperties>
</file>