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6F595" w14:textId="32A886DA" w:rsidR="00716C15" w:rsidRDefault="00000000" w:rsidP="00FB020C">
      <w:pPr>
        <w:pStyle w:val="Heading1"/>
        <w:jc w:val="both"/>
        <w:rPr>
          <w:rFonts w:cstheme="majorHAnsi"/>
        </w:rPr>
      </w:pPr>
      <w:r w:rsidRPr="00FB020C">
        <w:rPr>
          <w:rFonts w:cstheme="majorHAnsi"/>
        </w:rPr>
        <w:t xml:space="preserve">AVENIR Pillar 2 </w:t>
      </w:r>
      <w:r w:rsidR="00716C15">
        <w:rPr>
          <w:rFonts w:cstheme="majorHAnsi"/>
        </w:rPr>
        <w:t>Catalogue</w:t>
      </w:r>
    </w:p>
    <w:p w14:paraId="144E4182" w14:textId="6AA47181" w:rsidR="0036765C" w:rsidRPr="00FB020C" w:rsidRDefault="00000000" w:rsidP="00FB020C">
      <w:pPr>
        <w:pStyle w:val="Heading1"/>
        <w:jc w:val="both"/>
        <w:rPr>
          <w:rFonts w:cstheme="majorHAnsi"/>
        </w:rPr>
      </w:pPr>
      <w:r w:rsidRPr="00FB020C">
        <w:rPr>
          <w:rFonts w:cstheme="majorHAnsi"/>
        </w:rPr>
        <w:t>EUROCONTROL Tools: Fuel Burn Scope and User Mapping</w:t>
      </w:r>
    </w:p>
    <w:p w14:paraId="4EEFE1C7" w14:textId="646A1669" w:rsidR="00FB020C" w:rsidRPr="00FB020C" w:rsidRDefault="00FB020C" w:rsidP="00FB020C">
      <w:pPr>
        <w:rPr>
          <w:rFonts w:asciiTheme="majorHAnsi" w:hAnsiTheme="majorHAnsi" w:cstheme="majorHAnsi"/>
          <w:b/>
          <w:bCs/>
          <w:i/>
          <w:iCs/>
        </w:rPr>
      </w:pPr>
      <w:r w:rsidRPr="00FB020C">
        <w:rPr>
          <w:rFonts w:asciiTheme="majorHAnsi" w:hAnsiTheme="majorHAnsi" w:cstheme="majorHAnsi"/>
          <w:b/>
          <w:bCs/>
          <w:i/>
          <w:iCs/>
        </w:rPr>
        <w:t xml:space="preserve">[as discussed today, we should use </w:t>
      </w:r>
      <w:r w:rsidR="00716C15" w:rsidRPr="00FB020C">
        <w:rPr>
          <w:rFonts w:asciiTheme="majorHAnsi" w:hAnsiTheme="majorHAnsi" w:cstheme="majorHAnsi"/>
          <w:b/>
          <w:bCs/>
          <w:i/>
          <w:iCs/>
        </w:rPr>
        <w:t>Catalogue</w:t>
      </w:r>
      <w:r w:rsidRPr="00FB020C">
        <w:rPr>
          <w:rFonts w:asciiTheme="majorHAnsi" w:hAnsiTheme="majorHAnsi" w:cstheme="majorHAnsi"/>
          <w:b/>
          <w:bCs/>
          <w:i/>
          <w:iCs/>
        </w:rPr>
        <w:t xml:space="preserve"> website to publish information about the fuel burn calculation difference and the needs coming from the Asu tools and data.]</w:t>
      </w:r>
    </w:p>
    <w:p w14:paraId="6BA4BBED" w14:textId="43C34901" w:rsidR="0036765C" w:rsidRDefault="00000000" w:rsidP="00FB020C">
      <w:pPr>
        <w:jc w:val="both"/>
        <w:rPr>
          <w:rFonts w:asciiTheme="majorHAnsi" w:hAnsiTheme="majorHAnsi" w:cstheme="majorHAnsi"/>
        </w:rPr>
      </w:pPr>
      <w:r w:rsidRPr="00FB020C">
        <w:rPr>
          <w:rFonts w:asciiTheme="majorHAnsi" w:hAnsiTheme="majorHAnsi" w:cstheme="majorHAnsi"/>
        </w:rPr>
        <w:t>Several EUROCONTROL</w:t>
      </w:r>
      <w:r w:rsidR="00FB020C" w:rsidRPr="00FB020C">
        <w:rPr>
          <w:rFonts w:asciiTheme="majorHAnsi" w:hAnsiTheme="majorHAnsi" w:cstheme="majorHAnsi"/>
        </w:rPr>
        <w:t xml:space="preserve"> ASU</w:t>
      </w:r>
      <w:r w:rsidRPr="00FB020C">
        <w:rPr>
          <w:rFonts w:asciiTheme="majorHAnsi" w:hAnsiTheme="majorHAnsi" w:cstheme="majorHAnsi"/>
        </w:rPr>
        <w:t xml:space="preserve"> tools </w:t>
      </w:r>
      <w:r w:rsidR="00FB020C" w:rsidRPr="00FB020C">
        <w:rPr>
          <w:rFonts w:asciiTheme="majorHAnsi" w:hAnsiTheme="majorHAnsi" w:cstheme="majorHAnsi"/>
        </w:rPr>
        <w:t xml:space="preserve">and methodologies </w:t>
      </w:r>
      <w:r w:rsidRPr="00FB020C">
        <w:rPr>
          <w:rFonts w:asciiTheme="majorHAnsi" w:hAnsiTheme="majorHAnsi" w:cstheme="majorHAnsi"/>
        </w:rPr>
        <w:t>provide fuel burn–related outputs. These outputs are sometimes interpreted as being directly comparable or interchangeable, which is not the case. Differences primarily arise from scope, aggregation level, phase-of-flight coverage, and intended users. The mapping below is therefore explanatory, not prescriptive.</w:t>
      </w:r>
    </w:p>
    <w:p w14:paraId="1427FACC" w14:textId="1BD58BF8" w:rsidR="00716C15" w:rsidRDefault="00716C15" w:rsidP="00FB020C">
      <w:pPr>
        <w:jc w:val="both"/>
        <w:rPr>
          <w:rFonts w:asciiTheme="majorHAnsi" w:hAnsiTheme="majorHAnsi" w:cstheme="majorHAnsi"/>
        </w:rPr>
      </w:pPr>
      <w:r w:rsidRPr="00716C15">
        <w:rPr>
          <w:rFonts w:asciiTheme="majorHAnsi" w:hAnsiTheme="majorHAnsi" w:cstheme="majorHAnsi"/>
        </w:rPr>
        <w:t>This note provides a focused explanation of how selected EUROCONTROL tools address fuel burn calculations, how these calculations differ in scope and purpose, and how tools are mapped to different users and use contexts. The mapping is illustrative and explanatory only; it does not rank tools, validate indicators, or imply equivalence.</w:t>
      </w:r>
    </w:p>
    <w:tbl>
      <w:tblPr>
        <w:tblStyle w:val="PlainTable1"/>
        <w:tblW w:w="9698" w:type="dxa"/>
        <w:tblLook w:val="04A0" w:firstRow="1" w:lastRow="0" w:firstColumn="1" w:lastColumn="0" w:noHBand="0" w:noVBand="1"/>
      </w:tblPr>
      <w:tblGrid>
        <w:gridCol w:w="1310"/>
        <w:gridCol w:w="2433"/>
        <w:gridCol w:w="1239"/>
        <w:gridCol w:w="1419"/>
        <w:gridCol w:w="1677"/>
        <w:gridCol w:w="1620"/>
      </w:tblGrid>
      <w:tr w:rsidR="00716C15" w:rsidRPr="00716C15" w14:paraId="01B7278D" w14:textId="77777777" w:rsidTr="00716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16A9C0B3" w14:textId="77777777" w:rsidR="00716C15" w:rsidRPr="00716C15" w:rsidRDefault="00716C15" w:rsidP="00031A51">
            <w:pPr>
              <w:rPr>
                <w:rFonts w:asciiTheme="majorHAnsi" w:hAnsiTheme="majorHAnsi" w:cstheme="majorHAnsi"/>
                <w:sz w:val="20"/>
                <w:szCs w:val="20"/>
              </w:rPr>
            </w:pPr>
            <w:commentRangeStart w:id="0"/>
            <w:r w:rsidRPr="00716C15">
              <w:rPr>
                <w:rFonts w:asciiTheme="majorHAnsi" w:hAnsiTheme="majorHAnsi" w:cstheme="majorHAnsi"/>
                <w:sz w:val="20"/>
                <w:szCs w:val="20"/>
              </w:rPr>
              <w:t>Tool</w:t>
            </w:r>
            <w:commentRangeEnd w:id="0"/>
            <w:r w:rsidRPr="00716C15">
              <w:rPr>
                <w:rStyle w:val="CommentReference"/>
                <w:rFonts w:asciiTheme="majorHAnsi" w:hAnsiTheme="majorHAnsi" w:cstheme="majorHAnsi"/>
                <w:b w:val="0"/>
                <w:bCs w:val="0"/>
                <w:sz w:val="20"/>
                <w:szCs w:val="20"/>
              </w:rPr>
              <w:commentReference w:id="0"/>
            </w:r>
          </w:p>
        </w:tc>
        <w:tc>
          <w:tcPr>
            <w:tcW w:w="2433" w:type="dxa"/>
          </w:tcPr>
          <w:p w14:paraId="09525006" w14:textId="77777777" w:rsidR="00716C15" w:rsidRPr="00716C15" w:rsidRDefault="00716C15" w:rsidP="00031A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Primary users</w:t>
            </w:r>
          </w:p>
        </w:tc>
        <w:tc>
          <w:tcPr>
            <w:tcW w:w="1239" w:type="dxa"/>
          </w:tcPr>
          <w:p w14:paraId="35D4A41D" w14:textId="77777777" w:rsidR="00716C15" w:rsidRPr="00716C15" w:rsidRDefault="00716C15" w:rsidP="00031A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Typical fuel burn scope</w:t>
            </w:r>
          </w:p>
        </w:tc>
        <w:tc>
          <w:tcPr>
            <w:tcW w:w="1419" w:type="dxa"/>
          </w:tcPr>
          <w:p w14:paraId="39A8AD46" w14:textId="77777777" w:rsidR="00716C15" w:rsidRPr="00716C15" w:rsidRDefault="00716C15" w:rsidP="00031A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Spatial / aggregation level</w:t>
            </w:r>
          </w:p>
        </w:tc>
        <w:tc>
          <w:tcPr>
            <w:tcW w:w="1677" w:type="dxa"/>
          </w:tcPr>
          <w:p w14:paraId="170C2DE0" w14:textId="77777777" w:rsidR="00716C15" w:rsidRPr="00716C15" w:rsidRDefault="00716C15" w:rsidP="00031A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Phase-of-flight coverage</w:t>
            </w:r>
          </w:p>
        </w:tc>
        <w:tc>
          <w:tcPr>
            <w:tcW w:w="1620" w:type="dxa"/>
          </w:tcPr>
          <w:p w14:paraId="49489CE0" w14:textId="77777777" w:rsidR="00716C15" w:rsidRPr="00716C15" w:rsidRDefault="00716C15" w:rsidP="00031A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Typical use context</w:t>
            </w:r>
          </w:p>
        </w:tc>
      </w:tr>
      <w:tr w:rsidR="00716C15" w:rsidRPr="00716C15" w14:paraId="46DA9570" w14:textId="77777777" w:rsidTr="00716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6A750E75" w14:textId="77777777" w:rsidR="00716C15" w:rsidRPr="00716C15" w:rsidRDefault="00716C15" w:rsidP="00031A51">
            <w:pPr>
              <w:rPr>
                <w:rFonts w:asciiTheme="majorHAnsi" w:hAnsiTheme="majorHAnsi" w:cstheme="majorHAnsi"/>
                <w:sz w:val="20"/>
                <w:szCs w:val="20"/>
              </w:rPr>
            </w:pPr>
            <w:r w:rsidRPr="00716C15">
              <w:rPr>
                <w:rFonts w:asciiTheme="majorHAnsi" w:hAnsiTheme="majorHAnsi" w:cstheme="majorHAnsi"/>
                <w:sz w:val="20"/>
                <w:szCs w:val="20"/>
              </w:rPr>
              <w:t>AEM (Advanced Emissions Model)</w:t>
            </w:r>
          </w:p>
        </w:tc>
        <w:tc>
          <w:tcPr>
            <w:tcW w:w="2433" w:type="dxa"/>
          </w:tcPr>
          <w:p w14:paraId="27B88E3A" w14:textId="34419F70"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 xml:space="preserve">Analysts, researchers, </w:t>
            </w:r>
            <w:r w:rsidRPr="00716C15">
              <w:rPr>
                <w:rFonts w:asciiTheme="majorHAnsi" w:hAnsiTheme="majorHAnsi" w:cstheme="majorHAnsi"/>
                <w:sz w:val="20"/>
                <w:szCs w:val="20"/>
              </w:rPr>
              <w:t xml:space="preserve">ANSPs, </w:t>
            </w:r>
            <w:r w:rsidRPr="00716C15">
              <w:rPr>
                <w:rFonts w:asciiTheme="majorHAnsi" w:hAnsiTheme="majorHAnsi" w:cstheme="majorHAnsi"/>
                <w:sz w:val="20"/>
                <w:szCs w:val="20"/>
              </w:rPr>
              <w:t>policy support</w:t>
            </w:r>
          </w:p>
        </w:tc>
        <w:tc>
          <w:tcPr>
            <w:tcW w:w="1239" w:type="dxa"/>
          </w:tcPr>
          <w:p w14:paraId="6E350AE1" w14:textId="77777777"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Physics-based estimation of fuel burn and emissions</w:t>
            </w:r>
          </w:p>
        </w:tc>
        <w:tc>
          <w:tcPr>
            <w:tcW w:w="1419" w:type="dxa"/>
          </w:tcPr>
          <w:p w14:paraId="03EF4258" w14:textId="77777777"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Flight / trajectory level, scalable to aggregates</w:t>
            </w:r>
          </w:p>
        </w:tc>
        <w:tc>
          <w:tcPr>
            <w:tcW w:w="1677" w:type="dxa"/>
          </w:tcPr>
          <w:p w14:paraId="0CD0CCF7" w14:textId="6184D6BF"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S</w:t>
            </w:r>
            <w:r w:rsidRPr="00716C15">
              <w:rPr>
                <w:rFonts w:asciiTheme="majorHAnsi" w:hAnsiTheme="majorHAnsi" w:cstheme="majorHAnsi"/>
                <w:sz w:val="20"/>
                <w:szCs w:val="20"/>
              </w:rPr>
              <w:t>upport</w:t>
            </w:r>
            <w:r w:rsidRPr="00716C15">
              <w:rPr>
                <w:rFonts w:asciiTheme="majorHAnsi" w:hAnsiTheme="majorHAnsi" w:cstheme="majorHAnsi"/>
                <w:sz w:val="20"/>
                <w:szCs w:val="20"/>
              </w:rPr>
              <w:t>s</w:t>
            </w:r>
            <w:r w:rsidRPr="00716C15">
              <w:rPr>
                <w:rFonts w:asciiTheme="majorHAnsi" w:hAnsiTheme="majorHAnsi" w:cstheme="majorHAnsi"/>
                <w:sz w:val="20"/>
                <w:szCs w:val="20"/>
              </w:rPr>
              <w:t xml:space="preserve"> gate-to-gate </w:t>
            </w:r>
          </w:p>
        </w:tc>
        <w:tc>
          <w:tcPr>
            <w:tcW w:w="1620" w:type="dxa"/>
          </w:tcPr>
          <w:p w14:paraId="4153CC8A" w14:textId="77777777"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Methodological analysis, emissions modelling, research and policy support</w:t>
            </w:r>
          </w:p>
        </w:tc>
      </w:tr>
      <w:tr w:rsidR="00716C15" w:rsidRPr="00716C15" w14:paraId="13C57051" w14:textId="77777777" w:rsidTr="00716C15">
        <w:tc>
          <w:tcPr>
            <w:cnfStyle w:val="001000000000" w:firstRow="0" w:lastRow="0" w:firstColumn="1" w:lastColumn="0" w:oddVBand="0" w:evenVBand="0" w:oddHBand="0" w:evenHBand="0" w:firstRowFirstColumn="0" w:firstRowLastColumn="0" w:lastRowFirstColumn="0" w:lastRowLastColumn="0"/>
            <w:tcW w:w="1310" w:type="dxa"/>
          </w:tcPr>
          <w:p w14:paraId="78177A2E" w14:textId="77777777" w:rsidR="00716C15" w:rsidRPr="00716C15" w:rsidRDefault="00716C15" w:rsidP="00031A51">
            <w:pPr>
              <w:rPr>
                <w:rFonts w:asciiTheme="majorHAnsi" w:hAnsiTheme="majorHAnsi" w:cstheme="majorHAnsi"/>
                <w:sz w:val="20"/>
                <w:szCs w:val="20"/>
              </w:rPr>
            </w:pPr>
            <w:r w:rsidRPr="00716C15">
              <w:rPr>
                <w:rFonts w:asciiTheme="majorHAnsi" w:hAnsiTheme="majorHAnsi" w:cstheme="majorHAnsi"/>
                <w:sz w:val="20"/>
                <w:szCs w:val="20"/>
              </w:rPr>
              <w:t>SET (Small Emitters Tool)</w:t>
            </w:r>
          </w:p>
        </w:tc>
        <w:tc>
          <w:tcPr>
            <w:tcW w:w="2433" w:type="dxa"/>
          </w:tcPr>
          <w:p w14:paraId="37B71C3D" w14:textId="77777777"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Aircraft operators (small emitters); verifiers/administering States (EU/UK/Swiss ETS context)</w:t>
            </w:r>
          </w:p>
        </w:tc>
        <w:tc>
          <w:tcPr>
            <w:tcW w:w="1239" w:type="dxa"/>
          </w:tcPr>
          <w:p w14:paraId="06C32ECC" w14:textId="186D2DC4"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Statistical e</w:t>
            </w:r>
            <w:r w:rsidRPr="00716C15">
              <w:rPr>
                <w:rFonts w:asciiTheme="majorHAnsi" w:hAnsiTheme="majorHAnsi" w:cstheme="majorHAnsi"/>
                <w:sz w:val="20"/>
                <w:szCs w:val="20"/>
              </w:rPr>
              <w:t>stimation of fuel burn and associated CO₂ emissions for flights within ETS reporting scope (statistical model)</w:t>
            </w:r>
          </w:p>
        </w:tc>
        <w:tc>
          <w:tcPr>
            <w:tcW w:w="1419" w:type="dxa"/>
          </w:tcPr>
          <w:p w14:paraId="08E70B66" w14:textId="77777777"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Flight list / operator fleet level (supports totals over lists of flights)</w:t>
            </w:r>
          </w:p>
        </w:tc>
        <w:tc>
          <w:tcPr>
            <w:tcW w:w="1677" w:type="dxa"/>
          </w:tcPr>
          <w:p w14:paraId="22ACFFE1" w14:textId="77777777"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Entire flight as represented by the tool (based on statistical models and flight characteristics)</w:t>
            </w:r>
          </w:p>
        </w:tc>
        <w:tc>
          <w:tcPr>
            <w:tcW w:w="1620" w:type="dxa"/>
          </w:tcPr>
          <w:p w14:paraId="61E11A93" w14:textId="77777777"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ETS monitoring and reporting support; data-gap reporting; simplified monitoring for eligible operators</w:t>
            </w:r>
          </w:p>
        </w:tc>
      </w:tr>
      <w:tr w:rsidR="00716C15" w:rsidRPr="00716C15" w14:paraId="00A2A10A" w14:textId="77777777" w:rsidTr="00716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2A10D73F" w14:textId="77777777" w:rsidR="00716C15" w:rsidRPr="00716C15" w:rsidRDefault="00716C15" w:rsidP="00031A51">
            <w:pPr>
              <w:rPr>
                <w:rFonts w:asciiTheme="majorHAnsi" w:hAnsiTheme="majorHAnsi" w:cstheme="majorHAnsi"/>
                <w:sz w:val="20"/>
                <w:szCs w:val="20"/>
              </w:rPr>
            </w:pPr>
            <w:r w:rsidRPr="00716C15">
              <w:rPr>
                <w:rFonts w:asciiTheme="majorHAnsi" w:hAnsiTheme="majorHAnsi" w:cstheme="majorHAnsi"/>
                <w:sz w:val="20"/>
                <w:szCs w:val="20"/>
              </w:rPr>
              <w:t>IMPACT</w:t>
            </w:r>
          </w:p>
        </w:tc>
        <w:tc>
          <w:tcPr>
            <w:tcW w:w="2433" w:type="dxa"/>
          </w:tcPr>
          <w:p w14:paraId="631E4907" w14:textId="77777777"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Network Manager, analysts</w:t>
            </w:r>
          </w:p>
        </w:tc>
        <w:tc>
          <w:tcPr>
            <w:tcW w:w="1239" w:type="dxa"/>
          </w:tcPr>
          <w:p w14:paraId="1BE473C7" w14:textId="77777777"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Consistent network-wide fuel burn and emissions estimates</w:t>
            </w:r>
          </w:p>
        </w:tc>
        <w:tc>
          <w:tcPr>
            <w:tcW w:w="1419" w:type="dxa"/>
          </w:tcPr>
          <w:p w14:paraId="263A51CA" w14:textId="77777777"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Pan-European network level</w:t>
            </w:r>
          </w:p>
        </w:tc>
        <w:tc>
          <w:tcPr>
            <w:tcW w:w="1677" w:type="dxa"/>
          </w:tcPr>
          <w:p w14:paraId="26608A93" w14:textId="77777777"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Typically airborne</w:t>
            </w:r>
          </w:p>
        </w:tc>
        <w:tc>
          <w:tcPr>
            <w:tcW w:w="1620" w:type="dxa"/>
          </w:tcPr>
          <w:p w14:paraId="60B0FB39" w14:textId="77777777" w:rsidR="00716C15" w:rsidRPr="00716C15" w:rsidRDefault="00716C15" w:rsidP="00031A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Network performance monitoring, reporting, trend analysis</w:t>
            </w:r>
          </w:p>
        </w:tc>
      </w:tr>
      <w:tr w:rsidR="00716C15" w:rsidRPr="00716C15" w14:paraId="0F36783F" w14:textId="77777777" w:rsidTr="00716C15">
        <w:tc>
          <w:tcPr>
            <w:cnfStyle w:val="001000000000" w:firstRow="0" w:lastRow="0" w:firstColumn="1" w:lastColumn="0" w:oddVBand="0" w:evenVBand="0" w:oddHBand="0" w:evenHBand="0" w:firstRowFirstColumn="0" w:firstRowLastColumn="0" w:lastRowFirstColumn="0" w:lastRowLastColumn="0"/>
            <w:tcW w:w="1310" w:type="dxa"/>
          </w:tcPr>
          <w:p w14:paraId="7A089C40" w14:textId="77777777" w:rsidR="00716C15" w:rsidRPr="00716C15" w:rsidRDefault="00716C15" w:rsidP="00031A51">
            <w:pPr>
              <w:rPr>
                <w:rFonts w:asciiTheme="majorHAnsi" w:hAnsiTheme="majorHAnsi" w:cstheme="majorHAnsi"/>
                <w:sz w:val="20"/>
                <w:szCs w:val="20"/>
              </w:rPr>
            </w:pPr>
            <w:r w:rsidRPr="00716C15">
              <w:rPr>
                <w:rFonts w:asciiTheme="majorHAnsi" w:hAnsiTheme="majorHAnsi" w:cstheme="majorHAnsi"/>
                <w:sz w:val="20"/>
                <w:szCs w:val="20"/>
              </w:rPr>
              <w:lastRenderedPageBreak/>
              <w:t>FlyingGreen</w:t>
            </w:r>
          </w:p>
        </w:tc>
        <w:tc>
          <w:tcPr>
            <w:tcW w:w="2433" w:type="dxa"/>
          </w:tcPr>
          <w:p w14:paraId="375F361E" w14:textId="243404A3"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 xml:space="preserve">ANSPs, States, airports, </w:t>
            </w:r>
            <w:r w:rsidRPr="00716C15">
              <w:rPr>
                <w:rFonts w:asciiTheme="majorHAnsi" w:hAnsiTheme="majorHAnsi" w:cstheme="majorHAnsi"/>
                <w:sz w:val="20"/>
                <w:szCs w:val="20"/>
              </w:rPr>
              <w:t xml:space="preserve">Policy makers </w:t>
            </w:r>
            <w:r w:rsidRPr="00716C15">
              <w:rPr>
                <w:rFonts w:asciiTheme="majorHAnsi" w:hAnsiTheme="majorHAnsi" w:cstheme="majorHAnsi"/>
                <w:sz w:val="20"/>
                <w:szCs w:val="20"/>
              </w:rPr>
              <w:t>(module-dependent)</w:t>
            </w:r>
          </w:p>
        </w:tc>
        <w:tc>
          <w:tcPr>
            <w:tcW w:w="1239" w:type="dxa"/>
          </w:tcPr>
          <w:p w14:paraId="5AABED72" w14:textId="0A4F1638"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Fuel burn and emissions indicators derived from multiple data sources</w:t>
            </w:r>
            <w:r w:rsidRPr="00716C15">
              <w:rPr>
                <w:rFonts w:asciiTheme="majorHAnsi" w:hAnsiTheme="majorHAnsi" w:cstheme="majorHAnsi"/>
                <w:sz w:val="20"/>
                <w:szCs w:val="20"/>
              </w:rPr>
              <w:t xml:space="preserve"> (using AEM)</w:t>
            </w:r>
          </w:p>
        </w:tc>
        <w:tc>
          <w:tcPr>
            <w:tcW w:w="1419" w:type="dxa"/>
          </w:tcPr>
          <w:p w14:paraId="10C1125F" w14:textId="77777777"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Configurable: ANSP, airport, State, or network views</w:t>
            </w:r>
          </w:p>
        </w:tc>
        <w:tc>
          <w:tcPr>
            <w:tcW w:w="1677" w:type="dxa"/>
          </w:tcPr>
          <w:p w14:paraId="59EA85D3" w14:textId="77777777"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Phase-dependent, module-specific</w:t>
            </w:r>
          </w:p>
        </w:tc>
        <w:tc>
          <w:tcPr>
            <w:tcW w:w="1620" w:type="dxa"/>
          </w:tcPr>
          <w:p w14:paraId="151CDC27" w14:textId="77777777" w:rsidR="00716C15" w:rsidRPr="00716C15" w:rsidRDefault="00716C15" w:rsidP="00031A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16C15">
              <w:rPr>
                <w:rFonts w:asciiTheme="majorHAnsi" w:hAnsiTheme="majorHAnsi" w:cstheme="majorHAnsi"/>
                <w:sz w:val="20"/>
                <w:szCs w:val="20"/>
              </w:rPr>
              <w:t>Transparency, stakeholder dialogue, awareness, decision support</w:t>
            </w:r>
          </w:p>
        </w:tc>
      </w:tr>
    </w:tbl>
    <w:p w14:paraId="26279C44" w14:textId="77777777" w:rsidR="00716C15" w:rsidRDefault="00716C15" w:rsidP="00716C15">
      <w:pPr>
        <w:rPr>
          <w:rFonts w:asciiTheme="majorHAnsi" w:hAnsiTheme="majorHAnsi" w:cstheme="majorHAnsi"/>
        </w:rPr>
      </w:pPr>
    </w:p>
    <w:p w14:paraId="396955FA" w14:textId="24B3F0BF" w:rsidR="00716C15" w:rsidRPr="00716C15" w:rsidRDefault="00716C15" w:rsidP="00716C15">
      <w:pPr>
        <w:rPr>
          <w:rFonts w:asciiTheme="majorHAnsi" w:hAnsiTheme="majorHAnsi" w:cstheme="majorHAnsi"/>
          <w:b/>
          <w:bCs/>
        </w:rPr>
      </w:pPr>
      <w:r w:rsidRPr="00716C15">
        <w:rPr>
          <w:rFonts w:asciiTheme="majorHAnsi" w:hAnsiTheme="majorHAnsi" w:cstheme="majorHAnsi"/>
        </w:rPr>
        <w:t>The tools and platforms listed differ in nature (model, tool, platform) and role; the mapping reflects typical use and scope and does not imply equivalence or overlap in mandate.</w:t>
      </w:r>
    </w:p>
    <w:p w14:paraId="5695C1EE" w14:textId="4B381686" w:rsidR="0036765C" w:rsidRPr="00FB020C" w:rsidRDefault="00000000" w:rsidP="00FB020C">
      <w:pPr>
        <w:pStyle w:val="Heading2"/>
        <w:jc w:val="both"/>
        <w:rPr>
          <w:rFonts w:cstheme="majorHAnsi"/>
        </w:rPr>
      </w:pPr>
      <w:r w:rsidRPr="00FB020C">
        <w:rPr>
          <w:rFonts w:cstheme="majorHAnsi"/>
        </w:rPr>
        <w:t>Caveats</w:t>
      </w:r>
    </w:p>
    <w:p w14:paraId="2972CD93" w14:textId="423B5BCD" w:rsidR="00FB020C" w:rsidRPr="00FB020C" w:rsidRDefault="00000000" w:rsidP="00FB020C">
      <w:pPr>
        <w:pStyle w:val="ListParagraph"/>
        <w:numPr>
          <w:ilvl w:val="0"/>
          <w:numId w:val="11"/>
        </w:numPr>
        <w:jc w:val="both"/>
        <w:rPr>
          <w:rFonts w:asciiTheme="majorHAnsi" w:hAnsiTheme="majorHAnsi" w:cstheme="majorHAnsi"/>
        </w:rPr>
      </w:pPr>
      <w:r w:rsidRPr="00FB020C">
        <w:rPr>
          <w:rFonts w:asciiTheme="majorHAnsi" w:hAnsiTheme="majorHAnsi" w:cstheme="majorHAnsi"/>
        </w:rPr>
        <w:t>Fuel burn values from different tools should not be directly compared without understanding scope and assumptions.</w:t>
      </w:r>
    </w:p>
    <w:p w14:paraId="6B34D068" w14:textId="77777777" w:rsidR="00FB020C" w:rsidRDefault="00000000" w:rsidP="00FB020C">
      <w:pPr>
        <w:pStyle w:val="ListParagraph"/>
        <w:numPr>
          <w:ilvl w:val="0"/>
          <w:numId w:val="11"/>
        </w:numPr>
        <w:jc w:val="both"/>
        <w:rPr>
          <w:rFonts w:asciiTheme="majorHAnsi" w:hAnsiTheme="majorHAnsi" w:cstheme="majorHAnsi"/>
        </w:rPr>
      </w:pPr>
      <w:r w:rsidRPr="00FB020C">
        <w:rPr>
          <w:rFonts w:asciiTheme="majorHAnsi" w:hAnsiTheme="majorHAnsi" w:cstheme="majorHAnsi"/>
        </w:rPr>
        <w:t>No single tool provides a complete representation of ANSP environmental performance.</w:t>
      </w:r>
    </w:p>
    <w:p w14:paraId="4A3DB3E2" w14:textId="642C0C82" w:rsidR="0036765C" w:rsidRPr="00FB020C" w:rsidRDefault="00000000" w:rsidP="00FB020C">
      <w:pPr>
        <w:pStyle w:val="ListParagraph"/>
        <w:numPr>
          <w:ilvl w:val="0"/>
          <w:numId w:val="11"/>
        </w:numPr>
        <w:jc w:val="both"/>
        <w:rPr>
          <w:rFonts w:asciiTheme="majorHAnsi" w:hAnsiTheme="majorHAnsi" w:cstheme="majorHAnsi"/>
        </w:rPr>
      </w:pPr>
      <w:r w:rsidRPr="00FB020C">
        <w:rPr>
          <w:rFonts w:asciiTheme="majorHAnsi" w:hAnsiTheme="majorHAnsi" w:cstheme="majorHAnsi"/>
        </w:rPr>
        <w:t>Interpretation must always reflect the intended user and decision context.</w:t>
      </w:r>
    </w:p>
    <w:sectPr w:rsidR="0036765C" w:rsidRPr="00FB020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JOVIC Tamara" w:date="2026-01-14T19:55:00Z" w:initials="TP">
    <w:p w14:paraId="7209B1EC" w14:textId="5A19E707" w:rsidR="00716C15" w:rsidRDefault="00716C15" w:rsidP="00716C15">
      <w:pPr>
        <w:pStyle w:val="CommentText"/>
      </w:pPr>
      <w:r>
        <w:rPr>
          <w:rStyle w:val="CommentReference"/>
        </w:rPr>
        <w:annotationRef/>
      </w:r>
      <w:r>
        <w:rPr>
          <w:lang w:val="en-GB"/>
        </w:rPr>
        <w:t>To be validated by tool owners.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09B1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B4DC97" w16cex:dateUtc="2026-01-14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09B1EC" w16cid:durableId="57B4DC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9D7812"/>
    <w:multiLevelType w:val="hybridMultilevel"/>
    <w:tmpl w:val="83B89BC4"/>
    <w:lvl w:ilvl="0" w:tplc="4202CCA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6E6FED"/>
    <w:multiLevelType w:val="hybridMultilevel"/>
    <w:tmpl w:val="38E65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3696329">
    <w:abstractNumId w:val="8"/>
  </w:num>
  <w:num w:numId="2" w16cid:durableId="755589173">
    <w:abstractNumId w:val="6"/>
  </w:num>
  <w:num w:numId="3" w16cid:durableId="372387807">
    <w:abstractNumId w:val="5"/>
  </w:num>
  <w:num w:numId="4" w16cid:durableId="1841310995">
    <w:abstractNumId w:val="4"/>
  </w:num>
  <w:num w:numId="5" w16cid:durableId="1151823991">
    <w:abstractNumId w:val="7"/>
  </w:num>
  <w:num w:numId="6" w16cid:durableId="968366104">
    <w:abstractNumId w:val="3"/>
  </w:num>
  <w:num w:numId="7" w16cid:durableId="2066100474">
    <w:abstractNumId w:val="2"/>
  </w:num>
  <w:num w:numId="8" w16cid:durableId="124861804">
    <w:abstractNumId w:val="1"/>
  </w:num>
  <w:num w:numId="9" w16cid:durableId="1521629917">
    <w:abstractNumId w:val="0"/>
  </w:num>
  <w:num w:numId="10" w16cid:durableId="98258775">
    <w:abstractNumId w:val="10"/>
  </w:num>
  <w:num w:numId="11" w16cid:durableId="53531187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JOVIC Tamara">
    <w15:presenceInfo w15:providerId="AD" w15:userId="S::tamara.pejovic@eurocontrol.int::0e9a1b0a-7380-474b-bd46-1f2218bb98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65C"/>
    <w:rsid w:val="006960D5"/>
    <w:rsid w:val="00716C15"/>
    <w:rsid w:val="00AA1D8D"/>
    <w:rsid w:val="00B47730"/>
    <w:rsid w:val="00CB0664"/>
    <w:rsid w:val="00FB0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B9D12"/>
  <w14:defaultImageDpi w14:val="300"/>
  <w15:docId w15:val="{6A063565-A54E-4D99-9EBA-286163409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B02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716C15"/>
    <w:rPr>
      <w:sz w:val="16"/>
      <w:szCs w:val="16"/>
    </w:rPr>
  </w:style>
  <w:style w:type="paragraph" w:styleId="CommentText">
    <w:name w:val="annotation text"/>
    <w:basedOn w:val="Normal"/>
    <w:link w:val="CommentTextChar"/>
    <w:uiPriority w:val="99"/>
    <w:unhideWhenUsed/>
    <w:rsid w:val="00716C15"/>
    <w:pPr>
      <w:spacing w:line="240" w:lineRule="auto"/>
    </w:pPr>
    <w:rPr>
      <w:sz w:val="20"/>
      <w:szCs w:val="20"/>
    </w:rPr>
  </w:style>
  <w:style w:type="character" w:customStyle="1" w:styleId="CommentTextChar">
    <w:name w:val="Comment Text Char"/>
    <w:basedOn w:val="DefaultParagraphFont"/>
    <w:link w:val="CommentText"/>
    <w:uiPriority w:val="99"/>
    <w:rsid w:val="00716C15"/>
    <w:rPr>
      <w:sz w:val="20"/>
      <w:szCs w:val="20"/>
    </w:rPr>
  </w:style>
  <w:style w:type="paragraph" w:styleId="CommentSubject">
    <w:name w:val="annotation subject"/>
    <w:basedOn w:val="CommentText"/>
    <w:next w:val="CommentText"/>
    <w:link w:val="CommentSubjectChar"/>
    <w:uiPriority w:val="99"/>
    <w:semiHidden/>
    <w:unhideWhenUsed/>
    <w:rsid w:val="00716C15"/>
    <w:rPr>
      <w:b/>
      <w:bCs/>
    </w:rPr>
  </w:style>
  <w:style w:type="character" w:customStyle="1" w:styleId="CommentSubjectChar">
    <w:name w:val="Comment Subject Char"/>
    <w:basedOn w:val="CommentTextChar"/>
    <w:link w:val="CommentSubject"/>
    <w:uiPriority w:val="99"/>
    <w:semiHidden/>
    <w:rsid w:val="00716C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d60f3b8-f236-4830-aecc-da0a7fc54679}" enabled="1" method="Standard" siteId="{76f33c20-5979-4408-adf7-8b3c4be95e52}"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2</Pages>
  <Words>364</Words>
  <Characters>2461</Characters>
  <Application>Microsoft Office Word</Application>
  <DocSecurity>0</DocSecurity>
  <Lines>223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PEJOVIC Tamara</cp:lastModifiedBy>
  <cp:revision>3</cp:revision>
  <dcterms:created xsi:type="dcterms:W3CDTF">2026-01-14T18:52:00Z</dcterms:created>
  <dcterms:modified xsi:type="dcterms:W3CDTF">2026-01-14T19:05:00Z</dcterms:modified>
  <cp:category/>
</cp:coreProperties>
</file>