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ScoutMatch FC Tactical Summary
Primary Formation: 4-2-3-1
Right-back need: immediate reinforcement required
Attacking-midfielder need: creative player below the striker
Immediate availability preference: yes during congested fixture period
Budget discipline: respect combined salary budget of 100,000 EUR
</w:t>
      </w:r>
    </w:p>
  </w:body>
</w:document>
</file>