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2B3A67"/>
          <w:sz w:val="16"/>
        </w:rPr>
        <w:t>________________________________________________________________</w:t>
      </w:r>
    </w:p>
    <w:p>
      <w:pPr>
        <w:jc w:val="left"/>
      </w:pPr>
      <w:r>
        <w:rPr>
          <w:rFonts w:ascii="Calibri" w:hAnsi="Calibri"/>
          <w:b/>
          <w:color w:val="A8681F"/>
          <w:sz w:val="22"/>
        </w:rPr>
        <w:t>DOC/INDEX — INTELLIGENT REPORT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618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B3A6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B3A6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2B3A6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B3A6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/>
      <w:b w:val="0"/>
      <w:i/>
      <w:iCs/>
      <w:color w:val="A8681F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alibri" w:hAnsi="Calibri"/>
      <w:i/>
      <w:iCs/>
      <w:color w:val="52555C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rPr>
      <w:rFonts w:ascii="Consolas" w:hAnsi="Consolas"/>
      <w:color w:val="16181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