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3036" w14:textId="77777777" w:rsidR="00207869" w:rsidRDefault="00207869">
      <w:pPr>
        <w:pStyle w:val="BodyText"/>
        <w:spacing w:before="52"/>
        <w:rPr>
          <w:sz w:val="32"/>
        </w:rPr>
      </w:pPr>
    </w:p>
    <w:p w14:paraId="6CD97143" w14:textId="77777777" w:rsidR="00207869" w:rsidRDefault="00000000">
      <w:pPr>
        <w:pStyle w:val="Heading1"/>
        <w:ind w:right="253"/>
        <w:jc w:val="center"/>
      </w:pPr>
      <w:r>
        <w:rPr>
          <w:spacing w:val="-2"/>
        </w:rPr>
        <w:t>DEPARTMENT</w:t>
      </w:r>
      <w:r>
        <w:rPr>
          <w:spacing w:val="-16"/>
        </w:rPr>
        <w:t xml:space="preserve"> </w:t>
      </w:r>
      <w:r>
        <w:rPr>
          <w:spacing w:val="-2"/>
        </w:rPr>
        <w:t>OF</w:t>
      </w:r>
      <w:r>
        <w:rPr>
          <w:spacing w:val="-18"/>
        </w:rPr>
        <w:t xml:space="preserve"> </w:t>
      </w:r>
      <w:r>
        <w:rPr>
          <w:spacing w:val="-2"/>
        </w:rPr>
        <w:t>COMPUTER</w:t>
      </w:r>
      <w:r>
        <w:rPr>
          <w:spacing w:val="-16"/>
        </w:rPr>
        <w:t xml:space="preserve"> </w:t>
      </w:r>
      <w:r>
        <w:rPr>
          <w:spacing w:val="-2"/>
        </w:rPr>
        <w:t>ENGINEERING</w:t>
      </w:r>
    </w:p>
    <w:p w14:paraId="6CDB1BE3" w14:textId="77777777" w:rsidR="00207869" w:rsidRDefault="00000000">
      <w:pPr>
        <w:spacing w:before="30"/>
        <w:ind w:left="255" w:right="247"/>
        <w:jc w:val="center"/>
        <w:rPr>
          <w:b/>
          <w:sz w:val="32"/>
        </w:rPr>
      </w:pPr>
      <w:r>
        <w:rPr>
          <w:b/>
          <w:spacing w:val="-4"/>
          <w:sz w:val="32"/>
        </w:rPr>
        <w:t>Academic</w:t>
      </w:r>
      <w:r>
        <w:rPr>
          <w:b/>
          <w:spacing w:val="-3"/>
          <w:sz w:val="32"/>
        </w:rPr>
        <w:t xml:space="preserve"> </w:t>
      </w:r>
      <w:r>
        <w:rPr>
          <w:b/>
          <w:spacing w:val="-4"/>
          <w:sz w:val="32"/>
        </w:rPr>
        <w:t>Year 2025-</w:t>
      </w:r>
      <w:r>
        <w:rPr>
          <w:b/>
          <w:spacing w:val="-5"/>
          <w:sz w:val="32"/>
        </w:rPr>
        <w:t>26</w:t>
      </w:r>
    </w:p>
    <w:p w14:paraId="2CC9B9BE" w14:textId="77777777" w:rsidR="00207869" w:rsidRDefault="00000000">
      <w:pPr>
        <w:pStyle w:val="BodyText"/>
        <w:spacing w:before="1"/>
        <w:rPr>
          <w:b/>
          <w:sz w:val="5"/>
        </w:rPr>
      </w:pPr>
      <w:r>
        <w:rPr>
          <w:b/>
          <w:noProof/>
          <w:sz w:val="5"/>
        </w:rPr>
        <w:drawing>
          <wp:anchor distT="0" distB="0" distL="0" distR="0" simplePos="0" relativeHeight="487587840" behindDoc="1" locked="0" layoutInCell="1" allowOverlap="1" wp14:anchorId="5C9A1724" wp14:editId="1E76A383">
            <wp:simplePos x="0" y="0"/>
            <wp:positionH relativeFrom="page">
              <wp:posOffset>2687440</wp:posOffset>
            </wp:positionH>
            <wp:positionV relativeFrom="paragraph">
              <wp:posOffset>52975</wp:posOffset>
            </wp:positionV>
            <wp:extent cx="2411776" cy="2457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11776" cy="2457450"/>
                    </a:xfrm>
                    <a:prstGeom prst="rect">
                      <a:avLst/>
                    </a:prstGeom>
                  </pic:spPr>
                </pic:pic>
              </a:graphicData>
            </a:graphic>
          </wp:anchor>
        </w:drawing>
      </w:r>
    </w:p>
    <w:p w14:paraId="51E7859D" w14:textId="77777777" w:rsidR="00207869" w:rsidRDefault="00207869">
      <w:pPr>
        <w:pStyle w:val="BodyText"/>
        <w:spacing w:before="42"/>
        <w:rPr>
          <w:b/>
          <w:sz w:val="32"/>
        </w:rPr>
      </w:pPr>
    </w:p>
    <w:p w14:paraId="39FDBED6" w14:textId="77777777" w:rsidR="00207869" w:rsidRDefault="00000000">
      <w:pPr>
        <w:pStyle w:val="Heading1"/>
        <w:ind w:right="256"/>
        <w:jc w:val="center"/>
      </w:pPr>
      <w:bookmarkStart w:id="0" w:name="A_Micro_Project_Report_On"/>
      <w:bookmarkEnd w:id="0"/>
      <w:r>
        <w:t>A</w:t>
      </w:r>
      <w:r>
        <w:rPr>
          <w:spacing w:val="-17"/>
        </w:rPr>
        <w:t xml:space="preserve"> </w:t>
      </w:r>
      <w:r>
        <w:t>Case</w:t>
      </w:r>
      <w:r>
        <w:rPr>
          <w:spacing w:val="-14"/>
        </w:rPr>
        <w:t xml:space="preserve"> </w:t>
      </w:r>
      <w:r>
        <w:t>Study</w:t>
      </w:r>
      <w:r>
        <w:rPr>
          <w:spacing w:val="-11"/>
        </w:rPr>
        <w:t xml:space="preserve"> </w:t>
      </w:r>
      <w:r>
        <w:t>Report</w:t>
      </w:r>
      <w:r>
        <w:rPr>
          <w:spacing w:val="-15"/>
        </w:rPr>
        <w:t xml:space="preserve"> </w:t>
      </w:r>
      <w:r>
        <w:rPr>
          <w:spacing w:val="-5"/>
        </w:rPr>
        <w:t>On</w:t>
      </w:r>
    </w:p>
    <w:p w14:paraId="568EF9AC" w14:textId="77777777" w:rsidR="00207869" w:rsidRDefault="00000000">
      <w:pPr>
        <w:spacing w:before="2" w:line="908" w:lineRule="exact"/>
        <w:ind w:left="255" w:right="252"/>
        <w:jc w:val="center"/>
        <w:rPr>
          <w:b/>
          <w:sz w:val="32"/>
        </w:rPr>
      </w:pPr>
      <w:r>
        <w:rPr>
          <w:b/>
          <w:bCs/>
          <w:sz w:val="32"/>
        </w:rPr>
        <w:t>“ICBC Financial Cyberattack (2023)”</w:t>
      </w:r>
      <w:r>
        <w:rPr>
          <w:b/>
          <w:bCs/>
          <w:sz w:val="32"/>
        </w:rPr>
        <w:br/>
      </w:r>
      <w:r>
        <w:rPr>
          <w:b/>
          <w:bCs/>
          <w:sz w:val="32"/>
        </w:rPr>
        <w:t xml:space="preserve">Submitted By</w:t>
      </w:r>
    </w:p>
    <w:p w14:paraId="460D24D5" w14:textId="77777777" w:rsidR="00207869" w:rsidRDefault="00207869">
      <w:pPr>
        <w:pStyle w:val="BodyText"/>
        <w:spacing w:before="139"/>
        <w:rPr>
          <w:b/>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81"/>
        </w:trPr>
        <w:tc>
          <w:tcPr>
            <w:tcW w:w="4777" w:type="dxa"/>
          </w:tcPr>
          <w:p w:rsidR="00207869" w:rsidRDefault="00000000">
            <w:pPr>
              <w:pStyle w:val="TableParagraph"/>
              <w:spacing w:before="31"/>
              <w:ind w:left="6" w:right="3"/>
              <w:rPr>
                <w:sz w:val="28"/>
              </w:rPr>
            </w:pPr>
            <w:r>
              <w:rPr>
                <w:sz w:val="28"/>
              </w:rPr>
              <w:t>Pranav Jagtap</w:t>
            </w:r>
          </w:p>
        </w:tc>
        <w:tc>
          <w:tcPr>
            <w:tcW w:w="4775" w:type="dxa"/>
          </w:tcPr>
          <w:p w:rsidR="00207869" w:rsidRDefault="00000000">
            <w:pPr>
              <w:pStyle w:val="TableParagraph"/>
              <w:spacing w:before="31"/>
              <w:ind w:left="7"/>
              <w:rPr>
                <w:sz w:val="28"/>
              </w:rPr>
            </w:pPr>
            <w:r>
              <w:rPr>
                <w:sz w:val="28"/>
              </w:rPr>
              <w:t>2406082</w:t>
            </w:r>
          </w:p>
        </w:tc>
      </w:tr>
    </w:tbl>
    <w:p w14:paraId="445C501B" w14:textId="77777777" w:rsidR="00207869" w:rsidRDefault="00207869">
      <w:pPr>
        <w:pStyle w:val="BodyText"/>
        <w:spacing w:before="35"/>
        <w:rPr>
          <w:b/>
          <w:sz w:val="32"/>
        </w:rPr>
      </w:pPr>
    </w:p>
    <w:p w14:paraId="247A0353" w14:textId="77777777" w:rsidR="00207869" w:rsidRDefault="00000000">
      <w:pPr>
        <w:spacing w:line="790" w:lineRule="atLeast"/>
        <w:ind w:left="3600" w:right="3600"/>
        <w:jc w:val="center"/>
        <w:rPr>
          <w:b/>
          <w:sz w:val="32"/>
        </w:rPr>
      </w:pPr>
      <w:r>
        <w:rPr>
          <w:b/>
          <w:bCs/>
          <w:sz w:val="32"/>
        </w:rPr>
        <w:t xml:space="preserve">Guided by :</w:t>
      </w:r>
      <w:r>
        <w:rPr>
          <w:b/>
          <w:bCs/>
          <w:sz w:val="32"/>
        </w:rPr>
        <w:br/>
      </w:r>
      <w:r>
        <w:rPr>
          <w:b/>
          <w:bCs/>
          <w:sz w:val="32"/>
        </w:rPr>
        <w:t xml:space="preserve">Smt.S.P.Ambavane</w:t>
      </w:r>
    </w:p>
    <w:p w14:paraId="77DE4B56" w14:textId="77777777" w:rsidR="00207869" w:rsidRDefault="00000000">
      <w:pPr>
        <w:spacing w:before="36"/>
        <w:ind w:left="447" w:right="192"/>
        <w:jc w:val="center"/>
        <w:rPr>
          <w:b/>
          <w:sz w:val="32"/>
        </w:rPr>
      </w:pPr>
      <w:r>
        <w:rPr>
          <w:b/>
          <w:bCs/>
          <w:sz w:val="32"/>
        </w:rPr>
        <w:t xml:space="preserve">Lecturer, Government Polytechnic, Pune</w:t>
      </w:r>
    </w:p>
    <w:p w14:paraId="25FD0753" w14:textId="77777777" w:rsidR="00207869" w:rsidRDefault="00207869">
      <w:pPr>
        <w:jc w:val="center"/>
        <w:rPr>
          <w:b/>
          <w:sz w:val="32"/>
        </w:rPr>
        <w:sectPr w:rsidR="00207869">
          <w:headerReference w:type="default" r:id="rId8"/>
          <w:type w:val="continuous"/>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0EAFF9" w14:textId="77777777" w:rsidR="00207869" w:rsidRDefault="00207869">
      <w:pPr>
        <w:pStyle w:val="BodyText"/>
        <w:spacing w:before="138"/>
        <w:rPr>
          <w:b/>
          <w:sz w:val="32"/>
        </w:rPr>
      </w:pPr>
    </w:p>
    <w:p w14:paraId="0981E5D6" w14:textId="77777777" w:rsidR="00207869" w:rsidRDefault="00000000">
      <w:pPr>
        <w:ind w:left="255" w:right="253"/>
        <w:jc w:val="center"/>
        <w:rPr>
          <w:b/>
          <w:sz w:val="32"/>
        </w:rPr>
      </w:pPr>
      <w:bookmarkStart w:id="1" w:name="DEPARTMENT_OF_COMPUTER_ENGINEERING"/>
      <w:bookmarkEnd w:id="1"/>
      <w:r>
        <w:rPr>
          <w:b/>
          <w:spacing w:val="-2"/>
          <w:sz w:val="32"/>
        </w:rPr>
        <w:t>DEPARTMENT</w:t>
      </w:r>
      <w:r>
        <w:rPr>
          <w:b/>
          <w:spacing w:val="-16"/>
          <w:sz w:val="32"/>
        </w:rPr>
        <w:t xml:space="preserve"> </w:t>
      </w:r>
      <w:r>
        <w:rPr>
          <w:b/>
          <w:spacing w:val="-2"/>
          <w:sz w:val="32"/>
        </w:rPr>
        <w:t>OF</w:t>
      </w:r>
      <w:r>
        <w:rPr>
          <w:b/>
          <w:spacing w:val="-18"/>
          <w:sz w:val="32"/>
        </w:rPr>
        <w:t xml:space="preserve"> </w:t>
      </w:r>
      <w:r>
        <w:rPr>
          <w:b/>
          <w:spacing w:val="-2"/>
          <w:sz w:val="32"/>
        </w:rPr>
        <w:t>COMPUTER</w:t>
      </w:r>
      <w:r>
        <w:rPr>
          <w:b/>
          <w:spacing w:val="-16"/>
          <w:sz w:val="32"/>
        </w:rPr>
        <w:t xml:space="preserve"> </w:t>
      </w:r>
      <w:r>
        <w:rPr>
          <w:b/>
          <w:spacing w:val="-2"/>
          <w:sz w:val="32"/>
        </w:rPr>
        <w:t>ENGINEERING</w:t>
      </w:r>
    </w:p>
    <w:p w14:paraId="575AF851" w14:textId="77777777" w:rsidR="00207869" w:rsidRDefault="00000000">
      <w:pPr>
        <w:spacing w:before="28"/>
        <w:ind w:left="255" w:right="377"/>
        <w:jc w:val="center"/>
        <w:rPr>
          <w:b/>
          <w:sz w:val="32"/>
        </w:rPr>
      </w:pPr>
      <w:bookmarkStart w:id="2" w:name="Academic_Year_2025-26"/>
      <w:bookmarkEnd w:id="2"/>
      <w:r>
        <w:rPr>
          <w:b/>
          <w:spacing w:val="-4"/>
          <w:sz w:val="32"/>
        </w:rPr>
        <w:t>Academic</w:t>
      </w:r>
      <w:r>
        <w:rPr>
          <w:b/>
          <w:spacing w:val="-3"/>
          <w:sz w:val="32"/>
        </w:rPr>
        <w:t xml:space="preserve"> </w:t>
      </w:r>
      <w:r>
        <w:rPr>
          <w:b/>
          <w:spacing w:val="-4"/>
          <w:sz w:val="32"/>
        </w:rPr>
        <w:t>Year 2025-</w:t>
      </w:r>
      <w:r>
        <w:rPr>
          <w:b/>
          <w:spacing w:val="-5"/>
          <w:sz w:val="32"/>
        </w:rPr>
        <w:t>26</w:t>
      </w:r>
    </w:p>
    <w:p w14:paraId="57F51065" w14:textId="77777777" w:rsidR="00207869" w:rsidRDefault="00000000">
      <w:pPr>
        <w:pStyle w:val="BodyText"/>
        <w:spacing w:before="1"/>
        <w:rPr>
          <w:b/>
          <w:sz w:val="5"/>
        </w:rPr>
      </w:pPr>
      <w:r>
        <w:rPr>
          <w:b/>
          <w:noProof/>
          <w:sz w:val="5"/>
        </w:rPr>
        <w:drawing>
          <wp:anchor distT="0" distB="0" distL="0" distR="0" simplePos="0" relativeHeight="487588352" behindDoc="1" locked="0" layoutInCell="1" allowOverlap="1" wp14:anchorId="486B8D7D" wp14:editId="611FD764">
            <wp:simplePos x="0" y="0"/>
            <wp:positionH relativeFrom="page">
              <wp:posOffset>2600445</wp:posOffset>
            </wp:positionH>
            <wp:positionV relativeFrom="paragraph">
              <wp:posOffset>52975</wp:posOffset>
            </wp:positionV>
            <wp:extent cx="2411776" cy="2457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11776" cy="2457450"/>
                    </a:xfrm>
                    <a:prstGeom prst="rect">
                      <a:avLst/>
                    </a:prstGeom>
                  </pic:spPr>
                </pic:pic>
              </a:graphicData>
            </a:graphic>
          </wp:anchor>
        </w:drawing>
      </w:r>
    </w:p>
    <w:p w14:paraId="6F82CBC7" w14:textId="77777777" w:rsidR="00207869" w:rsidRDefault="00207869">
      <w:pPr>
        <w:pStyle w:val="BodyText"/>
        <w:spacing w:before="133"/>
        <w:rPr>
          <w:b/>
          <w:sz w:val="32"/>
        </w:rPr>
      </w:pPr>
    </w:p>
    <w:p w14:paraId="07D09060" w14:textId="77777777" w:rsidR="00207869" w:rsidRDefault="00000000">
      <w:pPr>
        <w:pStyle w:val="Heading1"/>
        <w:spacing w:before="1"/>
        <w:ind w:right="256"/>
        <w:jc w:val="center"/>
      </w:pPr>
      <w:r>
        <w:rPr>
          <w:spacing w:val="-2"/>
        </w:rPr>
        <w:t>CERTIFICATE</w:t>
      </w:r>
    </w:p>
    <w:p w14:paraId="673F68BF" w14:textId="77777777" w:rsidR="00207869" w:rsidRDefault="00207869">
      <w:pPr>
        <w:pStyle w:val="BodyText"/>
        <w:spacing w:before="106"/>
        <w:rPr>
          <w:b/>
          <w:sz w:val="32"/>
        </w:rPr>
      </w:pPr>
    </w:p>
    <w:p w14:paraId="06A2583C" w14:textId="77777777" w:rsidR="00207869" w:rsidRDefault="00000000">
      <w:pPr>
        <w:ind w:left="255" w:right="256"/>
        <w:jc w:val="center"/>
        <w:rPr>
          <w:sz w:val="24"/>
        </w:rPr>
      </w:pPr>
      <w:r>
        <w:rPr>
          <w:sz w:val="24"/>
        </w:rPr>
        <w:t xml:space="preserve">This is to certify that the case-study work entitled </w:t>
      </w:r>
      <w:r>
        <w:rPr>
          <w:b/>
          <w:bCs/>
          <w:sz w:val="24"/>
        </w:rPr>
        <w:t xml:space="preserve">“ICBC Financial Cyberattack (2023)” </w:t>
      </w:r>
      <w:r>
        <w:rPr>
          <w:sz w:val="24"/>
        </w:rPr>
        <w:t>is a bonafide work carried out by</w:t>
      </w:r>
    </w:p>
    <w:p w14:paraId="1D1F980B" w14:textId="77777777" w:rsidR="00207869" w:rsidRDefault="00207869">
      <w:pPr>
        <w:pStyle w:val="BodyText"/>
        <w:spacing w:before="107"/>
        <w:rPr>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35"/>
        </w:trPr>
        <w:tc>
          <w:tcPr>
            <w:tcW w:w="4777" w:type="dxa"/>
          </w:tcPr>
          <w:p w:rsidR="00207869" w:rsidRDefault="00000000">
            <w:pPr>
              <w:pStyle w:val="TableParagraph"/>
              <w:spacing w:before="30"/>
              <w:ind w:left="6" w:right="3"/>
              <w:rPr>
                <w:sz w:val="24"/>
              </w:rPr>
            </w:pPr>
            <w:r>
              <w:rPr>
                <w:sz w:val="24"/>
              </w:rPr>
              <w:t>Pranav Jagtap</w:t>
            </w:r>
          </w:p>
        </w:tc>
        <w:tc>
          <w:tcPr>
            <w:tcW w:w="4775" w:type="dxa"/>
          </w:tcPr>
          <w:p w:rsidR="00207869" w:rsidRDefault="00000000">
            <w:pPr>
              <w:pStyle w:val="TableParagraph"/>
              <w:spacing w:before="30"/>
              <w:ind w:left="7" w:right="1"/>
              <w:rPr>
                <w:sz w:val="24"/>
              </w:rPr>
            </w:pPr>
            <w:r>
              <w:rPr>
                <w:sz w:val="24"/>
              </w:rPr>
              <w:t>2406082</w:t>
            </w:r>
          </w:p>
        </w:tc>
      </w:tr>
    </w:tbl>
    <w:p w14:paraId="7821760A" w14:textId="77777777" w:rsidR="00207869" w:rsidRDefault="00207869">
      <w:pPr>
        <w:pStyle w:val="BodyText"/>
        <w:spacing w:before="108"/>
        <w:rPr>
          <w:sz w:val="24"/>
        </w:rPr>
      </w:pPr>
    </w:p>
    <w:p w14:paraId="36BA4DA7" w14:textId="77777777" w:rsidR="00207869" w:rsidRDefault="00000000">
      <w:pPr>
        <w:ind w:left="360" w:right="439"/>
        <w:rPr>
          <w:sz w:val="24"/>
        </w:rPr>
      </w:pPr>
      <w:r>
        <w:rPr>
          <w:sz w:val="24"/>
        </w:rPr>
        <w:t>Of class Third Year in partial fulfilment of requirement for completion of course Cyber Security of Diploma in Computer Engineering from Government Polytechnic, Pune. The report has been approved as it satisfies the academic requirements in respect of case-study work prescribed for the course.</w:t>
      </w:r>
    </w:p>
    <w:p w14:paraId="2441C86D" w14:textId="77777777" w:rsidR="00207869" w:rsidRDefault="00207869">
      <w:pPr>
        <w:pStyle w:val="BodyText"/>
        <w:rPr>
          <w:sz w:val="20"/>
        </w:rPr>
      </w:pPr>
    </w:p>
    <w:p w14:paraId="0AB2BF63" w14:textId="77777777" w:rsidR="00207869" w:rsidRDefault="00207869">
      <w:pPr>
        <w:pStyle w:val="BodyText"/>
        <w:rPr>
          <w:sz w:val="20"/>
        </w:rPr>
      </w:pPr>
    </w:p>
    <w:p w14:paraId="0664FEE0" w14:textId="77777777" w:rsidR="00207869" w:rsidRDefault="00207869">
      <w:pPr>
        <w:pStyle w:val="BodyText"/>
        <w:rPr>
          <w:sz w:val="20"/>
        </w:rPr>
      </w:pPr>
    </w:p>
    <w:p w14:paraId="6B929CE8" w14:textId="77777777" w:rsidR="00207869" w:rsidRDefault="00000000">
      <w:pPr>
        <w:pStyle w:val="BodyText"/>
        <w:spacing w:before="99"/>
        <w:rPr>
          <w:sz w:val="20"/>
        </w:rPr>
      </w:pPr>
      <w:r>
        <w:rPr>
          <w:noProof/>
          <w:sz w:val="20"/>
        </w:rPr>
        <mc:AlternateContent>
          <mc:Choice Requires="wps">
            <w:drawing>
              <wp:anchor distT="0" distB="0" distL="0" distR="0" simplePos="0" relativeHeight="487588864" behindDoc="1" locked="0" layoutInCell="1" allowOverlap="1" wp14:anchorId="1D96EF26" wp14:editId="426133C9">
                <wp:simplePos x="0" y="0"/>
                <wp:positionH relativeFrom="page">
                  <wp:posOffset>1158239</wp:posOffset>
                </wp:positionH>
                <wp:positionV relativeFrom="paragraph">
                  <wp:posOffset>224266</wp:posOffset>
                </wp:positionV>
                <wp:extent cx="11169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7"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9F4A8" id="Graphic 4" o:spid="_x0000_s1026" style="position:absolute;margin-left:91.2pt;margin-top:17.65pt;width:87.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shFAIAAFsEAAAOAAAAZHJzL2Uyb0RvYy54bWysVE1v2zAMvQ/YfxB0XxxnSJoZcYqhQYcB&#10;RVegGXZWZDk2JouaqMTOvx8lfyTrbsN8ECjxiXzko7y57xrNzsphDSbn6WzOmTISitocc/59//hh&#10;zRl6YQqhwaicXxTy++37d5vWZmoBFehCOUZBDGatzXnlvc2SBGWlGoEzsMqQswTXCE9bd0wKJ1qK&#10;3uhkMZ+vkhZcYR1IhUinu97JtzF+WSrpv5UlKs90zombj6uL6yGsyXYjsqMTtqrlQEP8A4tG1IaS&#10;TqF2wgt2cvVfoZpaOkAo/UxCk0BZ1lLFGqiadP6mmtdKWBVroeagndqE/y+sfD6/2hcXqKN9AvkT&#10;qSNJazGbPGGDA6YrXROwRJx1sYuXqYuq80zSYZqmq0+rJWeSfOniLjY5Edl4V57Qf1EQ44jzE/pe&#10;g2K0RDVasjOj6UjJoKGOGnrOSEPHGWl46DW0wod7gVwwWXslEs4aOKs9RK9/w5yoXb3a3KJCKeuP&#10;d5yNVRK2R5AR0lCveiOmJvu2OG0Ci+VyvY6jgaDr4rHWOrBAdzw8aMfOIgxm/EIdFOEPmHXodwKr&#10;HhddA0ybQademiDSAYrLi2MtTXPO8ddJOMWZ/mpoXMLoj4YbjcNoOK8fID6Q2CDKue9+CGdZSJ9z&#10;T8o+wziMIhtFC6VP2HDTwOeTh7IOisYZ6hkNG5rgWODw2sITud1H1PWfsP0NAAD//wMAUEsDBBQA&#10;BgAIAAAAIQCQL1fX3AAAAAkBAAAPAAAAZHJzL2Rvd25yZXYueG1sTI/BboMwEETvkfoP1lbqJWpM&#10;QkgJxURpqn5AKB+wYBdQ8RphJ6F/382pvc1on2Zn8sNsB3E1k+8dKVivIhCGGqd7ahVUnx/PKQgf&#10;kDQOjoyCH+PhUDwscsy0u9HZXMvQCg4hn6GCLoQxk9I3nbHoV240xLcvN1kMbKdW6glvHG4HuYmi&#10;nbTYE3/ocDSnzjTf5cUqeGtOtcT9ckx31XtV7l/aYb08KvX0OB9fQQQzhz8Y7vW5OhTcqXYX0l4M&#10;7NPNllEFcRKDYCBOUhb1XSQgi1z+X1D8AgAA//8DAFBLAQItABQABgAIAAAAIQC2gziS/gAAAOEB&#10;AAATAAAAAAAAAAAAAAAAAAAAAABbQ29udGVudF9UeXBlc10ueG1sUEsBAi0AFAAGAAgAAAAhADj9&#10;If/WAAAAlAEAAAsAAAAAAAAAAAAAAAAALwEAAF9yZWxzLy5yZWxzUEsBAi0AFAAGAAgAAAAhALYk&#10;uyEUAgAAWwQAAA4AAAAAAAAAAAAAAAAALgIAAGRycy9lMm9Eb2MueG1sUEsBAi0AFAAGAAgAAAAh&#10;AJAvV9fcAAAACQEAAA8AAAAAAAAAAAAAAAAAbgQAAGRycy9kb3ducmV2LnhtbFBLBQYAAAAABAAE&#10;APMAAAB3BQAAAAA=&#10;" path="m,l1116837,e" filled="f" strokeweight=".44pt">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260C7B97" wp14:editId="47EE13F7">
                <wp:simplePos x="0" y="0"/>
                <wp:positionH relativeFrom="page">
                  <wp:posOffset>3427095</wp:posOffset>
                </wp:positionH>
                <wp:positionV relativeFrom="paragraph">
                  <wp:posOffset>224266</wp:posOffset>
                </wp:positionV>
                <wp:extent cx="11169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A3220" id="Graphic 5" o:spid="_x0000_s1026" style="position:absolute;margin-left:269.85pt;margin-top:17.65pt;width:87.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KYI6f3AAAAAkBAAAPAAAAZHJzL2Rvd25yZXYueG1sTI9NboMwEEb3lXoHayp1EzWG&#10;IiAQTJSm6gFKOcCAJ4DqH4SdhN6+zqpdzszTN++rDqtW7EqLm6wREG8jYGR6KyczCGi/Pl52wJxH&#10;I1FZQwJ+yMGhfnyosJT2Zj7p2viBhRDjShQwej+XnLt+JI1ua2cy4Xa2i0YfxmXgcsFbCNeKv0ZR&#10;xjVOJnwYcabTSP13c9EC3vpTx7HYzLusfW+bIh9UvDkK8fy0HvfAPK3+D4a7flCHOjh19mKkY0pA&#10;mhR5QAUkaQIsAHmcZsC6+yIFXlf8f4P6FwAA//8DAFBLAQItABQABgAIAAAAIQC2gziS/gAAAOEB&#10;AAATAAAAAAAAAAAAAAAAAAAAAABbQ29udGVudF9UeXBlc10ueG1sUEsBAi0AFAAGAAgAAAAhADj9&#10;If/WAAAAlAEAAAsAAAAAAAAAAAAAAAAALwEAAF9yZWxzLy5yZWxzUEsBAi0AFAAGAAgAAAAhAF7l&#10;OWsUAgAAWwQAAA4AAAAAAAAAAAAAAAAALgIAAGRycy9lMm9Eb2MueG1sUEsBAi0AFAAGAAgAAAAh&#10;AApgjp/cAAAACQEAAA8AAAAAAAAAAAAAAAAAbgQAAGRycy9kb3ducmV2LnhtbFBLBQYAAAAABAAE&#10;APMAAAB3BQAAAAA=&#10;" path="m,l1116838,e" filled="f" strokeweight=".44pt">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1380C8D8" wp14:editId="4EA5BF57">
                <wp:simplePos x="0" y="0"/>
                <wp:positionH relativeFrom="page">
                  <wp:posOffset>5450840</wp:posOffset>
                </wp:positionH>
                <wp:positionV relativeFrom="paragraph">
                  <wp:posOffset>224266</wp:posOffset>
                </wp:positionV>
                <wp:extent cx="11169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B9ACB" id="Graphic 6" o:spid="_x0000_s1026" style="position:absolute;margin-left:429.2pt;margin-top:17.65pt;width:87.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C+oPU3AAAAAoBAAAPAAAAZHJzL2Rvd25yZXYueG1sTI/dToNAEEbvTXyHzZh409il&#10;UipFlqbW+ABFHmBgRyCys4Tdtvj2Lld6Nz8n35zJD7MZxJUm11tWsFlHIIgbq3tuFVSfH08pCOeR&#10;NQ6WScEPOTgU93c5Ztre+EzX0rcihLDLUEHn/ZhJ6ZqODLq1HYnD7stOBn1op1bqCW8h3AzyOYp2&#10;0mDP4UKHI506ar7Li1Hw1pxqifvVmO6q96rcv7TDZnVU6vFhPr6C8DT7PxgW/aAORXCq7YW1E4OC&#10;NEm3AVUQJzGIBYjibajqZZKALHL5/4XiFwAA//8DAFBLAQItABQABgAIAAAAIQC2gziS/gAAAOEB&#10;AAATAAAAAAAAAAAAAAAAAAAAAABbQ29udGVudF9UeXBlc10ueG1sUEsBAi0AFAAGAAgAAAAhADj9&#10;If/WAAAAlAEAAAsAAAAAAAAAAAAAAAAALwEAAF9yZWxzLy5yZWxzUEsBAi0AFAAGAAgAAAAhAF7l&#10;OWsUAgAAWwQAAA4AAAAAAAAAAAAAAAAALgIAAGRycy9lMm9Eb2MueG1sUEsBAi0AFAAGAAgAAAAh&#10;AAL6g9TcAAAACgEAAA8AAAAAAAAAAAAAAAAAbgQAAGRycy9kb3ducmV2LnhtbFBLBQYAAAAABAAE&#10;APMAAAB3BQAAAAA=&#10;" path="m,l1116838,e" filled="f" strokeweight=".44pt">
                <v:path arrowok="t"/>
                <w10:wrap type="topAndBottom" anchorx="page"/>
              </v:shape>
            </w:pict>
          </mc:Fallback>
        </mc:AlternateContent>
      </w:r>
    </w:p>
    <w:p w14:paraId="729A5FB2" w14:textId="0B16C520" w:rsidR="00207869" w:rsidRDefault="00000000">
      <w:pPr>
        <w:pStyle w:val="Heading2"/>
        <w:tabs>
          <w:tab w:val="left" w:pos="4355"/>
          <w:tab w:val="left" w:pos="4676"/>
          <w:tab w:val="left" w:pos="8025"/>
          <w:tab w:val="left" w:pos="8191"/>
        </w:tabs>
        <w:spacing w:before="235" w:line="487" w:lineRule="auto"/>
        <w:ind w:left="802" w:right="1252" w:firstLine="211"/>
      </w:pPr>
      <w:proofErr w:type="spellStart"/>
      <w:r>
        <w:rPr>
          <w:spacing w:val="-2"/>
        </w:rPr>
        <w:t>Smt.S.</w:t>
      </w:r>
      <w:proofErr w:type="gramStart"/>
      <w:r>
        <w:rPr>
          <w:spacing w:val="-2"/>
        </w:rPr>
        <w:t>P.Ambavane</w:t>
      </w:r>
      <w:proofErr w:type="spellEnd"/>
      <w:r>
        <w:tab/>
      </w:r>
      <w:r>
        <w:tab/>
      </w:r>
      <w:proofErr w:type="spellStart"/>
      <w:r>
        <w:rPr>
          <w:spacing w:val="-2"/>
        </w:rPr>
        <w:t>Smt.J</w:t>
      </w:r>
      <w:proofErr w:type="gramEnd"/>
      <w:r>
        <w:rPr>
          <w:spacing w:val="-2"/>
        </w:rPr>
        <w:t>.</w:t>
      </w:r>
      <w:proofErr w:type="gramStart"/>
      <w:r>
        <w:rPr>
          <w:spacing w:val="-2"/>
        </w:rPr>
        <w:t>R.Hange</w:t>
      </w:r>
      <w:proofErr w:type="spellEnd"/>
      <w:proofErr w:type="gramEnd"/>
      <w:r w:rsidR="00772677">
        <w:t xml:space="preserve">                      </w:t>
      </w:r>
      <w:proofErr w:type="spellStart"/>
      <w:r>
        <w:rPr>
          <w:spacing w:val="-2"/>
        </w:rPr>
        <w:t>Dr.R.</w:t>
      </w:r>
      <w:proofErr w:type="gramStart"/>
      <w:r>
        <w:rPr>
          <w:spacing w:val="-2"/>
        </w:rPr>
        <w:t>K.Patil</w:t>
      </w:r>
      <w:proofErr w:type="spellEnd"/>
      <w:proofErr w:type="gramEnd"/>
      <w:r>
        <w:rPr>
          <w:spacing w:val="-2"/>
        </w:rPr>
        <w:t xml:space="preserve"> </w:t>
      </w:r>
      <w:r>
        <w:t>(Microproject Guide)</w:t>
      </w:r>
      <w:r>
        <w:tab/>
        <w:t xml:space="preserve">(Head of </w:t>
      </w:r>
      <w:proofErr w:type="gramStart"/>
      <w:r>
        <w:t>Department )</w:t>
      </w:r>
      <w:proofErr w:type="gramEnd"/>
      <w:r>
        <w:tab/>
      </w:r>
      <w:r>
        <w:rPr>
          <w:spacing w:val="-2"/>
        </w:rPr>
        <w:t>(Principal)</w:t>
      </w:r>
    </w:p>
    <w:p w14:paraId="275633C4" w14:textId="77777777" w:rsidR="00207869" w:rsidRDefault="00207869">
      <w:pPr>
        <w:pStyle w:val="Heading2"/>
        <w:spacing w:line="487" w:lineRule="auto"/>
        <w:sectPr w:rsidR="00207869">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10CA2AC" w14:textId="77777777" w:rsidR="00207869" w:rsidRDefault="00000000">
      <w:pPr>
        <w:spacing w:before="71"/>
        <w:ind w:left="255" w:right="250"/>
        <w:jc w:val="center"/>
        <w:rPr>
          <w:b/>
          <w:sz w:val="28"/>
        </w:rPr>
      </w:pPr>
      <w:r>
        <w:rPr>
          <w:b/>
          <w:bCs/>
          <w:sz w:val="28"/>
        </w:rPr>
        <w:t xml:space="preserve">ACKNOWLEDGEMENT</w:t>
      </w:r>
    </w:p>
    <w:p w14:paraId="4CC96A5D" w14:textId="77777777" w:rsidR="00207869" w:rsidRDefault="00207869">
      <w:pPr>
        <w:pStyle w:val="BodyText"/>
        <w:rPr>
          <w:b/>
        </w:rPr>
      </w:pPr>
    </w:p>
    <w:p w14:paraId="66024F5E" w14:textId="77777777" w:rsidR="00207869" w:rsidRDefault="00207869">
      <w:pPr>
        <w:pStyle w:val="BodyText"/>
        <w:spacing w:before="89"/>
        <w:rPr>
          <w:b/>
        </w:rPr>
      </w:pPr>
    </w:p>
    <w:p w14:paraId="01ABC456" w14:textId="77777777" w:rsidR="00207869" w:rsidRDefault="00000000" w:rsidP="007E4198">
      <w:pPr>
        <w:spacing w:line="276" w:lineRule="auto"/>
        <w:ind w:left="631" w:right="623" w:firstLine="446"/>
        <w:jc w:val="both"/>
        <w:rPr>
          <w:sz w:val="24"/>
        </w:rPr>
      </w:pPr>
      <w:r>
        <w:rPr>
          <w:sz w:val="24"/>
        </w:rPr>
        <w:t>I extend my deepest gratitude to Dr. R. K. Patil, our esteemed Principal, whose unwavering support and encouragement inspired me throughout the preparation of this case study, “ICBC Financial Cyberattack (2023).”</w:t>
      </w:r>
      <w:r>
        <w:rPr>
          <w:b/>
          <w:bCs/>
          <w:sz w:val="24"/>
        </w:rPr>
      </w:r>
      <w:r>
        <w:rPr>
          <w:sz w:val="24"/>
        </w:rPr>
      </w:r>
      <w:r>
        <w:rPr>
          <w:b/>
          <w:bCs/>
          <w:sz w:val="24"/>
        </w:rPr>
      </w:r>
      <w:r>
        <w:rPr>
          <w:sz w:val="24"/>
        </w:rPr>
      </w:r>
    </w:p>
    <w:p w14:paraId="3597BC08" w14:textId="77777777" w:rsidR="00207869" w:rsidRDefault="00207869" w:rsidP="007E4198">
      <w:pPr>
        <w:pStyle w:val="BodyText"/>
        <w:spacing w:before="101"/>
        <w:jc w:val="both"/>
        <w:rPr>
          <w:sz w:val="24"/>
        </w:rPr>
      </w:pPr>
    </w:p>
    <w:p w14:paraId="19155FDE" w14:textId="77777777" w:rsidR="00207869" w:rsidRDefault="00000000" w:rsidP="007E4198">
      <w:pPr>
        <w:spacing w:line="276" w:lineRule="auto"/>
        <w:ind w:left="631" w:right="624" w:firstLine="446"/>
        <w:jc w:val="both"/>
        <w:rPr>
          <w:sz w:val="24"/>
        </w:rPr>
      </w:pPr>
      <w:r>
        <w:rPr>
          <w:sz w:val="24"/>
        </w:rPr>
        <w:t>Special recognition is due to Mrs. J. R. Hange, our dedicated Head of Department, for her invaluable insights and constant motivation, which played a pivotal role in shaping this work.</w:t>
      </w:r>
      <w:r>
        <w:rPr>
          <w:b/>
          <w:bCs/>
          <w:sz w:val="24"/>
        </w:rPr>
      </w:r>
      <w:r>
        <w:rPr>
          <w:sz w:val="24"/>
        </w:rPr>
      </w:r>
    </w:p>
    <w:p w14:paraId="640B93C6" w14:textId="77777777" w:rsidR="00207869" w:rsidRDefault="00207869" w:rsidP="007E4198">
      <w:pPr>
        <w:pStyle w:val="BodyText"/>
        <w:spacing w:before="102"/>
        <w:jc w:val="both"/>
        <w:rPr>
          <w:sz w:val="24"/>
        </w:rPr>
      </w:pPr>
    </w:p>
    <w:p w14:paraId="2B3101C0" w14:textId="77777777" w:rsidR="00207869" w:rsidRDefault="00000000" w:rsidP="007E4198">
      <w:pPr>
        <w:spacing w:line="276" w:lineRule="auto"/>
        <w:ind w:left="631" w:right="626" w:firstLine="446"/>
        <w:jc w:val="both"/>
        <w:rPr>
          <w:sz w:val="24"/>
        </w:rPr>
      </w:pPr>
      <w:r>
        <w:rPr>
          <w:sz w:val="24"/>
        </w:rPr>
        <w:t>A profound thank-you to Smt. S. P. Ambavane Ma’am, my respected guide, whose boundless patience and consistent guidance helped me understand the technical working, impact and security lessons associated with the ICBC ransomware incident.</w:t>
      </w:r>
      <w:r>
        <w:rPr>
          <w:b/>
          <w:bCs/>
          <w:sz w:val="24"/>
        </w:rPr>
      </w:r>
      <w:r>
        <w:rPr>
          <w:sz w:val="24"/>
        </w:rPr>
      </w:r>
    </w:p>
    <w:p w14:paraId="121CEF08" w14:textId="77777777" w:rsidR="00207869" w:rsidRDefault="00207869" w:rsidP="007E4198">
      <w:pPr>
        <w:pStyle w:val="BodyText"/>
        <w:spacing w:before="101"/>
        <w:jc w:val="both"/>
        <w:rPr>
          <w:sz w:val="24"/>
        </w:rPr>
      </w:pPr>
    </w:p>
    <w:p w14:paraId="7B0AB5EF" w14:textId="77777777" w:rsidR="00207869" w:rsidRDefault="00000000" w:rsidP="007E4198">
      <w:pPr>
        <w:spacing w:line="276" w:lineRule="auto"/>
        <w:ind w:left="631" w:right="624" w:firstLine="446"/>
        <w:jc w:val="both"/>
        <w:rPr>
          <w:sz w:val="24"/>
        </w:rPr>
      </w:pPr>
      <w:r>
        <w:rPr>
          <w:sz w:val="24"/>
        </w:rPr>
        <w:t>I also acknowledge the reliable news, official and industry sources used in preparing this study, which made it possible to present the incident accurately and to distinguish confirmed facts from reported claims.</w:t>
      </w:r>
    </w:p>
    <w:p w14:paraId="64F27C38" w14:textId="77777777" w:rsidR="00207869" w:rsidRDefault="00207869" w:rsidP="007E4198">
      <w:pPr>
        <w:pStyle w:val="BodyText"/>
        <w:spacing w:before="101"/>
        <w:jc w:val="both"/>
        <w:rPr>
          <w:sz w:val="24"/>
        </w:rPr>
      </w:pPr>
    </w:p>
    <w:p w14:paraId="45946DD9" w14:textId="77777777" w:rsidR="00207869" w:rsidRDefault="00000000" w:rsidP="007E4198">
      <w:pPr>
        <w:spacing w:line="276" w:lineRule="auto"/>
        <w:ind w:left="631" w:right="631" w:firstLine="446"/>
        <w:jc w:val="both"/>
        <w:rPr>
          <w:sz w:val="24"/>
        </w:rPr>
      </w:pPr>
      <w:r>
        <w:rPr>
          <w:sz w:val="24"/>
        </w:rPr>
        <w:t>In closing, I express my heartfelt gratitude to my friends and family, and to all those who contributed directly or indirectly to the successful completion of this case study.</w:t>
      </w:r>
    </w:p>
    <w:p w14:paraId="6A47012F" w14:textId="77777777" w:rsidR="00207869" w:rsidRDefault="00207869">
      <w:pPr>
        <w:spacing w:line="276" w:lineRule="auto"/>
        <w:jc w:val="both"/>
        <w:rPr>
          <w:sz w:val="24"/>
        </w:rPr>
        <w:sectPr w:rsidR="00207869">
          <w:headerReference w:type="default" r:id="rId9"/>
          <w:pgSz w:w="12240" w:h="15840"/>
          <w:pgMar w:top="178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10562BB" w14:textId="77777777" w:rsidR="00207869" w:rsidRDefault="00207869">
      <w:pPr>
        <w:pStyle w:val="BodyText"/>
        <w:rPr>
          <w:sz w:val="24"/>
        </w:rPr>
      </w:pPr>
    </w:p>
    <w:p w14:paraId="06A9870A" w14:textId="77777777" w:rsidR="00207869" w:rsidRDefault="00207869">
      <w:pPr>
        <w:pStyle w:val="BodyText"/>
        <w:spacing w:before="226"/>
        <w:rPr>
          <w:sz w:val="24"/>
        </w:rPr>
      </w:pPr>
    </w:p>
    <w:p w14:paraId="30AE3BB6" w14:textId="77777777" w:rsidR="00207869" w:rsidRDefault="00000000" w:rsidP="007E4198">
      <w:pPr>
        <w:spacing w:line="276" w:lineRule="auto"/>
        <w:ind w:left="631" w:right="630" w:firstLine="446"/>
        <w:jc w:val="both"/>
        <w:rPr>
          <w:sz w:val="24"/>
        </w:rPr>
      </w:pPr>
      <w:r>
        <w:rPr>
          <w:sz w:val="24"/>
        </w:rPr>
        <w:t>This case study, “ICBC Financial Cyberattack (2023),” examines one of the most significant cyber incidents to strike the global financial system. ICBC Financial Services (ICBCFS) is the United States broker-dealer subsidiary of the Industrial and Commercial Bank of China (ICBC), the world’s largest bank by assets. In early November 2023 a ransomware attack — attributed by researchers and news reports to the LockBit group — disrupted its ability to clear and settle United States Treasury securities.</w:t>
      </w:r>
      <w:r>
        <w:rPr>
          <w:b/>
          <w:bCs/>
          <w:sz w:val="24"/>
        </w:rPr>
      </w:r>
      <w:r>
        <w:rPr>
          <w:sz w:val="24"/>
        </w:rPr>
      </w:r>
    </w:p>
    <w:p w14:paraId="27358DFC" w14:textId="77777777" w:rsidR="00207869" w:rsidRDefault="00207869" w:rsidP="007E4198">
      <w:pPr>
        <w:pStyle w:val="BodyText"/>
        <w:spacing w:before="99"/>
        <w:jc w:val="both"/>
        <w:rPr>
          <w:sz w:val="24"/>
        </w:rPr>
      </w:pPr>
    </w:p>
    <w:p w14:paraId="4C94C05B" w14:textId="77777777" w:rsidR="00207869" w:rsidRDefault="00000000" w:rsidP="007E4198">
      <w:pPr>
        <w:spacing w:line="276" w:lineRule="auto"/>
        <w:ind w:left="631" w:right="623" w:firstLine="446"/>
        <w:jc w:val="both"/>
        <w:rPr>
          <w:sz w:val="24"/>
        </w:rPr>
      </w:pPr>
      <w:r>
        <w:rPr>
          <w:sz w:val="24"/>
        </w:rPr>
        <w:t>The study examines the professionalised ransomware ecosystem of 2022–2023; the role of ICBCFS in Treasury clearing; the vulnerability widely reported as the entry point, the “Citrix Bleed” flaw (CVE-2023-4966) in an unpatched Citrix NetScaler appliance; the reconstructed attack chain and LockBit’s double-extortion model; and the disruption that followed.</w:t>
      </w:r>
    </w:p>
    <w:p w14:paraId="01A44BAA" w14:textId="77777777" w:rsidR="00207869" w:rsidRDefault="00207869" w:rsidP="007E4198">
      <w:pPr>
        <w:pStyle w:val="BodyText"/>
        <w:spacing w:before="104"/>
        <w:jc w:val="both"/>
        <w:rPr>
          <w:sz w:val="24"/>
        </w:rPr>
      </w:pPr>
    </w:p>
    <w:p w14:paraId="16F75BC1" w14:textId="77777777" w:rsidR="00207869" w:rsidRDefault="00000000" w:rsidP="007E4198">
      <w:pPr>
        <w:spacing w:line="276" w:lineRule="auto"/>
        <w:ind w:left="631" w:right="626" w:firstLine="446"/>
        <w:jc w:val="both"/>
        <w:rPr>
          <w:sz w:val="24"/>
        </w:rPr>
      </w:pPr>
      <w:r>
        <w:rPr>
          <w:sz w:val="24"/>
        </w:rPr>
        <w:t>Unable to access its systems, ICBCFS was temporarily left owing the custodian bank BNY Mellon an amount reported at around US$9 billion, and reportedly delivered settlement details by USB stick while its parent injected capital so trades could be settled. The overall market disruption was described as limited and no customer funds were lost.</w:t>
      </w:r>
      <w:r>
        <w:rPr>
          <w:b/>
          <w:bCs/>
          <w:sz w:val="24"/>
        </w:rPr>
      </w:r>
      <w:r>
        <w:rPr>
          <w:sz w:val="24"/>
        </w:rPr>
      </w:r>
      <w:r>
        <w:rPr>
          <w:b/>
          <w:bCs/>
          <w:sz w:val="24"/>
        </w:rPr>
      </w:r>
      <w:r>
        <w:rPr>
          <w:sz w:val="24"/>
        </w:rPr>
      </w:r>
    </w:p>
    <w:p w14:paraId="2A87A7EC" w14:textId="77777777" w:rsidR="00207869" w:rsidRDefault="00207869" w:rsidP="007E4198">
      <w:pPr>
        <w:pStyle w:val="BodyText"/>
        <w:spacing w:before="101"/>
        <w:jc w:val="both"/>
        <w:rPr>
          <w:sz w:val="24"/>
        </w:rPr>
      </w:pPr>
    </w:p>
    <w:p w14:paraId="3141DF8A" w14:textId="77777777" w:rsidR="00207869" w:rsidRDefault="00000000" w:rsidP="007E4198">
      <w:pPr>
        <w:spacing w:before="1" w:line="276" w:lineRule="auto"/>
        <w:ind w:left="631" w:right="625" w:firstLine="446"/>
        <w:jc w:val="both"/>
        <w:rPr>
          <w:sz w:val="24"/>
        </w:rPr>
      </w:pPr>
      <w:r>
        <w:rPr>
          <w:sz w:val="24"/>
        </w:rPr>
        <w:t>Finally, the study highlights the United States legal and regulatory framework, the international takedown of LockBit in February 2024, and the major lessons learned — prompt patching of internet-facing systems, multi-factor authentication, network segmentation, counterparty risk management, tested recovery and incident response. The incident shows how a single unpatched device at one intermediary can ripple into critical financial infrastructure.</w:t>
      </w:r>
      <w:r>
        <w:rPr>
          <w:b/>
          <w:bCs/>
          <w:sz w:val="24"/>
        </w:rPr>
      </w:r>
      <w:r>
        <w:rPr>
          <w:sz w:val="24"/>
        </w:rPr>
      </w:r>
    </w:p>
    <w:p w14:paraId="47298850" w14:textId="77777777" w:rsidR="00207869" w:rsidRDefault="00207869">
      <w:pPr>
        <w:spacing w:line="276" w:lineRule="auto"/>
        <w:jc w:val="both"/>
        <w:rPr>
          <w:sz w:val="24"/>
        </w:rPr>
        <w:sectPr w:rsidR="00207869">
          <w:headerReference w:type="default" r:id="rId10"/>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5F38B9" w14:textId="77777777" w:rsidR="00207869" w:rsidRDefault="00207869">
      <w:pPr>
        <w:pStyle w:val="BodyText"/>
        <w:rPr>
          <w:sz w:val="20"/>
        </w:rPr>
      </w:pPr>
    </w:p>
    <w:p w14:paraId="230FD04C" w14:textId="77777777" w:rsidR="00207869" w:rsidRDefault="00207869">
      <w:pPr>
        <w:pStyle w:val="BodyText"/>
        <w:spacing w:before="55"/>
        <w:rPr>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6098"/>
        <w:gridCol w:w="1995"/>
      </w:tblGrid>
      <w:tr w:rsidR="00207869" w14:paraId="7118B0D6" w14:textId="77777777">
        <w:trPr>
          <w:trHeight w:val="793"/>
        </w:trPr>
        <w:tc>
          <w:tcPr>
            <w:tcW w:w="1980" w:type="dxa"/>
          </w:tcPr>
          <w:p w14:paraId="30B6CB34" w14:textId="77777777" w:rsidR="00207869" w:rsidRDefault="00000000">
            <w:pPr>
              <w:pStyle w:val="TableParagraph"/>
              <w:spacing w:before="33"/>
              <w:rPr>
                <w:b/>
                <w:sz w:val="28"/>
              </w:rPr>
            </w:pPr>
            <w:r>
              <w:rPr>
                <w:b/>
                <w:sz w:val="28"/>
              </w:rPr>
              <w:t xml:space="preserve">Sr </w:t>
            </w:r>
            <w:r>
              <w:rPr>
                <w:b/>
                <w:spacing w:val="-5"/>
                <w:sz w:val="28"/>
              </w:rPr>
              <w:t>no</w:t>
            </w:r>
          </w:p>
        </w:tc>
        <w:tc>
          <w:tcPr>
            <w:tcW w:w="6098" w:type="dxa"/>
          </w:tcPr>
          <w:p w14:paraId="6F9E4A54" w14:textId="77777777" w:rsidR="00207869" w:rsidRDefault="00000000">
            <w:pPr>
              <w:pStyle w:val="TableParagraph"/>
              <w:spacing w:before="33"/>
              <w:rPr>
                <w:b/>
                <w:sz w:val="28"/>
              </w:rPr>
            </w:pPr>
            <w:r>
              <w:rPr>
                <w:b/>
                <w:spacing w:val="-2"/>
                <w:sz w:val="28"/>
              </w:rPr>
              <w:t>Content</w:t>
            </w:r>
          </w:p>
        </w:tc>
        <w:tc>
          <w:tcPr>
            <w:tcW w:w="1995" w:type="dxa"/>
          </w:tcPr>
          <w:p w14:paraId="26965A73" w14:textId="77777777" w:rsidR="00207869" w:rsidRDefault="00000000">
            <w:pPr>
              <w:pStyle w:val="TableParagraph"/>
              <w:spacing w:before="33"/>
              <w:ind w:left="2"/>
              <w:rPr>
                <w:b/>
                <w:sz w:val="28"/>
              </w:rPr>
            </w:pPr>
            <w:r>
              <w:rPr>
                <w:b/>
                <w:spacing w:val="-4"/>
                <w:sz w:val="28"/>
              </w:rPr>
              <w:t>Page</w:t>
            </w:r>
          </w:p>
        </w:tc>
      </w:tr>
      <w:tr w:rsidR="00207869">
        <w:trPr>
          <w:trHeight w:val="794"/>
        </w:trPr>
        <w:tc>
          <w:tcPr>
            <w:tcW w:w="1980" w:type="dxa"/>
          </w:tcPr>
          <w:p w:rsidR="00207869" w:rsidRDefault="00000000">
            <w:pPr>
              <w:pStyle w:val="TableParagraph"/>
              <w:ind w:right="2"/>
              <w:rPr>
                <w:sz w:val="24"/>
              </w:rPr>
            </w:pPr>
            <w:r>
              <w:rPr>
                <w:sz w:val="24"/>
              </w:rPr>
              <w:t>1.</w:t>
            </w:r>
          </w:p>
        </w:tc>
        <w:tc>
          <w:tcPr>
            <w:tcW w:w="6098" w:type="dxa"/>
          </w:tcPr>
          <w:p w:rsidR="00207869" w:rsidRDefault="00000000">
            <w:pPr>
              <w:pStyle w:val="TableParagraph"/>
              <w:ind w:right="3"/>
              <w:rPr>
                <w:sz w:val="24"/>
              </w:rPr>
            </w:pPr>
            <w:r>
              <w:rPr>
                <w:sz w:val="24"/>
              </w:rPr>
              <w:t>Introduction</w:t>
            </w:r>
          </w:p>
        </w:tc>
        <w:tc>
          <w:tcPr>
            <w:tcW w:w="1995" w:type="dxa"/>
          </w:tcPr>
          <w:p w:rsidR="00207869" w:rsidRDefault="00000000">
            <w:pPr>
              <w:pStyle w:val="TableParagraph"/>
              <w:ind w:left="1"/>
              <w:rPr>
                <w:sz w:val="24"/>
              </w:rPr>
            </w:pPr>
            <w:r>
              <w:rPr>
                <w:sz w:val="24"/>
              </w:rPr>
              <w:t>1</w:t>
            </w:r>
          </w:p>
        </w:tc>
      </w:tr>
      <w:tr w:rsidR="00207869">
        <w:trPr>
          <w:trHeight w:val="794"/>
        </w:trPr>
        <w:tc>
          <w:tcPr>
            <w:tcW w:w="1980" w:type="dxa"/>
          </w:tcPr>
          <w:p w:rsidR="00207869" w:rsidRDefault="00000000">
            <w:pPr>
              <w:pStyle w:val="TableParagraph"/>
              <w:ind w:right="2"/>
              <w:rPr>
                <w:sz w:val="24"/>
              </w:rPr>
            </w:pPr>
            <w:r>
              <w:rPr>
                <w:sz w:val="24"/>
              </w:rPr>
              <w:t>2.</w:t>
            </w:r>
          </w:p>
        </w:tc>
        <w:tc>
          <w:tcPr>
            <w:tcW w:w="6098" w:type="dxa"/>
          </w:tcPr>
          <w:p w:rsidR="00207869" w:rsidRDefault="00000000">
            <w:pPr>
              <w:pStyle w:val="TableParagraph"/>
              <w:ind w:right="3"/>
              <w:rPr>
                <w:sz w:val="24"/>
              </w:rPr>
            </w:pPr>
            <w:r>
              <w:rPr>
                <w:sz w:val="24"/>
              </w:rPr>
              <w:t>Background and Threat Landscape</w:t>
            </w:r>
          </w:p>
        </w:tc>
        <w:tc>
          <w:tcPr>
            <w:tcW w:w="1995" w:type="dxa"/>
          </w:tcPr>
          <w:p w:rsidR="00207869" w:rsidRDefault="00000000">
            <w:pPr>
              <w:pStyle w:val="TableParagraph"/>
              <w:ind w:left="1"/>
              <w:rPr>
                <w:sz w:val="24"/>
              </w:rPr>
            </w:pPr>
            <w:r>
              <w:rPr>
                <w:sz w:val="24"/>
              </w:rPr>
              <w:t>2</w:t>
            </w:r>
          </w:p>
        </w:tc>
      </w:tr>
      <w:tr w:rsidR="00207869">
        <w:trPr>
          <w:trHeight w:val="794"/>
        </w:trPr>
        <w:tc>
          <w:tcPr>
            <w:tcW w:w="1980" w:type="dxa"/>
          </w:tcPr>
          <w:p w:rsidR="00207869" w:rsidRDefault="00000000">
            <w:pPr>
              <w:pStyle w:val="TableParagraph"/>
              <w:ind w:right="2"/>
              <w:rPr>
                <w:sz w:val="24"/>
              </w:rPr>
            </w:pPr>
            <w:r>
              <w:rPr>
                <w:sz w:val="24"/>
              </w:rPr>
              <w:t>3.</w:t>
            </w:r>
          </w:p>
        </w:tc>
        <w:tc>
          <w:tcPr>
            <w:tcW w:w="6098" w:type="dxa"/>
          </w:tcPr>
          <w:p w:rsidR="00207869" w:rsidRDefault="00000000">
            <w:pPr>
              <w:pStyle w:val="TableParagraph"/>
              <w:ind w:right="3"/>
              <w:rPr>
                <w:sz w:val="24"/>
              </w:rPr>
            </w:pPr>
            <w:r>
              <w:rPr>
                <w:sz w:val="24"/>
              </w:rPr>
              <w:t>ICBC, ICBCFS and the Citrix Exposure</w:t>
            </w:r>
          </w:p>
        </w:tc>
        <w:tc>
          <w:tcPr>
            <w:tcW w:w="1995" w:type="dxa"/>
          </w:tcPr>
          <w:p w:rsidR="00207869" w:rsidRDefault="00000000">
            <w:pPr>
              <w:pStyle w:val="TableParagraph"/>
              <w:ind w:left="1"/>
              <w:rPr>
                <w:sz w:val="24"/>
              </w:rPr>
            </w:pPr>
            <w:r>
              <w:rPr>
                <w:sz w:val="24"/>
              </w:rPr>
              <w:t>3</w:t>
            </w:r>
          </w:p>
        </w:tc>
      </w:tr>
      <w:tr w:rsidR="00207869">
        <w:trPr>
          <w:trHeight w:val="794"/>
        </w:trPr>
        <w:tc>
          <w:tcPr>
            <w:tcW w:w="1980" w:type="dxa"/>
          </w:tcPr>
          <w:p w:rsidR="00207869" w:rsidRDefault="00000000">
            <w:pPr>
              <w:pStyle w:val="TableParagraph"/>
              <w:ind w:right="2"/>
              <w:rPr>
                <w:sz w:val="24"/>
              </w:rPr>
            </w:pPr>
            <w:r>
              <w:rPr>
                <w:sz w:val="24"/>
              </w:rPr>
              <w:t>4.</w:t>
            </w:r>
          </w:p>
        </w:tc>
        <w:tc>
          <w:tcPr>
            <w:tcW w:w="6098" w:type="dxa"/>
          </w:tcPr>
          <w:p w:rsidR="00207869" w:rsidRDefault="00000000">
            <w:pPr>
              <w:pStyle w:val="TableParagraph"/>
              <w:ind w:right="3"/>
              <w:rPr>
                <w:sz w:val="24"/>
              </w:rPr>
            </w:pPr>
            <w:r>
              <w:rPr>
                <w:sz w:val="24"/>
              </w:rPr>
              <w:t>Technical Working of the Attack</w:t>
            </w:r>
          </w:p>
        </w:tc>
        <w:tc>
          <w:tcPr>
            <w:tcW w:w="1995" w:type="dxa"/>
          </w:tcPr>
          <w:p w:rsidR="00207869" w:rsidRDefault="00000000">
            <w:pPr>
              <w:pStyle w:val="TableParagraph"/>
              <w:ind w:left="1"/>
              <w:rPr>
                <w:sz w:val="24"/>
              </w:rPr>
            </w:pPr>
            <w:r>
              <w:rPr>
                <w:sz w:val="24"/>
              </w:rPr>
              <w:t>4</w:t>
            </w:r>
          </w:p>
        </w:tc>
      </w:tr>
      <w:tr w:rsidR="00207869">
        <w:trPr>
          <w:trHeight w:val="794"/>
        </w:trPr>
        <w:tc>
          <w:tcPr>
            <w:tcW w:w="1980" w:type="dxa"/>
          </w:tcPr>
          <w:p w:rsidR="00207869" w:rsidRDefault="00000000">
            <w:pPr>
              <w:pStyle w:val="TableParagraph"/>
              <w:ind w:right="2"/>
              <w:rPr>
                <w:sz w:val="24"/>
              </w:rPr>
            </w:pPr>
            <w:r>
              <w:rPr>
                <w:sz w:val="24"/>
              </w:rPr>
              <w:t>5.</w:t>
            </w:r>
          </w:p>
        </w:tc>
        <w:tc>
          <w:tcPr>
            <w:tcW w:w="6098" w:type="dxa"/>
          </w:tcPr>
          <w:p w:rsidR="00207869" w:rsidRDefault="00000000">
            <w:pPr>
              <w:pStyle w:val="TableParagraph"/>
              <w:ind w:right="3"/>
              <w:rPr>
                <w:sz w:val="24"/>
              </w:rPr>
            </w:pPr>
            <w:r>
              <w:rPr>
                <w:sz w:val="24"/>
              </w:rPr>
              <w:t>Ransomware-as-a-Service and Double Extortion</w:t>
            </w:r>
          </w:p>
        </w:tc>
        <w:tc>
          <w:tcPr>
            <w:tcW w:w="1995" w:type="dxa"/>
          </w:tcPr>
          <w:p w:rsidR="00207869" w:rsidRDefault="00000000">
            <w:pPr>
              <w:pStyle w:val="TableParagraph"/>
              <w:ind w:left="1"/>
              <w:rPr>
                <w:sz w:val="24"/>
              </w:rPr>
            </w:pPr>
            <w:r>
              <w:rPr>
                <w:sz w:val="24"/>
              </w:rPr>
              <w:t>5</w:t>
            </w:r>
          </w:p>
        </w:tc>
      </w:tr>
      <w:tr w:rsidR="00207869">
        <w:trPr>
          <w:trHeight w:val="794"/>
        </w:trPr>
        <w:tc>
          <w:tcPr>
            <w:tcW w:w="1980" w:type="dxa"/>
          </w:tcPr>
          <w:p w:rsidR="00207869" w:rsidRDefault="00000000">
            <w:pPr>
              <w:pStyle w:val="TableParagraph"/>
              <w:ind w:right="2"/>
              <w:rPr>
                <w:sz w:val="24"/>
              </w:rPr>
            </w:pPr>
            <w:r>
              <w:rPr>
                <w:sz w:val="24"/>
              </w:rPr>
              <w:t>6.</w:t>
            </w:r>
          </w:p>
        </w:tc>
        <w:tc>
          <w:tcPr>
            <w:tcW w:w="6098" w:type="dxa"/>
          </w:tcPr>
          <w:p w:rsidR="00207869" w:rsidRDefault="00000000">
            <w:pPr>
              <w:pStyle w:val="TableParagraph"/>
              <w:ind w:right="3"/>
              <w:rPr>
                <w:sz w:val="24"/>
              </w:rPr>
            </w:pPr>
            <w:r>
              <w:rPr>
                <w:sz w:val="24"/>
              </w:rPr>
              <w:t>Timeline of the Incident</w:t>
            </w:r>
          </w:p>
        </w:tc>
        <w:tc>
          <w:tcPr>
            <w:tcW w:w="1995" w:type="dxa"/>
          </w:tcPr>
          <w:p w:rsidR="00207869" w:rsidRDefault="00000000">
            <w:pPr>
              <w:pStyle w:val="TableParagraph"/>
              <w:ind w:left="1"/>
              <w:rPr>
                <w:sz w:val="24"/>
              </w:rPr>
            </w:pPr>
            <w:r>
              <w:rPr>
                <w:sz w:val="24"/>
              </w:rPr>
              <w:t>6</w:t>
            </w:r>
          </w:p>
        </w:tc>
      </w:tr>
      <w:tr w:rsidR="00207869">
        <w:trPr>
          <w:trHeight w:val="794"/>
        </w:trPr>
        <w:tc>
          <w:tcPr>
            <w:tcW w:w="1980" w:type="dxa"/>
          </w:tcPr>
          <w:p w:rsidR="00207869" w:rsidRDefault="00000000">
            <w:pPr>
              <w:pStyle w:val="TableParagraph"/>
              <w:ind w:right="2"/>
              <w:rPr>
                <w:sz w:val="24"/>
              </w:rPr>
            </w:pPr>
            <w:r>
              <w:rPr>
                <w:sz w:val="24"/>
              </w:rPr>
              <w:t>7.</w:t>
            </w:r>
          </w:p>
        </w:tc>
        <w:tc>
          <w:tcPr>
            <w:tcW w:w="6098" w:type="dxa"/>
          </w:tcPr>
          <w:p w:rsidR="00207869" w:rsidRDefault="00000000">
            <w:pPr>
              <w:pStyle w:val="TableParagraph"/>
              <w:ind w:right="3"/>
              <w:rPr>
                <w:sz w:val="24"/>
              </w:rPr>
            </w:pPr>
            <w:r>
              <w:rPr>
                <w:sz w:val="24"/>
              </w:rPr>
              <w:t>Impact on the Treasury Market and Stakeholders</w:t>
            </w:r>
          </w:p>
        </w:tc>
        <w:tc>
          <w:tcPr>
            <w:tcW w:w="1995" w:type="dxa"/>
          </w:tcPr>
          <w:p w:rsidR="00207869" w:rsidRDefault="00000000">
            <w:pPr>
              <w:pStyle w:val="TableParagraph"/>
              <w:ind w:left="1"/>
              <w:rPr>
                <w:sz w:val="24"/>
              </w:rPr>
            </w:pPr>
            <w:r>
              <w:rPr>
                <w:sz w:val="24"/>
              </w:rPr>
              <w:t>7</w:t>
            </w:r>
          </w:p>
        </w:tc>
      </w:tr>
      <w:tr w:rsidR="00207869">
        <w:trPr>
          <w:trHeight w:val="794"/>
        </w:trPr>
        <w:tc>
          <w:tcPr>
            <w:tcW w:w="1980" w:type="dxa"/>
          </w:tcPr>
          <w:p w:rsidR="00207869" w:rsidRDefault="00000000">
            <w:pPr>
              <w:pStyle w:val="TableParagraph"/>
              <w:ind w:right="2"/>
              <w:rPr>
                <w:sz w:val="24"/>
              </w:rPr>
            </w:pPr>
            <w:r>
              <w:rPr>
                <w:sz w:val="24"/>
              </w:rPr>
              <w:t>8.</w:t>
            </w:r>
          </w:p>
        </w:tc>
        <w:tc>
          <w:tcPr>
            <w:tcW w:w="6098" w:type="dxa"/>
          </w:tcPr>
          <w:p w:rsidR="00207869" w:rsidRDefault="00000000">
            <w:pPr>
              <w:pStyle w:val="TableParagraph"/>
              <w:ind w:right="3"/>
              <w:rPr>
                <w:sz w:val="24"/>
              </w:rPr>
            </w:pPr>
            <w:r>
              <w:rPr>
                <w:sz w:val="24"/>
              </w:rPr>
              <w:t>Detection, Response and Recovery</w:t>
            </w:r>
          </w:p>
        </w:tc>
        <w:tc>
          <w:tcPr>
            <w:tcW w:w="1995" w:type="dxa"/>
          </w:tcPr>
          <w:p w:rsidR="00207869" w:rsidRDefault="00000000">
            <w:pPr>
              <w:pStyle w:val="TableParagraph"/>
              <w:ind w:left="1"/>
              <w:rPr>
                <w:sz w:val="24"/>
              </w:rPr>
            </w:pPr>
            <w:r>
              <w:rPr>
                <w:sz w:val="24"/>
              </w:rPr>
              <w:t>8</w:t>
            </w:r>
          </w:p>
        </w:tc>
      </w:tr>
      <w:tr w:rsidR="00207869">
        <w:trPr>
          <w:trHeight w:val="794"/>
        </w:trPr>
        <w:tc>
          <w:tcPr>
            <w:tcW w:w="1980" w:type="dxa"/>
          </w:tcPr>
          <w:p w:rsidR="00207869" w:rsidRDefault="00000000">
            <w:pPr>
              <w:pStyle w:val="TableParagraph"/>
              <w:ind w:right="2"/>
              <w:rPr>
                <w:sz w:val="24"/>
              </w:rPr>
            </w:pPr>
            <w:r>
              <w:rPr>
                <w:sz w:val="24"/>
              </w:rPr>
              <w:t>9.</w:t>
            </w:r>
          </w:p>
        </w:tc>
        <w:tc>
          <w:tcPr>
            <w:tcW w:w="6098" w:type="dxa"/>
          </w:tcPr>
          <w:p w:rsidR="00207869" w:rsidRDefault="00000000">
            <w:pPr>
              <w:pStyle w:val="TableParagraph"/>
              <w:ind w:right="3"/>
              <w:rPr>
                <w:sz w:val="24"/>
              </w:rPr>
            </w:pPr>
            <w:r>
              <w:rPr>
                <w:sz w:val="24"/>
              </w:rPr>
              <w:t>Legal and Regulatory Framework</w:t>
            </w:r>
          </w:p>
        </w:tc>
        <w:tc>
          <w:tcPr>
            <w:tcW w:w="1995" w:type="dxa"/>
          </w:tcPr>
          <w:p w:rsidR="00207869" w:rsidRDefault="00000000">
            <w:pPr>
              <w:pStyle w:val="TableParagraph"/>
              <w:ind w:left="1"/>
              <w:rPr>
                <w:sz w:val="24"/>
              </w:rPr>
            </w:pPr>
            <w:r>
              <w:rPr>
                <w:sz w:val="24"/>
              </w:rPr>
              <w:t>9</w:t>
            </w:r>
          </w:p>
        </w:tc>
      </w:tr>
      <w:tr w:rsidR="00207869">
        <w:trPr>
          <w:trHeight w:val="794"/>
        </w:trPr>
        <w:tc>
          <w:tcPr>
            <w:tcW w:w="1980" w:type="dxa"/>
          </w:tcPr>
          <w:p w:rsidR="00207869" w:rsidRDefault="00000000">
            <w:pPr>
              <w:pStyle w:val="TableParagraph"/>
              <w:ind w:right="2"/>
              <w:rPr>
                <w:sz w:val="24"/>
              </w:rPr>
            </w:pPr>
            <w:r>
              <w:rPr>
                <w:sz w:val="24"/>
              </w:rPr>
              <w:t>10.</w:t>
            </w:r>
          </w:p>
        </w:tc>
        <w:tc>
          <w:tcPr>
            <w:tcW w:w="6098" w:type="dxa"/>
          </w:tcPr>
          <w:p w:rsidR="00207869" w:rsidRDefault="00000000">
            <w:pPr>
              <w:pStyle w:val="TableParagraph"/>
              <w:ind w:right="3"/>
              <w:rPr>
                <w:sz w:val="24"/>
              </w:rPr>
            </w:pPr>
            <w:r>
              <w:rPr>
                <w:sz w:val="24"/>
              </w:rPr>
              <w:t>Lessons Learned and Conclusion</w:t>
            </w:r>
          </w:p>
        </w:tc>
        <w:tc>
          <w:tcPr>
            <w:tcW w:w="1995" w:type="dxa"/>
          </w:tcPr>
          <w:p w:rsidR="00207869" w:rsidRDefault="00000000">
            <w:pPr>
              <w:pStyle w:val="TableParagraph"/>
              <w:ind w:left="1"/>
              <w:rPr>
                <w:sz w:val="24"/>
              </w:rPr>
            </w:pPr>
            <w:r>
              <w:rPr>
                <w:sz w:val="24"/>
              </w:rPr>
              <w:t>10</w:t>
            </w:r>
          </w:p>
        </w:tc>
      </w:tr>
      <w:tr w:rsidR="00207869">
        <w:trPr>
          <w:trHeight w:val="794"/>
        </w:trPr>
        <w:tc>
          <w:tcPr>
            <w:tcW w:w="1980" w:type="dxa"/>
          </w:tcPr>
          <w:p w:rsidR="00207869" w:rsidRDefault="00000000">
            <w:pPr>
              <w:pStyle w:val="TableParagraph"/>
              <w:ind w:right="2"/>
              <w:rPr>
                <w:sz w:val="24"/>
              </w:rPr>
            </w:pPr>
            <w:r>
              <w:rPr>
                <w:sz w:val="24"/>
              </w:rPr>
              <w:t>11.</w:t>
            </w:r>
          </w:p>
        </w:tc>
        <w:tc>
          <w:tcPr>
            <w:tcW w:w="6098" w:type="dxa"/>
          </w:tcPr>
          <w:p w:rsidR="00207869" w:rsidRDefault="00000000">
            <w:pPr>
              <w:pStyle w:val="TableParagraph"/>
              <w:ind w:right="3"/>
              <w:rPr>
                <w:sz w:val="24"/>
              </w:rPr>
            </w:pPr>
            <w:r>
              <w:rPr>
                <w:sz w:val="24"/>
              </w:rPr>
              <w:t>References</w:t>
            </w:r>
          </w:p>
        </w:tc>
        <w:tc>
          <w:tcPr>
            <w:tcW w:w="1995" w:type="dxa"/>
          </w:tcPr>
          <w:p w:rsidR="00207869" w:rsidRDefault="00000000">
            <w:pPr>
              <w:pStyle w:val="TableParagraph"/>
              <w:ind w:left="1"/>
              <w:rPr>
                <w:sz w:val="24"/>
              </w:rPr>
            </w:pPr>
            <w:r>
              <w:rPr>
                <w:sz w:val="24"/>
              </w:rPr>
              <w:t>11</w:t>
            </w:r>
          </w:p>
        </w:tc>
      </w:tr>
    </w:tbl>
    <w:p w14:paraId="03737A4E" w14:textId="77777777" w:rsidR="00207869" w:rsidRDefault="00207869">
      <w:pPr>
        <w:pStyle w:val="TableParagraph"/>
        <w:rPr>
          <w:sz w:val="24"/>
        </w:rPr>
        <w:sectPr w:rsidR="00207869">
          <w:headerReference w:type="default" r:id="rId11"/>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1"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pPr>
        <w:pStyle w:val="Heading1"/>
      </w:pPr>
      <w:r>
        <w:br w:type="page"/>
      </w:r>
      <w:r>
        <w:t>Introduction</w:t>
      </w:r>
    </w:p>
    <w:p>
      <w:pPr>
        <w:pStyle w:val="BodyText"/>
      </w:pPr>
      <w:r>
        <w:t>Ransomware is malicious software that encrypts an organisation’s data and systems and demands payment for their release. Modern ransomware groups add “double extortion” — they steal data before encrypting it and threaten to publish it — so even good backups do not remove the pressure to pay.</w:t>
      </w:r>
    </w:p>
    <w:p>
      <w:pPr>
        <w:pStyle w:val="BodyText"/>
      </w:pPr>
      <w:r>
        <w:t>In early November 2023 a ransomware attack struck ICBC Financial Services (ICBCFS), the United States broker-dealer arm of the Industrial and Commercial Bank of China (ICBC), the world’s largest bank by assets. The attack briefly disrupted the clearing and settlement of United States Treasury securities — the market that underpins global finance — and was attributed by security researchers and news reports to the LockBit ransomware-as-a-service group.</w:t>
      </w:r>
    </w:p>
    <w:p>
      <w:pPr>
        <w:pStyle w:val="BodyText"/>
      </w:pPr>
      <w:r>
        <w:t>This report studies the incident at a conceptual level so that attacks of this kind can be understood and prevented, not reproduced. It covers the background, the organisation and the vulnerability exploited, the technical working of the attack, its impact, the response, the legal framework and the lessons learned.</w:t>
      </w:r>
    </w:p>
    <w:p>
      <w:pPr>
        <w:pStyle w:val="Heading1"/>
      </w:pPr>
      <w:r>
        <w:br w:type="page"/>
      </w:r>
      <w:r>
        <w:t>Background and Threat Landscape</w:t>
      </w:r>
    </w:p>
    <w:p>
      <w:pPr>
        <w:pStyle w:val="BodyText"/>
      </w:pPr>
      <w:r>
        <w:t>The ICBC attack did not happen in isolation. It came at the peak of a wave of financially motivated ransomware against large organisations, and it exploited a vulnerability that was being used against many victims at the same time.</w:t>
      </w:r>
    </w:p>
    <w:p>
      <w:pPr>
        <w:pStyle w:val="BodyText"/>
      </w:pPr>
      <w:r>
        <w:t>LockBit emerged in 2019 and grew into one of the most prolific ransomware-as-a-service operations in the world, attacking thousands of organisations. By 2022–2023 ransomware had matured into a professional ecosystem of developers, affiliates and initial-access brokers, and the financial sector had become a high-value target.</w:t>
      </w:r>
    </w:p>
    <w:p>
      <w:pPr>
        <w:pStyle w:val="BodyText"/>
      </w:pPr>
      <w:r>
        <w:t>In October 2023 Citrix released a patch for a critical flaw in its NetScaler remote-access products, later nicknamed “Citrix Bleed” (CVE-2023-4966). Mass exploitation followed within weeks; reported victims in the same period included Boeing, DP World and the law firm Allen &amp; Overy, with researchers counting thousands of still-vulnerable appliances. These were the exact conditions the ICBC attackers exploited.</w:t>
      </w:r>
    </w:p>
    <w:p>
      <w:pPr>
        <w:pStyle w:val="Heading1"/>
      </w:pPr>
      <w:r>
        <w:br w:type="page"/>
      </w:r>
      <w:r>
        <w:t>ICBC, ICBCFS and the Citrix Exposure</w:t>
      </w:r>
    </w:p>
    <w:p>
      <w:pPr>
        <w:pStyle w:val="BodyText"/>
      </w:pPr>
      <w:r>
        <w:t>ICBC (Industrial and Commercial Bank of China) is the world’s largest bank by assets. ICBC Financial Services (ICBCFS) is its United States broker-dealer subsidiary, based in New York. It acts as an intermediary in the United States Treasury market, clearing and settling government-bond and repo trades on behalf of other market participants — a role that connects it directly to the plumbing of global finance.</w:t>
      </w:r>
    </w:p>
    <w:p>
      <w:pPr>
        <w:pStyle w:val="BodyText"/>
      </w:pPr>
      <w:r>
        <w:t>According to security researchers and news reports, the attackers gained entry through an unpatched Citrix NetScaler remote-access appliance vulnerable to “Citrix Bleed” (CVE-2023-4966). The flaw lets an attacker hijack a valid user session and bypass passwords and multi-factor authentication. A patch had been available since 10 October 2023, but the device was reportedly not updated in time.</w:t>
      </w:r>
    </w:p>
    <w:p>
      <w:pPr>
        <w:pStyle w:val="BodyText"/>
      </w:pPr>
      <w:r>
        <w:t>The lesson is that a single internet-facing device left unpatched can give attackers a foothold that ordinary password and MFA controls cannot stop. Effective hardening means patching internet-facing systems urgently, segmenting critical clearing systems from general corporate access, and watching for hijacked sessions.</w:t>
      </w:r>
    </w:p>
    <w:p>
      <w:pPr>
        <w:pStyle w:val="Heading1"/>
      </w:pPr>
      <w:r>
        <w:br w:type="page"/>
      </w:r>
      <w:r>
        <w:t>Technical Working of the Attack</w:t>
      </w:r>
    </w:p>
    <w:p>
      <w:pPr>
        <w:pStyle w:val="BodyText"/>
      </w:pPr>
      <w:r>
        <w:t>At a conceptual level the intrusion ran as a chain of stages: each stage enabled the next, and the attackers were positioned to steal data and halt operations once they had full control. The chain below is reconstructed from LockBit’s documented behaviour and “Citrix Bleed” exploitation; ICBC published no forensic report, so the stages are inferred.</w:t>
      </w:r>
    </w:p>
    <w:p>
      <w:pPr>
        <w:pStyle w:val="ListParagraph"/>
      </w:pPr>
      <w:r>
        <w:t>Exploit the gateway — abuse the unpatched Citrix NetScaler (“Citrix Bleed”) to hijack a valid session.</w:t>
      </w:r>
    </w:p>
    <w:p>
      <w:pPr>
        <w:pStyle w:val="ListParagraph"/>
      </w:pPr>
      <w:r>
        <w:t>Bypass authentication — reuse the stolen session token to log in without a password or MFA code.</w:t>
      </w:r>
    </w:p>
    <w:p>
      <w:pPr>
        <w:pStyle w:val="ListParagraph"/>
      </w:pPr>
      <w:r>
        <w:t>Establish a foothold — run remote-access tools on the first reachable system.</w:t>
      </w:r>
    </w:p>
    <w:p>
      <w:pPr>
        <w:pStyle w:val="ListParagraph"/>
      </w:pPr>
      <w:r>
        <w:t>Persistence — create accounts or scheduled tasks to keep access.</w:t>
      </w:r>
    </w:p>
    <w:p>
      <w:pPr>
        <w:pStyle w:val="ListParagraph"/>
      </w:pPr>
      <w:r>
        <w:t>Credential theft — harvest administrator credentials to widen control.</w:t>
      </w:r>
    </w:p>
    <w:p>
      <w:pPr>
        <w:pStyle w:val="ListParagraph"/>
      </w:pPr>
      <w:r>
        <w:t>Lateral movement — move from host to host across the corporate IT network.</w:t>
      </w:r>
    </w:p>
    <w:p>
      <w:pPr>
        <w:pStyle w:val="ListParagraph"/>
      </w:pPr>
      <w:r>
        <w:t>Exfiltration — copy sensitive data out before any alarm is raised.</w:t>
      </w:r>
    </w:p>
    <w:p>
      <w:pPr>
        <w:pStyle w:val="ListParagraph"/>
      </w:pPr>
      <w:r>
        <w:t>Inhibit recovery — disable security tools and delete or encrypt backups.</w:t>
      </w:r>
    </w:p>
    <w:p>
      <w:pPr>
        <w:pStyle w:val="ListParagraph"/>
      </w:pPr>
      <w:r>
        <w:t>Encrypt and extort — encrypt systems, halt operations and demand a ransom for the decryption key.</w:t>
      </w:r>
    </w:p>
    <w:p>
      <w:pPr>
        <w:pStyle w:val="Heading1"/>
      </w:pPr>
      <w:r>
        <w:br w:type="page"/>
      </w:r>
      <w:r>
        <w:t>Ransomware-as-a-Service and Double Extortion</w:t>
      </w:r>
    </w:p>
    <w:p>
      <w:pPr>
        <w:pStyle w:val="BodyText"/>
      </w:pPr>
      <w:r>
        <w:t>LockBit was not a lone hacker but a criminal business. A core team built and maintained the ransomware, the negotiation portal and the leak site, while affiliates carried out the intrusions and shared the ransom. This division of labour let many criminals launch attacks at once.</w:t>
      </w:r>
    </w:p>
    <w:p>
      <w:pPr>
        <w:pStyle w:val="BodyText"/>
      </w:pPr>
      <w:r>
        <w:t>Before encrypting, affiliates copy data out, so victims face two threats: locked systems and the public release of stolen information. In the ICBC case a LockBit representative claimed the bank paid a ransom (“deal closed”). This claim was reported by news agencies but could not be independently verified, and ICBC did not confirm it. Good backups can restore systems but cannot “un-steal” data.</w:t>
      </w:r>
    </w:p>
    <w:p>
      <w:pPr>
        <w:pStyle w:val="Heading1"/>
      </w:pPr>
      <w:r>
        <w:br w:type="page"/>
      </w:r>
      <w:r>
        <w:t>Timeline of the Incident</w:t>
      </w:r>
    </w:p>
    <w:p>
      <w:pPr>
        <w:pStyle w:val="ListParagraph"/>
      </w:pPr>
      <w:r>
        <w:t>8–9 November 2023 — a ransomware attack strikes ICBC Financial Services; it disconnects affected systems and reports the incident to law enforcement.</w:t>
      </w:r>
    </w:p>
    <w:p>
      <w:pPr>
        <w:pStyle w:val="ListParagraph"/>
      </w:pPr>
      <w:r>
        <w:t>9–10 November 2023 — Treasury clearing is disrupted; ICBCFS reportedly sends settlement details by USB stick and is temporarily left owing BNY Mellon around US$9 billion.</w:t>
      </w:r>
    </w:p>
    <w:p>
      <w:pPr>
        <w:pStyle w:val="ListParagraph"/>
      </w:pPr>
      <w:r>
        <w:t>10–13 November 2023 — ICBC’s parent injects capital so the unit can settle trades and repay BNY Mellon; researchers and a reported U.S. Treasury e-mail attribute the attack to LockBit via “Citrix Bleed”.</w:t>
      </w:r>
    </w:p>
    <w:p>
      <w:pPr>
        <w:pStyle w:val="ListParagraph"/>
      </w:pPr>
      <w:r>
        <w:t>13 November 2023 — a LockBit representative claims ICBC paid a ransom; the claim is unverified and ICBC does not confirm it.</w:t>
      </w:r>
    </w:p>
    <w:p>
      <w:pPr>
        <w:pStyle w:val="ListParagraph"/>
      </w:pPr>
      <w:r>
        <w:t>20 February 2024 — “Operation Cronos”, led by the UK National Crime Agency with the FBI and Europol, seizes LockBit’s infrastructure and source code and makes arrests.</w:t>
      </w:r>
    </w:p>
    <w:p>
      <w:pPr>
        <w:pStyle w:val="Heading1"/>
      </w:pPr>
      <w:r>
        <w:br w:type="page"/>
      </w:r>
      <w:r>
        <w:t>Impact on the Treasury Market and Stakeholders</w:t>
      </w:r>
    </w:p>
    <w:p>
      <w:pPr>
        <w:pStyle w:val="BodyText"/>
      </w:pPr>
      <w:r>
        <w:t>The impact fell on market operations and confidence rather than on any direct loss of customer funds. Reports described the overall market disruption as limited, but the episode exposed how dependent the system is on a few intermediaries.</w:t>
      </w:r>
    </w:p>
    <w:p>
      <w:pPr>
        <w:pStyle w:val="BodyText"/>
      </w:pPr>
      <w:r>
        <w:t>Unable to access its own systems, ICBCFS reportedly delivered settlement details on a USB stick by messenger, and its Chinese parent injected capital so the unit could settle trades and repay BNY Mellon, the sole settlement agent for Treasuries. The firm was temporarily left owing BNY Mellon an amount reported at around US$9 billion — many times its net capital. Analysts could not say for certain whether the disruption contributed to a weak 30-year bond auction that week. Dollar figures are drawn from news reports and should be treated as reported estimates, not audited totals.</w:t>
      </w:r>
    </w:p>
    <w:p>
      <w:pPr>
        <w:pStyle w:val="ListParagraph"/>
      </w:pPr>
      <w:r>
        <w:t>ICBC Financial Services — systems disconnected and clearing halted; large temporary settlement obligation.</w:t>
      </w:r>
    </w:p>
    <w:p>
      <w:pPr>
        <w:pStyle w:val="ListParagraph"/>
      </w:pPr>
      <w:r>
        <w:t>BNY Mellon — left as counterparty to about US$9 billion of unsettled trades; manual settlement.</w:t>
      </w:r>
    </w:p>
    <w:p>
      <w:pPr>
        <w:pStyle w:val="ListParagraph"/>
      </w:pPr>
      <w:r>
        <w:t>U.S. Treasury market — some trades rerouted; questions raised over market resilience.</w:t>
      </w:r>
    </w:p>
    <w:p>
      <w:pPr>
        <w:pStyle w:val="ListParagraph"/>
      </w:pPr>
      <w:r>
        <w:t>Other participants — unsettled trades affected short-term liquidity.</w:t>
      </w:r>
    </w:p>
    <w:p>
      <w:pPr>
        <w:pStyle w:val="Heading1"/>
      </w:pPr>
      <w:r>
        <w:br w:type="page"/>
      </w:r>
      <w:r>
        <w:t>Detection, Response and Recovery</w:t>
      </w:r>
    </w:p>
    <w:p>
      <w:pPr>
        <w:pStyle w:val="BodyText"/>
      </w:pPr>
      <w:r>
        <w:t>ICBC’s response contained the damage and kept customer funds safe, but public information suggests the firm was reacting to encryption rather than catching the intrusion early. The attack became evident when systems were encrypted and clearing stopped; catching a session hijack or data theft earlier would need continuous monitoring of the remote-access gateway and of unusual movement inside the network.</w:t>
      </w:r>
    </w:p>
    <w:p>
      <w:pPr>
        <w:pStyle w:val="BodyText"/>
      </w:pPr>
      <w:r>
        <w:t>ICBCFS disconnected affected systems and an electronic settlement platform to stop the spread, and reported the incident to law enforcement — limiting the blast radius at the cost of temporary manual working. Trades were then settled manually, the parent bank injected capital so obligations could be met, systems were rebuilt, and an external cyber review was sought. The coordinated international takedown of LockBit in 2024 showed that law enforcement, not ransom payment, is the durable answer.</w:t>
      </w:r>
    </w:p>
    <w:p>
      <w:pPr>
        <w:pStyle w:val="Heading1"/>
      </w:pPr>
      <w:r>
        <w:br w:type="page"/>
      </w:r>
      <w:r>
        <w:t>Legal and Regulatory Framework</w:t>
      </w:r>
    </w:p>
    <w:p>
      <w:pPr>
        <w:pStyle w:val="BodyText"/>
      </w:pPr>
      <w:r>
        <w:t>The attack struck a United States regulated broker-dealer just as the country was tightening its cyber-incident and disclosure rules, and it illustrated how several overlapping regimes apply to one event.</w:t>
      </w:r>
    </w:p>
    <w:p>
      <w:pPr>
        <w:pStyle w:val="ListParagraph"/>
      </w:pPr>
      <w:r>
        <w:t>SEC cybersecurity disclosure rules (2023) — material incidents must be reported on Form 8-K (Item 1.05) within four business days; rules effective December 2023.</w:t>
      </w:r>
    </w:p>
    <w:p>
      <w:pPr>
        <w:pStyle w:val="ListParagraph"/>
      </w:pPr>
      <w:r>
        <w:t>Gramm-Leach-Bliley Act (Safeguards Rule) — financial firms owe a duty to protect customer financial data.</w:t>
      </w:r>
    </w:p>
    <w:p>
      <w:pPr>
        <w:pStyle w:val="ListParagraph"/>
      </w:pPr>
      <w:r>
        <w:t>NYDFS Cybersecurity Regulation (23 NYCRR Part 500) — a cybersecurity programme, MFA and incident reporting for New York financial entities.</w:t>
      </w:r>
    </w:p>
    <w:p>
      <w:pPr>
        <w:pStyle w:val="ListParagraph"/>
      </w:pPr>
      <w:r>
        <w:t>OFAC guidance — paying a ransom can carry sanctions risk where the recipient is a designated group, which makes ransom decisions legally sensitive.</w:t>
      </w:r>
    </w:p>
    <w:p>
      <w:pPr>
        <w:pStyle w:val="Heading1"/>
      </w:pPr>
      <w:r>
        <w:br w:type="page"/>
      </w:r>
      <w:r>
        <w:t>Lessons Learned and Conclusion</w:t>
      </w:r>
    </w:p>
    <w:p>
      <w:pPr>
        <w:pStyle w:val="Heading2"/>
      </w:pPr>
      <w:r>
        <w:t>Lessons learned</w:t>
      </w:r>
    </w:p>
    <w:p>
      <w:pPr>
        <w:pStyle w:val="BodyText"/>
      </w:pPr>
      <w:r>
        <w:t>The ICBC attack reinforces enduring security principles: urgent patching of internet-facing systems; phishing-resistant multi-factor authentication and session monitoring; network segmentation of critical clearing systems; exfiltration monitoring; management of counterparty and concentration risk; immutable, tested backups; and a rehearsed incident-response and continuity plan. Each maps directly to a weakness the incident exposed.</w:t>
      </w:r>
    </w:p>
    <w:p>
      <w:pPr>
        <w:pStyle w:val="Heading2"/>
      </w:pPr>
      <w:r>
        <w:t>Conclusion</w:t>
      </w:r>
    </w:p>
    <w:p>
      <w:pPr>
        <w:pStyle w:val="BodyText"/>
      </w:pPr>
      <w:r>
        <w:t>The ICBC Financial Services cyberattack of 2023 was serious yet, in important respects, contained. A ransomware group — attributed to LockBit — exploited a widely known, unpatched vulnerability to disrupt a single broker-dealer, and in doing so briefly interrupted the clearing of United States Treasury securities and left the firm reportedly owing billions to its settlement bank. Yet the market impact was limited, customer funds were protected, and trades were settled within days. The enduring lesson is that in a deeply interconnected financial system, a single unpatched device at one intermediary can ripple into critical infrastructure — so patching, segmentation and resilience are matters of financial stability, not just IT housekeeping.</w:t>
      </w:r>
    </w:p>
    <w:p>
      <w:pPr>
        <w:pStyle w:val="Heading1"/>
      </w:pPr>
      <w:r>
        <w:br w:type="page"/>
      </w:r>
      <w:r>
        <w:t>References</w:t>
      </w:r>
    </w:p>
    <w:p>
      <w:pPr>
        <w:pStyle w:val="ListParagraph"/>
      </w:pPr>
      <w:r>
        <w:t>[1] Reuters (9–13 November 2023). “ICBC’s U.S. unit hit by ransomware attack” and “Gang says ICBC paid ransom over hack that disrupted US Treasury market.”</w:t>
      </w:r>
    </w:p>
    <w:p>
      <w:pPr>
        <w:pStyle w:val="ListParagraph"/>
      </w:pPr>
      <w:r>
        <w:t>[2] Bloomberg (November 2023). Reporting on ICBC settling trades via USB and the ~US$9 billion owed to BNY Mellon.</w:t>
      </w:r>
    </w:p>
    <w:p>
      <w:pPr>
        <w:pStyle w:val="ListParagraph"/>
      </w:pPr>
      <w:r>
        <w:t>[3] The Register (10 November 2023). “ICBC hit by ransomware; LockBit suspected.”</w:t>
      </w:r>
    </w:p>
    <w:p>
      <w:pPr>
        <w:pStyle w:val="ListParagraph"/>
      </w:pPr>
      <w:r>
        <w:t>[4] Wall Street Journal (November 2023). Report of a U.S. Treasury e-mail naming LockBit and the Citrix Bleed flaw.</w:t>
      </w:r>
    </w:p>
    <w:p>
      <w:pPr>
        <w:pStyle w:val="ListParagraph"/>
      </w:pPr>
      <w:r>
        <w:t>[5] Citrix / CISA (October–November 2023). Advisories on CVE-2023-4966 (“Citrix Bleed”) in NetScaler ADC and Gateway.</w:t>
      </w:r>
    </w:p>
    <w:p>
      <w:pPr>
        <w:pStyle w:val="ListParagraph"/>
      </w:pPr>
      <w:r>
        <w:t>[6] TechCrunch (14 November 2023). “Citrix Bleed: the critical bug behind a wave of mass cyberattacks.”</w:t>
      </w:r>
    </w:p>
    <w:p>
      <w:pPr>
        <w:pStyle w:val="ListParagraph"/>
      </w:pPr>
      <w:r>
        <w:t>[7] U.S. National Crime Agency (NCA), FBI and Europol (20 February 2024). “Operation Cronos” disruption of LockBit.</w:t>
      </w:r>
    </w:p>
    <w:p>
      <w:pPr>
        <w:pStyle w:val="ListParagraph"/>
      </w:pPr>
      <w:r>
        <w:t>[8] U.S. Securities and Exchange Commission (2023). Final rules on cybersecurity risk management and incident disclosure (Form 8-K, Item 1.05); NIST SP 800-61 Rev. 2.</w:t>
      </w:r>
    </w:p>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64DA" w14:textId="77777777" w:rsidR="00EA25B6" w:rsidRDefault="00EA25B6">
      <w:r>
        <w:separator/>
      </w:r>
    </w:p>
  </w:endnote>
  <w:endnote w:type="continuationSeparator" w:id="0">
    <w:p w14:paraId="47B4A0B8" w14:textId="77777777" w:rsidR="00EA25B6" w:rsidRDefault="00EA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078F"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864" behindDoc="1" locked="0" layoutInCell="1" allowOverlap="1" wp14:anchorId="288A6504" wp14:editId="605224E4">
              <wp:simplePos x="0" y="0"/>
              <wp:positionH relativeFrom="page">
                <wp:posOffset>6956043</wp:posOffset>
              </wp:positionH>
              <wp:positionV relativeFrom="page">
                <wp:posOffset>9547378</wp:posOffset>
              </wp:positionV>
              <wp:extent cx="2609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wps:txbx>
                    <wps:bodyPr wrap="square" lIns="0" tIns="0" rIns="0" bIns="0" rtlCol="0">
                      <a:noAutofit/>
                    </wps:bodyPr>
                  </wps:wsp>
                </a:graphicData>
              </a:graphic>
            </wp:anchor>
          </w:drawing>
        </mc:Choice>
        <mc:Fallback>
          <w:pict>
            <v:shapetype w14:anchorId="288A6504" id="_x0000_t202" coordsize="21600,21600" o:spt="202" path="m,l,21600r21600,l21600,xe">
              <v:stroke joinstyle="miter"/>
              <v:path gradientshapeok="t" o:connecttype="rect"/>
            </v:shapetype>
            <v:shape id="Textbox 10" o:spid="_x0000_s1030" type="#_x0000_t202" style="position:absolute;margin-left:547.7pt;margin-top:751.75pt;width:20.55pt;height:14.25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jw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UXt9X98oYzRUfzZXV/d5P9FpfLIWL6osGx&#10;nDQ80rgKAbl/xnRsPbVMXI7PZyJp3IzMtg2/zqC5soH2QFIGmmbD8ddORs1Z/+TJrjz6UxJPyeaU&#10;xNR/gvJBsiIPH3YJjC0ELrgTAZpDkTD9mTzoP/el6/Kz178BAAD//wMAUEsDBBQABgAIAAAAIQCN&#10;kSxl4gAAAA8BAAAPAAAAZHJzL2Rvd25yZXYueG1sTI/BTsMwEETvSPyDtZW4UbsNiWgap6oQnJAQ&#10;aThwdBI3sRqvQ+y24e/ZnMptZnc0+zbbTbZnFz1641DCaimAaaxdY7CV8FW+PT4D80Fho3qHWsKv&#10;9rDL7+8ylTbuioW+HELLqAR9qiR0IQwp577utFV+6QaNtDu60apAdmx5M6orlduer4VIuFUG6UKn&#10;Bv3S6fp0OFsJ+28sXs3PR/VZHAtTlhuB78lJyofFtN8CC3oKtzDM+IQOOTFV7oyNZz15sYmfKEsq&#10;FlEMbM6sooRUNc+itQCeZ/z/H/kfAAAA//8DAFBLAQItABQABgAIAAAAIQC2gziS/gAAAOEBAAAT&#10;AAAAAAAAAAAAAAAAAAAAAABbQ29udGVudF9UeXBlc10ueG1sUEsBAi0AFAAGAAgAAAAhADj9If/W&#10;AAAAlAEAAAsAAAAAAAAAAAAAAAAALwEAAF9yZWxzLy5yZWxzUEsBAi0AFAAGAAgAAAAhADdh+PCZ&#10;AQAAIQMAAA4AAAAAAAAAAAAAAAAALgIAAGRycy9lMm9Eb2MueG1sUEsBAi0AFAAGAAgAAAAhAI2R&#10;LGXiAAAADwEAAA8AAAAAAAAAAAAAAAAA8wMAAGRycy9kb3ducmV2LnhtbFBLBQYAAAAABAAEAPMA&#10;AAACBQAAAAA=&#10;" filled="f" stroked="f">
              <v:textbox inset="0,0,0,0">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5376" behindDoc="1" locked="0" layoutInCell="1" allowOverlap="1" wp14:anchorId="4A5E21E2" wp14:editId="1846B9E3">
              <wp:simplePos x="0" y="0"/>
              <wp:positionH relativeFrom="page">
                <wp:posOffset>671880</wp:posOffset>
              </wp:positionH>
              <wp:positionV relativeFrom="page">
                <wp:posOffset>9570465</wp:posOffset>
              </wp:positionV>
              <wp:extent cx="481076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wps:txbx>
                    <wps:bodyPr wrap="square" lIns="0" tIns="0" rIns="0" bIns="0" rtlCol="0">
                      <a:noAutofit/>
                    </wps:bodyPr>
                  </wps:wsp>
                </a:graphicData>
              </a:graphic>
            </wp:anchor>
          </w:drawing>
        </mc:Choice>
        <mc:Fallback>
          <w:pict>
            <v:shape w14:anchorId="4A5E21E2" id="Textbox 11" o:spid="_x0000_s1031" type="#_x0000_t202" style="position:absolute;margin-left:52.9pt;margin-top:753.6pt;width:378.8pt;height:12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ZlmQEAACIDAAAOAAAAZHJzL2Uyb0RvYy54bWysUl9v0zAQf0fiO1h+p0mrbUxR0wmYQEgT&#10;IG18ANexG4vYZ+7cJv32nL20RfA27cW5+M4///54fTf5QRwMkoPQyuWilsIEDZ0Lu1b+fPr87lYK&#10;Sip0aoBgWnk0JO82b9+sx9iYFfQwdAYFgwRqxtjKPqXYVBXp3nhFC4gmcNMCepX4F3dVh2pkdD9U&#10;q7q+qUbALiJoQ8S7989NuSn41hqdvltLJomhlcwtlRXLus1rtVmrZocq9k7PNNQLWHjlAl96hrpX&#10;SYk9uv+gvNMIBDYtNPgKrHXaFA2sZln/o+axV9EULWwOxbNN9Hqw+tvhMf5AkaaPMHGARQTFB9C/&#10;iL2pxkjNPJM9pYZ4OgudLPr8ZQmCD7K3x7OfZkpC8+bV7bJ+f8Mtzb3l9eqqLoZXl9MRKX0x4EUu&#10;WomcV2GgDg+U8v2qOY3MZJ7vz0zStJ2E61p5nVPMO1vojqxl5DhbSb/3Co0Uw9fAfuXsTwWeiu2p&#10;wDR8gvJCsqQAH/YJrCsELrgzAQ6i8JofTU767/8ydXnamz8AAAD//wMAUEsDBBQABgAIAAAAIQAr&#10;AxN+4QAAAA0BAAAPAAAAZHJzL2Rvd25yZXYueG1sTI/BTsMwEETvSPyDtUi9UbspDSXEqaoKTkiI&#10;NBw4OrGbWI3XIXbb8PdsT3Db2R3Nvsk3k+vZ2YzBepSwmAtgBhuvLbYSPqvX+zWwEBVq1Xs0En5M&#10;gE1xe5OrTPsLlua8jy2jEAyZktDFOGSch6YzToW5HwzS7eBHpyLJseV6VBcKdz1PhEi5UxbpQ6cG&#10;s+tMc9yfnITtF5Yv9vu9/igPpa2qJ4Fv6VHK2d20fQYWzRT/zHDFJ3QoiKn2J9SB9aTFitAjDSvx&#10;mAAjyzpdPgCrr6vlIgFe5Px/i+IXAAD//wMAUEsBAi0AFAAGAAgAAAAhALaDOJL+AAAA4QEAABMA&#10;AAAAAAAAAAAAAAAAAAAAAFtDb250ZW50X1R5cGVzXS54bWxQSwECLQAUAAYACAAAACEAOP0h/9YA&#10;AACUAQAACwAAAAAAAAAAAAAAAAAvAQAAX3JlbHMvLnJlbHNQSwECLQAUAAYACAAAACEAV1SGZZkB&#10;AAAiAwAADgAAAAAAAAAAAAAAAAAuAgAAZHJzL2Uyb0RvYy54bWxQSwECLQAUAAYACAAAACEAKwMT&#10;fuEAAAANAQAADwAAAAAAAAAAAAAAAADzAwAAZHJzL2Rvd25yZXYueG1sUEsFBgAAAAAEAAQA8wAA&#10;AAEFAAAAAA==&#10;" filled="f" stroked="f">
              <v:textbox inset="0,0,0,0">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98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6400" behindDoc="1" locked="0" layoutInCell="1" allowOverlap="1" wp14:anchorId="553AB9C4" wp14:editId="48F564AD">
              <wp:simplePos x="0" y="0"/>
              <wp:positionH relativeFrom="page">
                <wp:posOffset>6885940</wp:posOffset>
              </wp:positionH>
              <wp:positionV relativeFrom="page">
                <wp:posOffset>9455939</wp:posOffset>
              </wp:positionV>
              <wp:extent cx="33083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180975"/>
                      </a:xfrm>
                      <a:prstGeom prst="rect">
                        <a:avLst/>
                      </a:prstGeom>
                    </wps:spPr>
                    <wps:txbx>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type w14:anchorId="553AB9C4" id="_x0000_t202" coordsize="21600,21600" o:spt="202" path="m,l,21600r21600,l21600,xe">
              <v:stroke joinstyle="miter"/>
              <v:path gradientshapeok="t" o:connecttype="rect"/>
            </v:shapetype>
            <v:shape id="Textbox 50" o:spid="_x0000_s1033" type="#_x0000_t202" style="position:absolute;margin-left:542.2pt;margin-top:744.55pt;width:26.05pt;height:14.25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iFmQEAACEDAAAOAAAAZHJzL2Uyb0RvYy54bWysUsFuGyEQvVfqPyDuMetYadyV11HTqFWl&#10;qK2U5AMwC17UhaEM9q7/vgNe21Vyq3oZhmF4vPeG1d3oerbXES34hs9nFWfaK2it3zb85fnL1ZIz&#10;TNK3sgevG37QyO/W79+thlDra+igb3VkBOKxHkLDu5RCLQSqTjuJMwja06GB6GSibdyKNsqB0F0v&#10;rqvqgxggtiGC0ohUfTge8nXBN0ar9MMY1In1DSduqcRY4iZHsV7Jehtl6KyaaMh/YOGk9fToGepB&#10;Jsl20b6BclZFQDBppsAJMMYqXTSQmnn1Ss1TJ4MuWsgcDGeb8P/Bqu/7p/AzsjTew0gDLCIwPIL6&#10;heSNGALWU0/2FGuk7ix0NNHllSQwukjeHs5+6jExRcXFoloubjhTdDRfVh9vb7Lf4nI5RExfNTiW&#10;k4ZHGlchIPePmI6tp5aJy/H5TCSNm5HZtuG3GTRXNtAeSMpA02w4/t7JqDnrv3myK4/+lMRTsjkl&#10;MfWfoXyQrMjDp10CYwuBC+5EgOZQJEx/Jg/6733puvzs9R8AAAD//wMAUEsDBBQABgAIAAAAIQCp&#10;Mi7r4wAAAA8BAAAPAAAAZHJzL2Rvd25yZXYueG1sTI/BTsMwEETvSPyDtUjcqBNIQ5rGqSoEJyRE&#10;Gg49OrGbWI3XIXbb8PdsT3Cb0T7NzhSb2Q7srCdvHAqIFxEwja1TBjsBX/XbQwbMB4lKDg61gB/t&#10;YVPe3hQyV+6ClT7vQscoBH0uBfQhjDnnvu21lX7hRo10O7jJykB26ria5IXC7cAfoyjlVhqkD70c&#10;9Uuv2+PuZAVs91i9mu+P5rM6VKauVxG+p0ch7u/m7RpY0HP4g+Fan6pDSZ0ad0Ll2UA+ypKEWFJJ&#10;toqBXZn4KV0Ca0gt4+cUeFnw/zvKXwAAAP//AwBQSwECLQAUAAYACAAAACEAtoM4kv4AAADhAQAA&#10;EwAAAAAAAAAAAAAAAAAAAAAAW0NvbnRlbnRfVHlwZXNdLnhtbFBLAQItABQABgAIAAAAIQA4/SH/&#10;1gAAAJQBAAALAAAAAAAAAAAAAAAAAC8BAABfcmVscy8ucmVsc1BLAQItABQABgAIAAAAIQB1+IiF&#10;mQEAACEDAAAOAAAAAAAAAAAAAAAAAC4CAABkcnMvZTJvRG9jLnhtbFBLAQItABQABgAIAAAAIQCp&#10;Mi7r4wAAAA8BAAAPAAAAAAAAAAAAAAAAAPMDAABkcnMvZG93bnJldi54bWxQSwUGAAAAAAQABADz&#10;AAAAAwUAAAAA&#10;" filled="f" stroked="f">
              <v:textbox inset="0,0,0,0">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6912" behindDoc="1" locked="0" layoutInCell="1" allowOverlap="1" wp14:anchorId="09241DD6" wp14:editId="49995E2D">
              <wp:simplePos x="0" y="0"/>
              <wp:positionH relativeFrom="page">
                <wp:posOffset>671880</wp:posOffset>
              </wp:positionH>
              <wp:positionV relativeFrom="page">
                <wp:posOffset>9479026</wp:posOffset>
              </wp:positionV>
              <wp:extent cx="4810760"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wps:txbx>
                    <wps:bodyPr wrap="square" lIns="0" tIns="0" rIns="0" bIns="0" rtlCol="0">
                      <a:noAutofit/>
                    </wps:bodyPr>
                  </wps:wsp>
                </a:graphicData>
              </a:graphic>
            </wp:anchor>
          </w:drawing>
        </mc:Choice>
        <mc:Fallback>
          <w:pict>
            <v:shape w14:anchorId="09241DD6" id="Textbox 51" o:spid="_x0000_s1034" type="#_x0000_t202" style="position:absolute;margin-left:52.9pt;margin-top:746.4pt;width:378.8pt;height:12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wymAEAACIDAAAOAAAAZHJzL2Uyb0RvYy54bWysUs2O0zAQviPxDpbvNGm1LFXUdLWwAiGt&#10;AGnhAVzHbixij5lxm/TtGXvTFsEN7cWZeMafvx9v7iY/iKNBchBauVzUUpigoXNh38of3z++WUtB&#10;SYVODRBMK0+G5N329avNGBuzgh6GzqBgkEDNGFvZpxSbqiLdG69oAdEEblpArxL/4r7qUI2M7odq&#10;Vde31QjYRQRtiHj34bkptwXfWqPTV2vJJDG0krmlsmJZd3mtthvV7FHF3umZhvoPFl65wJdeoB5U&#10;UuKA7h8o7zQCgU0LDb4Ca502RQOrWdZ/qXnqVTRFC5tD8WITvRys/nJ8it9QpOk9TBxgEUHxEfRP&#10;Ym+qMVIzz2RPqSGezkIniz5/WYLgg+zt6eKnmZLQvHmzXtbvbrmlubd8u7qpi+HV9XRESp8MeJGL&#10;ViLnVRio4yOlfL9qziMzmef7M5M07Sbhulauc4p5ZwfdibWMHGcr6ddBoZFi+BzYr5z9ucBzsTsX&#10;mIYPUF5IlhTg/pDAukLgijsT4CAKr/nR5KT//C9T16e9/Q0AAP//AwBQSwMEFAAGAAgAAAAhAPcY&#10;e+PhAAAADQEAAA8AAABkcnMvZG93bnJldi54bWxMj8FOwzAQRO9I/QdrK3GjdksbpSFOVSE4ISHS&#10;cODoxG5iNV6H2G3D37Ocym1mdzT7Nt9NrmcXMwbrUcJyIYAZbLy22Er4rF4fUmAhKtSq92gk/JgA&#10;u2J2l6tM+yuW5nKILaMSDJmS0MU4ZJyHpjNOhYUfDNLu6EenItmx5XpUVyp3PV8JkXCnLNKFTg3m&#10;uTPN6XB2EvZfWL7Y7/f6ozyWtqq2At+Sk5T382n/BCyaKd7C8IdP6FAQU+3PqAPryYsNoUcS6+2K&#10;FEXS5HENrKbRZpmkwIuc//+i+AUAAP//AwBQSwECLQAUAAYACAAAACEAtoM4kv4AAADhAQAAEwAA&#10;AAAAAAAAAAAAAAAAAAAAW0NvbnRlbnRfVHlwZXNdLnhtbFBLAQItABQABgAIAAAAIQA4/SH/1gAA&#10;AJQBAAALAAAAAAAAAAAAAAAAAC8BAABfcmVscy8ucmVsc1BLAQItABQABgAIAAAAIQD3JWwymAEA&#10;ACIDAAAOAAAAAAAAAAAAAAAAAC4CAABkcnMvZTJvRG9jLnhtbFBLAQItABQABgAIAAAAIQD3GHvj&#10;4QAAAA0BAAAPAAAAAAAAAAAAAAAAAPIDAABkcnMvZG93bnJldi54bWxQSwUGAAAAAAQABADzAAAA&#10;AAUAAAAA&#10;" filled="f" stroked="f">
              <v:textbox inset="0,0,0,0">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D8AD" w14:textId="77777777" w:rsidR="00EA25B6" w:rsidRDefault="00EA25B6">
      <w:r>
        <w:separator/>
      </w:r>
    </w:p>
  </w:footnote>
  <w:footnote w:type="continuationSeparator" w:id="0">
    <w:p w14:paraId="220EED86" w14:textId="77777777" w:rsidR="00EA25B6" w:rsidRDefault="00EA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1BE2"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2816" behindDoc="1" locked="0" layoutInCell="1" allowOverlap="1" wp14:anchorId="5D0571C5" wp14:editId="34EA7134">
              <wp:simplePos x="0" y="0"/>
              <wp:positionH relativeFrom="page">
                <wp:posOffset>1200708</wp:posOffset>
              </wp:positionH>
              <wp:positionV relativeFrom="page">
                <wp:posOffset>696467</wp:posOffset>
              </wp:positionV>
              <wp:extent cx="5374005" cy="866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4005" cy="866140"/>
                      </a:xfrm>
                      <a:prstGeom prst="rect">
                        <a:avLst/>
                      </a:prstGeom>
                    </wps:spPr>
                    <wps:txbx>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wps:txbx>
                    <wps:bodyPr wrap="square" lIns="0" tIns="0" rIns="0" bIns="0" rtlCol="0">
                      <a:noAutofit/>
                    </wps:bodyPr>
                  </wps:wsp>
                </a:graphicData>
              </a:graphic>
            </wp:anchor>
          </w:drawing>
        </mc:Choice>
        <mc:Fallback>
          <w:pict>
            <v:shapetype w14:anchorId="5D0571C5" id="_x0000_t202" coordsize="21600,21600" o:spt="202" path="m,l,21600r21600,l21600,xe">
              <v:stroke joinstyle="miter"/>
              <v:path gradientshapeok="t" o:connecttype="rect"/>
            </v:shapetype>
            <v:shape id="Textbox 1" o:spid="_x0000_s1026" type="#_x0000_t202" style="position:absolute;margin-left:94.55pt;margin-top:54.85pt;width:423.15pt;height:68.2pt;z-index:-161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UplQEAABsDAAAOAAAAZHJzL2Uyb0RvYy54bWysUsFuEzEQvSPxD5bvxJvShmqVTQVUIKQK&#10;kAof4Hjt7Iq1x8w42c3fM3Y3CWpviMt4bI/fvPfG67vJD+JgkXoIjVwuKilsMND2YdfInz8+vbmV&#10;gpIOrR4g2EYeLcm7zetX6zHW9go6GFqLgkEC1WNsZJdSrJUi01mvaQHRBr50gF4n3uJOtahHRveD&#10;uqqqlRoB24hgLBGf3j9dyk3Bd86a9M05skkMjWRuqUQscZuj2qx1vUMdu97MNPQ/sPC6D9z0DHWv&#10;kxZ77F9A+d4gELi0MOAVONcbWzSwmmX1TM1jp6MtWtgcimeb6P/Bmq+Hx/gdRZo+wMQDLCIoPoD5&#10;ReyNGiPVc032lGri6ix0cujzyhIEP2Rvj2c/7ZSE4cObt++uq+pGCsN3t6vV8roYri6vI1L6bMGL&#10;nDQSeV6FgT48UMr9dX0qmck89c9M0rSduCSnW2iPLGLkOTaSfu81WimGL4GNykM/JXhKtqcE0/AR&#10;ytfIWgK83ydwfel8wZ078wQKofm35BH/vS9Vlz+9+QMAAP//AwBQSwMEFAAGAAgAAAAhACGhkz/h&#10;AAAADAEAAA8AAABkcnMvZG93bnJldi54bWxMj8FOwzAMhu9IvENkJG4s6RhlLU2nCcEJCdGVA8e0&#10;ydpojVOabCtvj3eCm3/50+/PxWZ2AzuZKViPEpKFAGaw9dpiJ+Gzfr1bAwtRoVaDRyPhxwTYlNdX&#10;hcq1P2NlTrvYMSrBkCsJfYxjznloe+NUWPjRIO32fnIqUpw6rid1pnI38KUQKXfKIl3o1Wiee9Me&#10;dkcnYfuF1Yv9fm8+qn1l6zoT+JYepLy9mbdPwKKZ4x8MF31Sh5KcGn9EHdhAeZ0lhNIgskdgF0Lc&#10;P6yANRKWqzQBXhb8/xPlLwAAAP//AwBQSwECLQAUAAYACAAAACEAtoM4kv4AAADhAQAAEwAAAAAA&#10;AAAAAAAAAAAAAAAAW0NvbnRlbnRfVHlwZXNdLnhtbFBLAQItABQABgAIAAAAIQA4/SH/1gAAAJQB&#10;AAALAAAAAAAAAAAAAAAAAC8BAABfcmVscy8ucmVsc1BLAQItABQABgAIAAAAIQDBJYUplQEAABsD&#10;AAAOAAAAAAAAAAAAAAAAAC4CAABkcnMvZTJvRG9jLnhtbFBLAQItABQABgAIAAAAIQAhoZM/4QAA&#10;AAwBAAAPAAAAAAAAAAAAAAAAAO8DAABkcnMvZG93bnJldi54bWxQSwUGAAAAAAQABADzAAAA/QQA&#10;AAAA&#10;" filled="f" stroked="f">
              <v:textbox inset="0,0,0,0">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F22D" w14:textId="77777777" w:rsidR="00207869" w:rsidRDefault="0020786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657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328" behindDoc="1" locked="0" layoutInCell="1" allowOverlap="1" wp14:anchorId="21059B2E" wp14:editId="6F1EEB88">
              <wp:simplePos x="0" y="0"/>
              <wp:positionH relativeFrom="page">
                <wp:posOffset>3391027</wp:posOffset>
              </wp:positionH>
              <wp:positionV relativeFrom="page">
                <wp:posOffset>1149969</wp:posOffset>
              </wp:positionV>
              <wp:extent cx="99441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4410" cy="222885"/>
                      </a:xfrm>
                      <a:prstGeom prst="rect">
                        <a:avLst/>
                      </a:prstGeom>
                    </wps:spPr>
                    <wps:txbx>
                      <w:txbxContent>
                        <w:p w14:paraId="7922BD0D" w14:textId="77777777" w:rsidR="00207869" w:rsidRDefault="00000000">
                          <w:pPr>
                            <w:spacing w:before="9"/>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21059B2E" id="_x0000_t202" coordsize="21600,21600" o:spt="202" path="m,l,21600r21600,l21600,xe">
              <v:stroke joinstyle="miter"/>
              <v:path gradientshapeok="t" o:connecttype="rect"/>
            </v:shapetype>
            <v:shape id="Textbox 7" o:spid="_x0000_s1027" type="#_x0000_t202" style="position:absolute;margin-left:267pt;margin-top:90.55pt;width:78.3pt;height:17.55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F+vlgEAACEDAAAOAAAAZHJzL2Uyb0RvYy54bWysUsGO0zAQvSPxD5bvNG20oG7UdAWsQEgr&#10;QFr4ANexG4vYY2bcJv17xm7aIrghLvZ4Zvz83htvHiY/iKNBchBauVospTBBQ+fCvpXfv314tZaC&#10;kgqdGiCYVp4MyYftyxebMTamhh6GzqBgkEDNGFvZpxSbqiLdG69oAdEELlpArxIfcV91qEZG90NV&#10;L5dvqhGwiwjaEHH28VyU24JvrdHpi7VkkhhaydxSWbGsu7xW241q9qhi7/RMQ/0DC69c4EevUI8q&#10;KXFA9xeUdxqBwKaFBl+BtU6booHVrJZ/qHnuVTRFC5tD8WoT/T9Y/fn4HL+iSNM7mHiARQTFJ9A/&#10;iL2pxkjN3JM9pYa4OwudLPq8swTBF9nb09VPMyWhOXl/f3e34ormUl3X6/Xr7Hd1uxyR0kcDXuSg&#10;lcjjKgTU8YnSufXSMnM5P5+JpGk3CddlztyZMzvoTixl5Gm2kn4eFBophk+B7cqjvwR4CXaXANPw&#10;HsoHyYoCvD0ksK4QuOHOBHgORcL8Z/Kgfz+XrtvP3v4CAAD//wMAUEsDBBQABgAIAAAAIQDrCCzl&#10;4AAAAAsBAAAPAAAAZHJzL2Rvd25yZXYueG1sTI8xT8MwFIR3pP4H61Vio3YCRG2IU1UIJiREGgZG&#10;J3YTq/FziN02/HseUxlPd7r7rtjObmBnMwXrUUKyEsAMtl5b7CR81q93a2AhKtRq8Ggk/JgA23Jx&#10;U6hc+wtW5ryPHaMSDLmS0Mc45pyHtjdOhZUfDZJ38JNTkeTUcT2pC5W7gadCZNwpi7TQq9E896Y9&#10;7k9Owu4Lqxf7/d58VIfK1vVG4Ft2lPJ2Oe+egEUzx2sY/vAJHUpiavwJdWCDhMf7B/oSyVgnCTBK&#10;ZBuRAWskpEmWAi8L/v9D+QsAAP//AwBQSwECLQAUAAYACAAAACEAtoM4kv4AAADhAQAAEwAAAAAA&#10;AAAAAAAAAAAAAAAAW0NvbnRlbnRfVHlwZXNdLnhtbFBLAQItABQABgAIAAAAIQA4/SH/1gAAAJQB&#10;AAALAAAAAAAAAAAAAAAAAC8BAABfcmVscy8ucmVsc1BLAQItABQABgAIAAAAIQCD5F+vlgEAACED&#10;AAAOAAAAAAAAAAAAAAAAAC4CAABkcnMvZTJvRG9jLnhtbFBLAQItABQABgAIAAAAIQDrCCzl4AAA&#10;AAsBAAAPAAAAAAAAAAAAAAAAAPADAABkcnMvZG93bnJldi54bWxQSwUGAAAAAAQABADzAAAA/QQA&#10;AAAA&#10;" filled="f" stroked="f">
              <v:textbox inset="0,0,0,0">
                <w:txbxContent>
                  <w:p w14:paraId="7922BD0D" w14:textId="77777777" w:rsidR="00207869" w:rsidRDefault="00000000">
                    <w:pPr>
                      <w:spacing w:before="9"/>
                      <w:ind w:left="20"/>
                      <w:rPr>
                        <w:b/>
                        <w:sz w:val="28"/>
                      </w:rPr>
                    </w:pPr>
                    <w:r>
                      <w:rPr>
                        <w:b/>
                        <w:spacing w:val="-2"/>
                        <w:sz w:val="28"/>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F93"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840" behindDoc="1" locked="0" layoutInCell="1" allowOverlap="1" wp14:anchorId="103EA69D" wp14:editId="4E8A7F38">
              <wp:simplePos x="0" y="0"/>
              <wp:positionH relativeFrom="page">
                <wp:posOffset>3587877</wp:posOffset>
              </wp:positionH>
              <wp:positionV relativeFrom="page">
                <wp:posOffset>1149969</wp:posOffset>
              </wp:positionV>
              <wp:extent cx="59944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 cy="222885"/>
                      </a:xfrm>
                      <a:prstGeom prst="rect">
                        <a:avLst/>
                      </a:prstGeom>
                    </wps:spPr>
                    <wps:txbx>
                      <w:txbxContent>
                        <w:p w14:paraId="6B962DA3" w14:textId="77777777" w:rsidR="00207869" w:rsidRDefault="00000000">
                          <w:pPr>
                            <w:spacing w:before="9"/>
                            <w:ind w:left="20"/>
                            <w:rPr>
                              <w:b/>
                              <w:sz w:val="28"/>
                            </w:rPr>
                          </w:pPr>
                          <w:r>
                            <w:rPr>
                              <w:b/>
                              <w:spacing w:val="-2"/>
                              <w:sz w:val="28"/>
                            </w:rPr>
                            <w:t>INDEX</w:t>
                          </w:r>
                        </w:p>
                      </w:txbxContent>
                    </wps:txbx>
                    <wps:bodyPr wrap="square" lIns="0" tIns="0" rIns="0" bIns="0" rtlCol="0">
                      <a:noAutofit/>
                    </wps:bodyPr>
                  </wps:wsp>
                </a:graphicData>
              </a:graphic>
            </wp:anchor>
          </w:drawing>
        </mc:Choice>
        <mc:Fallback>
          <w:pict>
            <v:shapetype w14:anchorId="103EA69D" id="_x0000_t202" coordsize="21600,21600" o:spt="202" path="m,l,21600r21600,l21600,xe">
              <v:stroke joinstyle="miter"/>
              <v:path gradientshapeok="t" o:connecttype="rect"/>
            </v:shapetype>
            <v:shape id="Textbox 8" o:spid="_x0000_s1028" type="#_x0000_t202" style="position:absolute;margin-left:282.5pt;margin-top:90.55pt;width:47.2pt;height:17.55pt;z-index:-161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lQlwEAACEDAAAOAAAAZHJzL2Uyb0RvYy54bWysUsGO0zAQvSPxD5bvNN1oF3WjpitgBUJa&#10;AdIuH+A6dmMRe8yM26R/z9hNWwQ3xMUez4yf33vj9cPkB3EwSA5CK28WSylM0NC5sGvl95ePb1ZS&#10;UFKhUwME08qjIfmwef1qPcbG1NDD0BkUDBKoGWMr+5RiU1Wke+MVLSCawEUL6FXiI+6qDtXI6H6o&#10;6uXybTUCdhFBGyLOPp6KclPwrTU6fbWWTBJDK5lbKiuWdZvXarNWzQ5V7J2eaah/YOGVC/zoBepR&#10;JSX26P6C8k4jENi00OArsNZpUzSwmpvlH2qeexVN0cLmULzYRP8PVn85PMdvKNL0HiYeYBFB8Qn0&#10;D2JvqjFSM/dkT6kh7s5CJ4s+7yxB8EX29njx00xJaE7e3d/f3nJFc6mu69XqLvtdXS9HpPTJgBc5&#10;aCXyuAoBdXiidGo9t8xcTs9nImnaTsJ1jJxBc2YL3ZGljDzNVtLPvUIjxfA5sF159OcAz8H2HGAa&#10;PkD5IFlRgHf7BNYVAlfcmQDPoUiY/0we9O/n0nX92ZtfAAAA//8DAFBLAwQUAAYACAAAACEAvyhm&#10;QOAAAAALAQAADwAAAGRycy9kb3ducmV2LnhtbEyPMU/DMBSEdyT+g/WQ2KiTiFhtiFNVCCYkRBoG&#10;Rid+TazGzyF22/DvMRMdT3e6+67cLnZkZ5y9cSQhXSXAkDqnDfUSPpvXhzUwHxRpNTpCCT/oYVvd&#10;3pSq0O5CNZ73oWexhHyhJAwhTAXnvhvQKr9yE1L0Dm62KkQ591zP6hLL7cizJBHcKkNxYVATPg/Y&#10;HfcnK2H3RfWL+X5vP+pDbZpmk9CbOEp5f7fsnoAFXMJ/GP7wIzpUkal1J9KejRJykccvIRrrNAUW&#10;EyLfPAJrJWSpyIBXJb/+UP0CAAD//wMAUEsBAi0AFAAGAAgAAAAhALaDOJL+AAAA4QEAABMAAAAA&#10;AAAAAAAAAAAAAAAAAFtDb250ZW50X1R5cGVzXS54bWxQSwECLQAUAAYACAAAACEAOP0h/9YAAACU&#10;AQAACwAAAAAAAAAAAAAAAAAvAQAAX3JlbHMvLnJlbHNQSwECLQAUAAYACAAAACEAzYEJUJcBAAAh&#10;AwAADgAAAAAAAAAAAAAAAAAuAgAAZHJzL2Uyb0RvYy54bWxQSwECLQAUAAYACAAAACEAvyhmQOAA&#10;AAALAQAADwAAAAAAAAAAAAAAAADxAwAAZHJzL2Rvd25yZXYueG1sUEsFBgAAAAAEAAQA8wAAAP4E&#10;AAAAAA==&#10;" filled="f" stroked="f">
              <v:textbox inset="0,0,0,0">
                <w:txbxContent>
                  <w:p w14:paraId="6B962DA3" w14:textId="77777777" w:rsidR="00207869" w:rsidRDefault="00000000">
                    <w:pPr>
                      <w:spacing w:before="9"/>
                      <w:ind w:left="20"/>
                      <w:rPr>
                        <w:b/>
                        <w:sz w:val="28"/>
                      </w:rPr>
                    </w:pPr>
                    <w:r>
                      <w:rPr>
                        <w:b/>
                        <w:spacing w:val="-2"/>
                        <w:sz w:val="28"/>
                      </w:rPr>
                      <w:t>INDEX</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5EE1"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352" behindDoc="1" locked="0" layoutInCell="1" allowOverlap="1" wp14:anchorId="323F6B4D" wp14:editId="46042849">
              <wp:simplePos x="0" y="0"/>
              <wp:positionH relativeFrom="page">
                <wp:posOffset>3459607</wp:posOffset>
              </wp:positionH>
              <wp:positionV relativeFrom="page">
                <wp:posOffset>712750</wp:posOffset>
              </wp:positionV>
              <wp:extent cx="36417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E008B7B"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323F6B4D" id="_x0000_t202" coordsize="21600,21600" o:spt="202" path="m,l,21600r21600,l21600,xe">
              <v:stroke joinstyle="miter"/>
              <v:path gradientshapeok="t" o:connecttype="rect"/>
            </v:shapetype>
            <v:shape id="Textbox 9" o:spid="_x0000_s1029" type="#_x0000_t202" style="position:absolute;margin-left:272.4pt;margin-top:56.1pt;width:286.75pt;height:14.2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ScmgEAACIDAAAOAAAAZHJzL2Uyb0RvYy54bWysUttuGyEQfa/Uf0C8x6yd5tKV11HbqFWl&#10;qImU9gMwC17UhaEM9q7/vgNe21XyFvUFhpnhcM4Zlnej69lOR7TgGz6fVZxpr6C1ftPwXz+/Xtxy&#10;hkn6VvbgdcP3Gvnd6v275RBqvYAO+lZHRiAe6yE0vEsp1EKg6rSTOIOgPRUNRCcTHeNGtFEOhO56&#10;saiqazFAbEMEpREpe38o8lXBN0ar9GgM6sT6hhO3VNZY1nVexWop602UobNqoiHfwMJJ6+nRE9S9&#10;TJJto30F5ayKgGDSTIETYIxVumggNfPqhZrnTgZdtJA5GE424f+DVT92z+EpsjR+hpEGWERgeAD1&#10;G8kbMQSsp57sKdZI3VnoaKLLO0lgdJG83Z/81GNiipKX1x/mN4srzhTV5rfVx5urbLg43w4R0zcN&#10;juWg4ZHmVRjI3QOmQ+uxZSJzeD8zSeN6ZLalZzJozqyh3ZOWgcbZcPyzlVFz1n/35Fee/TGIx2B9&#10;DGLqv0D5IVmSh0/bBMYWAmfciQANokiYPk2e9L/n0nX+2qu/AA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C7i1Jya&#10;AQAAIgMAAA4AAAAAAAAAAAAAAAAALgIAAGRycy9lMm9Eb2MueG1sUEsBAi0AFAAGAAgAAAAhAKg1&#10;KqHhAAAADAEAAA8AAAAAAAAAAAAAAAAA9AMAAGRycy9kb3ducmV2LnhtbFBLBQYAAAAABAAEAPMA&#10;AAACBQAAAAA=&#10;" filled="f" stroked="f">
              <v:textbox inset="0,0,0,0">
                <w:txbxContent>
                  <w:p w14:paraId="6E008B7B"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4B45"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5888" behindDoc="1" locked="0" layoutInCell="1" allowOverlap="1" wp14:anchorId="6C560AAF" wp14:editId="3BE4D7E1">
              <wp:simplePos x="0" y="0"/>
              <wp:positionH relativeFrom="page">
                <wp:posOffset>3459607</wp:posOffset>
              </wp:positionH>
              <wp:positionV relativeFrom="page">
                <wp:posOffset>712750</wp:posOffset>
              </wp:positionV>
              <wp:extent cx="364172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3685F73"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6C560AAF" id="_x0000_t202" coordsize="21600,21600" o:spt="202" path="m,l,21600r21600,l21600,xe">
              <v:stroke joinstyle="miter"/>
              <v:path gradientshapeok="t" o:connecttype="rect"/>
            </v:shapetype>
            <v:shape id="Textbox 49" o:spid="_x0000_s1032" type="#_x0000_t202" style="position:absolute;margin-left:272.4pt;margin-top:56.1pt;width:286.75pt;height:14.25pt;z-index:-161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rwmgEAACIDAAAOAAAAZHJzL2Uyb0RvYy54bWysUsFuGyEQvVfKPyDuMWuncdKV11HTqFWl&#10;qKmU9gMwC17UhaEM9q7/vgNe21V7q3oZhmF4vPeG1cPoerbXES34hs9nFWfaK2it3zb8+7eP1/ec&#10;YZK+lT143fCDRv6wvnqzGkKtF9BB3+rICMRjPYSGdymFWghUnXYSZxC0p0MD0clE27gVbZQDobte&#10;LKpqKQaIbYigNCJVn46HfF3wjdEqvRiDOrG+4cQtlRhL3OQo1itZb6MMnVUTDfkPLJy0nh49Qz3J&#10;JNku2r+gnFUREEyaKXACjLFKFw2kZl79oea1k0EXLWQOhrNN+P9g1Zf9a/gaWRofYaQBFhEYnkH9&#10;QPJGDAHrqSd7ijVSdxY6mujyShIYXSRvD2c/9ZiYouLN8u38bnHLmaKz+X317u42Gy4ut0PE9EmD&#10;YzlpeKR5FQZy/4zp2Hpqmcgc389M0rgZmW0bvsygubKB9kBaBhpnw/HnTkbNWf/Zk1959qcknpLN&#10;KYmp/wDlh2RJHt7vEhhbCFxwJwI0iCJh+jR50r/vS9fla69/AQ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DRduvCa&#10;AQAAIgMAAA4AAAAAAAAAAAAAAAAALgIAAGRycy9lMm9Eb2MueG1sUEsBAi0AFAAGAAgAAAAhAKg1&#10;KqHhAAAADAEAAA8AAAAAAAAAAAAAAAAA9AMAAGRycy9kb3ducmV2LnhtbFBLBQYAAAAABAAEAPMA&#10;AAACBQAAAAA=&#10;" filled="f" stroked="f">
              <v:textbox inset="0,0,0,0">
                <w:txbxContent>
                  <w:p w14:paraId="63685F73" w14:textId="77777777" w:rsidR="00207869" w:rsidRDefault="00000000">
                    <w:pPr>
                      <w:spacing w:before="11"/>
                      <w:ind w:left="20"/>
                    </w:pPr>
                    <w:r>
                      <w:rPr>
                        <w:color w:val="404040"/>
                      </w:rPr>
                      <w:t>CyberLearn- Web-Based Cyber Security Awareness Model</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0D1"/>
    <w:multiLevelType w:val="hybridMultilevel"/>
    <w:tmpl w:val="BCD60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773DF"/>
    <w:multiLevelType w:val="hybridMultilevel"/>
    <w:tmpl w:val="E724DC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E77F9B"/>
    <w:multiLevelType w:val="hybridMultilevel"/>
    <w:tmpl w:val="6A687B2A"/>
    <w:lvl w:ilvl="0" w:tplc="6AFEE8F8">
      <w:numFmt w:val="bullet"/>
      <w:lvlText w:val=""/>
      <w:lvlJc w:val="left"/>
      <w:pPr>
        <w:ind w:left="1284" w:hanging="360"/>
      </w:pPr>
      <w:rPr>
        <w:rFonts w:ascii="Symbol" w:eastAsia="Symbol" w:hAnsi="Symbol" w:cs="Symbol" w:hint="default"/>
        <w:spacing w:val="0"/>
        <w:w w:val="100"/>
        <w:lang w:val="en-US" w:eastAsia="en-US" w:bidi="ar-SA"/>
      </w:rPr>
    </w:lvl>
    <w:lvl w:ilvl="1" w:tplc="3AB251F4">
      <w:numFmt w:val="bullet"/>
      <w:lvlText w:val="•"/>
      <w:lvlJc w:val="left"/>
      <w:pPr>
        <w:ind w:left="2232" w:hanging="360"/>
      </w:pPr>
      <w:rPr>
        <w:rFonts w:hint="default"/>
        <w:lang w:val="en-US" w:eastAsia="en-US" w:bidi="ar-SA"/>
      </w:rPr>
    </w:lvl>
    <w:lvl w:ilvl="2" w:tplc="828EEAE8">
      <w:numFmt w:val="bullet"/>
      <w:lvlText w:val="•"/>
      <w:lvlJc w:val="left"/>
      <w:pPr>
        <w:ind w:left="3184" w:hanging="360"/>
      </w:pPr>
      <w:rPr>
        <w:rFonts w:hint="default"/>
        <w:lang w:val="en-US" w:eastAsia="en-US" w:bidi="ar-SA"/>
      </w:rPr>
    </w:lvl>
    <w:lvl w:ilvl="3" w:tplc="823CCBFC">
      <w:numFmt w:val="bullet"/>
      <w:lvlText w:val="•"/>
      <w:lvlJc w:val="left"/>
      <w:pPr>
        <w:ind w:left="4136" w:hanging="360"/>
      </w:pPr>
      <w:rPr>
        <w:rFonts w:hint="default"/>
        <w:lang w:val="en-US" w:eastAsia="en-US" w:bidi="ar-SA"/>
      </w:rPr>
    </w:lvl>
    <w:lvl w:ilvl="4" w:tplc="FD30E302">
      <w:numFmt w:val="bullet"/>
      <w:lvlText w:val="•"/>
      <w:lvlJc w:val="left"/>
      <w:pPr>
        <w:ind w:left="5088" w:hanging="360"/>
      </w:pPr>
      <w:rPr>
        <w:rFonts w:hint="default"/>
        <w:lang w:val="en-US" w:eastAsia="en-US" w:bidi="ar-SA"/>
      </w:rPr>
    </w:lvl>
    <w:lvl w:ilvl="5" w:tplc="82D6E72A">
      <w:numFmt w:val="bullet"/>
      <w:lvlText w:val="•"/>
      <w:lvlJc w:val="left"/>
      <w:pPr>
        <w:ind w:left="6040" w:hanging="360"/>
      </w:pPr>
      <w:rPr>
        <w:rFonts w:hint="default"/>
        <w:lang w:val="en-US" w:eastAsia="en-US" w:bidi="ar-SA"/>
      </w:rPr>
    </w:lvl>
    <w:lvl w:ilvl="6" w:tplc="F6BE987A">
      <w:numFmt w:val="bullet"/>
      <w:lvlText w:val="•"/>
      <w:lvlJc w:val="left"/>
      <w:pPr>
        <w:ind w:left="6992" w:hanging="360"/>
      </w:pPr>
      <w:rPr>
        <w:rFonts w:hint="default"/>
        <w:lang w:val="en-US" w:eastAsia="en-US" w:bidi="ar-SA"/>
      </w:rPr>
    </w:lvl>
    <w:lvl w:ilvl="7" w:tplc="1A00BEB2">
      <w:numFmt w:val="bullet"/>
      <w:lvlText w:val="•"/>
      <w:lvlJc w:val="left"/>
      <w:pPr>
        <w:ind w:left="7944" w:hanging="360"/>
      </w:pPr>
      <w:rPr>
        <w:rFonts w:hint="default"/>
        <w:lang w:val="en-US" w:eastAsia="en-US" w:bidi="ar-SA"/>
      </w:rPr>
    </w:lvl>
    <w:lvl w:ilvl="8" w:tplc="61126EC0">
      <w:numFmt w:val="bullet"/>
      <w:lvlText w:val="•"/>
      <w:lvlJc w:val="left"/>
      <w:pPr>
        <w:ind w:left="8896" w:hanging="360"/>
      </w:pPr>
      <w:rPr>
        <w:rFonts w:hint="default"/>
        <w:lang w:val="en-US" w:eastAsia="en-US" w:bidi="ar-SA"/>
      </w:rPr>
    </w:lvl>
  </w:abstractNum>
  <w:abstractNum w:abstractNumId="3" w15:restartNumberingAfterBreak="0">
    <w:nsid w:val="0E672F86"/>
    <w:multiLevelType w:val="hybridMultilevel"/>
    <w:tmpl w:val="C9E03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22B0A"/>
    <w:multiLevelType w:val="hybridMultilevel"/>
    <w:tmpl w:val="CE423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55768"/>
    <w:multiLevelType w:val="hybridMultilevel"/>
    <w:tmpl w:val="EA8EF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84899"/>
    <w:multiLevelType w:val="hybridMultilevel"/>
    <w:tmpl w:val="C55848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40341A"/>
    <w:multiLevelType w:val="hybridMultilevel"/>
    <w:tmpl w:val="2BC6C2C6"/>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55F1"/>
    <w:multiLevelType w:val="hybridMultilevel"/>
    <w:tmpl w:val="9E827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DA1C6D"/>
    <w:multiLevelType w:val="hybridMultilevel"/>
    <w:tmpl w:val="54140F8C"/>
    <w:lvl w:ilvl="0" w:tplc="BDD4F6B4">
      <w:numFmt w:val="bullet"/>
      <w:lvlText w:val="•"/>
      <w:lvlJc w:val="left"/>
      <w:pPr>
        <w:ind w:left="526"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E29AD36A">
      <w:numFmt w:val="bullet"/>
      <w:lvlText w:val="•"/>
      <w:lvlJc w:val="left"/>
      <w:pPr>
        <w:ind w:left="1548" w:hanging="169"/>
      </w:pPr>
      <w:rPr>
        <w:rFonts w:hint="default"/>
        <w:lang w:val="en-US" w:eastAsia="en-US" w:bidi="ar-SA"/>
      </w:rPr>
    </w:lvl>
    <w:lvl w:ilvl="2" w:tplc="0B868A62">
      <w:numFmt w:val="bullet"/>
      <w:lvlText w:val="•"/>
      <w:lvlJc w:val="left"/>
      <w:pPr>
        <w:ind w:left="2576" w:hanging="169"/>
      </w:pPr>
      <w:rPr>
        <w:rFonts w:hint="default"/>
        <w:lang w:val="en-US" w:eastAsia="en-US" w:bidi="ar-SA"/>
      </w:rPr>
    </w:lvl>
    <w:lvl w:ilvl="3" w:tplc="60EEE506">
      <w:numFmt w:val="bullet"/>
      <w:lvlText w:val="•"/>
      <w:lvlJc w:val="left"/>
      <w:pPr>
        <w:ind w:left="3604" w:hanging="169"/>
      </w:pPr>
      <w:rPr>
        <w:rFonts w:hint="default"/>
        <w:lang w:val="en-US" w:eastAsia="en-US" w:bidi="ar-SA"/>
      </w:rPr>
    </w:lvl>
    <w:lvl w:ilvl="4" w:tplc="BC86D17C">
      <w:numFmt w:val="bullet"/>
      <w:lvlText w:val="•"/>
      <w:lvlJc w:val="left"/>
      <w:pPr>
        <w:ind w:left="4632" w:hanging="169"/>
      </w:pPr>
      <w:rPr>
        <w:rFonts w:hint="default"/>
        <w:lang w:val="en-US" w:eastAsia="en-US" w:bidi="ar-SA"/>
      </w:rPr>
    </w:lvl>
    <w:lvl w:ilvl="5" w:tplc="F8FC86AC">
      <w:numFmt w:val="bullet"/>
      <w:lvlText w:val="•"/>
      <w:lvlJc w:val="left"/>
      <w:pPr>
        <w:ind w:left="5660" w:hanging="169"/>
      </w:pPr>
      <w:rPr>
        <w:rFonts w:hint="default"/>
        <w:lang w:val="en-US" w:eastAsia="en-US" w:bidi="ar-SA"/>
      </w:rPr>
    </w:lvl>
    <w:lvl w:ilvl="6" w:tplc="FCAE3B8A">
      <w:numFmt w:val="bullet"/>
      <w:lvlText w:val="•"/>
      <w:lvlJc w:val="left"/>
      <w:pPr>
        <w:ind w:left="6688" w:hanging="169"/>
      </w:pPr>
      <w:rPr>
        <w:rFonts w:hint="default"/>
        <w:lang w:val="en-US" w:eastAsia="en-US" w:bidi="ar-SA"/>
      </w:rPr>
    </w:lvl>
    <w:lvl w:ilvl="7" w:tplc="6A967106">
      <w:numFmt w:val="bullet"/>
      <w:lvlText w:val="•"/>
      <w:lvlJc w:val="left"/>
      <w:pPr>
        <w:ind w:left="7716" w:hanging="169"/>
      </w:pPr>
      <w:rPr>
        <w:rFonts w:hint="default"/>
        <w:lang w:val="en-US" w:eastAsia="en-US" w:bidi="ar-SA"/>
      </w:rPr>
    </w:lvl>
    <w:lvl w:ilvl="8" w:tplc="5FA00698">
      <w:numFmt w:val="bullet"/>
      <w:lvlText w:val="•"/>
      <w:lvlJc w:val="left"/>
      <w:pPr>
        <w:ind w:left="8744" w:hanging="169"/>
      </w:pPr>
      <w:rPr>
        <w:rFonts w:hint="default"/>
        <w:lang w:val="en-US" w:eastAsia="en-US" w:bidi="ar-SA"/>
      </w:rPr>
    </w:lvl>
  </w:abstractNum>
  <w:abstractNum w:abstractNumId="10" w15:restartNumberingAfterBreak="0">
    <w:nsid w:val="20EC2D0B"/>
    <w:multiLevelType w:val="hybridMultilevel"/>
    <w:tmpl w:val="51385002"/>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5D0728"/>
    <w:multiLevelType w:val="hybridMultilevel"/>
    <w:tmpl w:val="5666F6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FF2F8A"/>
    <w:multiLevelType w:val="hybridMultilevel"/>
    <w:tmpl w:val="F6B08530"/>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F96B72"/>
    <w:multiLevelType w:val="hybridMultilevel"/>
    <w:tmpl w:val="7C289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339DC"/>
    <w:multiLevelType w:val="hybridMultilevel"/>
    <w:tmpl w:val="B46C0BF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6A567C"/>
    <w:multiLevelType w:val="hybridMultilevel"/>
    <w:tmpl w:val="15888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B351C9"/>
    <w:multiLevelType w:val="hybridMultilevel"/>
    <w:tmpl w:val="881E4BD4"/>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56CCA"/>
    <w:multiLevelType w:val="hybridMultilevel"/>
    <w:tmpl w:val="7DC4543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3F0C36"/>
    <w:multiLevelType w:val="hybridMultilevel"/>
    <w:tmpl w:val="51323D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DE1E7D"/>
    <w:multiLevelType w:val="hybridMultilevel"/>
    <w:tmpl w:val="D31A3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07E32"/>
    <w:multiLevelType w:val="hybridMultilevel"/>
    <w:tmpl w:val="203E47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641402"/>
    <w:multiLevelType w:val="hybridMultilevel"/>
    <w:tmpl w:val="9EEEB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2A4C5A"/>
    <w:multiLevelType w:val="hybridMultilevel"/>
    <w:tmpl w:val="A3B60D8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EB6CD6"/>
    <w:multiLevelType w:val="hybridMultilevel"/>
    <w:tmpl w:val="5A749F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66526D"/>
    <w:multiLevelType w:val="hybridMultilevel"/>
    <w:tmpl w:val="F01298DE"/>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A24420"/>
    <w:multiLevelType w:val="hybridMultilevel"/>
    <w:tmpl w:val="9A7C1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161D7A"/>
    <w:multiLevelType w:val="hybridMultilevel"/>
    <w:tmpl w:val="2C10C3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E93B1D"/>
    <w:multiLevelType w:val="hybridMultilevel"/>
    <w:tmpl w:val="FA5EAB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D06396"/>
    <w:multiLevelType w:val="hybridMultilevel"/>
    <w:tmpl w:val="6F0A5E88"/>
    <w:lvl w:ilvl="0" w:tplc="DCC04A00">
      <w:start w:val="1"/>
      <w:numFmt w:val="decimal"/>
      <w:lvlText w:val="%1."/>
      <w:lvlJc w:val="left"/>
      <w:pPr>
        <w:ind w:left="599"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tplc="66B496EC">
      <w:start w:val="1"/>
      <w:numFmt w:val="decimal"/>
      <w:lvlText w:val="%2."/>
      <w:lvlJc w:val="left"/>
      <w:pPr>
        <w:ind w:left="998" w:hanging="281"/>
        <w:jc w:val="left"/>
      </w:pPr>
      <w:rPr>
        <w:rFonts w:hint="default"/>
        <w:spacing w:val="0"/>
        <w:w w:val="100"/>
        <w:lang w:val="en-US" w:eastAsia="en-US" w:bidi="ar-SA"/>
      </w:rPr>
    </w:lvl>
    <w:lvl w:ilvl="2" w:tplc="53FA0FE2">
      <w:numFmt w:val="bullet"/>
      <w:lvlText w:val="•"/>
      <w:lvlJc w:val="left"/>
      <w:pPr>
        <w:ind w:left="1080" w:hanging="281"/>
      </w:pPr>
      <w:rPr>
        <w:rFonts w:hint="default"/>
        <w:lang w:val="en-US" w:eastAsia="en-US" w:bidi="ar-SA"/>
      </w:rPr>
    </w:lvl>
    <w:lvl w:ilvl="3" w:tplc="996E98AA">
      <w:numFmt w:val="bullet"/>
      <w:lvlText w:val="•"/>
      <w:lvlJc w:val="left"/>
      <w:pPr>
        <w:ind w:left="1140" w:hanging="281"/>
      </w:pPr>
      <w:rPr>
        <w:rFonts w:hint="default"/>
        <w:lang w:val="en-US" w:eastAsia="en-US" w:bidi="ar-SA"/>
      </w:rPr>
    </w:lvl>
    <w:lvl w:ilvl="4" w:tplc="36E2D3E2">
      <w:numFmt w:val="bullet"/>
      <w:lvlText w:val="•"/>
      <w:lvlJc w:val="left"/>
      <w:pPr>
        <w:ind w:left="2520" w:hanging="281"/>
      </w:pPr>
      <w:rPr>
        <w:rFonts w:hint="default"/>
        <w:lang w:val="en-US" w:eastAsia="en-US" w:bidi="ar-SA"/>
      </w:rPr>
    </w:lvl>
    <w:lvl w:ilvl="5" w:tplc="146486FA">
      <w:numFmt w:val="bullet"/>
      <w:lvlText w:val="•"/>
      <w:lvlJc w:val="left"/>
      <w:pPr>
        <w:ind w:left="3900" w:hanging="281"/>
      </w:pPr>
      <w:rPr>
        <w:rFonts w:hint="default"/>
        <w:lang w:val="en-US" w:eastAsia="en-US" w:bidi="ar-SA"/>
      </w:rPr>
    </w:lvl>
    <w:lvl w:ilvl="6" w:tplc="969C4D50">
      <w:numFmt w:val="bullet"/>
      <w:lvlText w:val="•"/>
      <w:lvlJc w:val="left"/>
      <w:pPr>
        <w:ind w:left="5280" w:hanging="281"/>
      </w:pPr>
      <w:rPr>
        <w:rFonts w:hint="default"/>
        <w:lang w:val="en-US" w:eastAsia="en-US" w:bidi="ar-SA"/>
      </w:rPr>
    </w:lvl>
    <w:lvl w:ilvl="7" w:tplc="77DCA316">
      <w:numFmt w:val="bullet"/>
      <w:lvlText w:val="•"/>
      <w:lvlJc w:val="left"/>
      <w:pPr>
        <w:ind w:left="6660" w:hanging="281"/>
      </w:pPr>
      <w:rPr>
        <w:rFonts w:hint="default"/>
        <w:lang w:val="en-US" w:eastAsia="en-US" w:bidi="ar-SA"/>
      </w:rPr>
    </w:lvl>
    <w:lvl w:ilvl="8" w:tplc="10668310">
      <w:numFmt w:val="bullet"/>
      <w:lvlText w:val="•"/>
      <w:lvlJc w:val="left"/>
      <w:pPr>
        <w:ind w:left="8040" w:hanging="281"/>
      </w:pPr>
      <w:rPr>
        <w:rFonts w:hint="default"/>
        <w:lang w:val="en-US" w:eastAsia="en-US" w:bidi="ar-SA"/>
      </w:rPr>
    </w:lvl>
  </w:abstractNum>
  <w:abstractNum w:abstractNumId="29" w15:restartNumberingAfterBreak="0">
    <w:nsid w:val="6134410B"/>
    <w:multiLevelType w:val="hybridMultilevel"/>
    <w:tmpl w:val="F24E2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EB238B"/>
    <w:multiLevelType w:val="hybridMultilevel"/>
    <w:tmpl w:val="A1EECC92"/>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384198">
    <w:abstractNumId w:val="2"/>
  </w:num>
  <w:num w:numId="2" w16cid:durableId="796677180">
    <w:abstractNumId w:val="9"/>
  </w:num>
  <w:num w:numId="3" w16cid:durableId="523635820">
    <w:abstractNumId w:val="28"/>
  </w:num>
  <w:num w:numId="4" w16cid:durableId="1465587134">
    <w:abstractNumId w:val="27"/>
  </w:num>
  <w:num w:numId="5" w16cid:durableId="15542569">
    <w:abstractNumId w:val="20"/>
  </w:num>
  <w:num w:numId="6" w16cid:durableId="1006596674">
    <w:abstractNumId w:val="4"/>
  </w:num>
  <w:num w:numId="7" w16cid:durableId="129639753">
    <w:abstractNumId w:val="3"/>
  </w:num>
  <w:num w:numId="8" w16cid:durableId="1315717121">
    <w:abstractNumId w:val="6"/>
  </w:num>
  <w:num w:numId="9" w16cid:durableId="1454518023">
    <w:abstractNumId w:val="19"/>
  </w:num>
  <w:num w:numId="10" w16cid:durableId="771703275">
    <w:abstractNumId w:val="8"/>
  </w:num>
  <w:num w:numId="11" w16cid:durableId="1842431294">
    <w:abstractNumId w:val="11"/>
  </w:num>
  <w:num w:numId="12" w16cid:durableId="1489513916">
    <w:abstractNumId w:val="15"/>
  </w:num>
  <w:num w:numId="13" w16cid:durableId="2144616419">
    <w:abstractNumId w:val="13"/>
  </w:num>
  <w:num w:numId="14" w16cid:durableId="320625948">
    <w:abstractNumId w:val="23"/>
  </w:num>
  <w:num w:numId="15" w16cid:durableId="2100177046">
    <w:abstractNumId w:val="17"/>
  </w:num>
  <w:num w:numId="16" w16cid:durableId="522594278">
    <w:abstractNumId w:val="26"/>
  </w:num>
  <w:num w:numId="17" w16cid:durableId="1595474107">
    <w:abstractNumId w:val="18"/>
  </w:num>
  <w:num w:numId="18" w16cid:durableId="1411081901">
    <w:abstractNumId w:val="25"/>
  </w:num>
  <w:num w:numId="19" w16cid:durableId="189072356">
    <w:abstractNumId w:val="29"/>
  </w:num>
  <w:num w:numId="20" w16cid:durableId="1986660474">
    <w:abstractNumId w:val="21"/>
  </w:num>
  <w:num w:numId="21" w16cid:durableId="657922967">
    <w:abstractNumId w:val="5"/>
  </w:num>
  <w:num w:numId="22" w16cid:durableId="322393955">
    <w:abstractNumId w:val="14"/>
  </w:num>
  <w:num w:numId="23" w16cid:durableId="969165172">
    <w:abstractNumId w:val="7"/>
  </w:num>
  <w:num w:numId="24" w16cid:durableId="1857691026">
    <w:abstractNumId w:val="12"/>
  </w:num>
  <w:num w:numId="25" w16cid:durableId="1949582542">
    <w:abstractNumId w:val="24"/>
  </w:num>
  <w:num w:numId="26" w16cid:durableId="1599756258">
    <w:abstractNumId w:val="16"/>
  </w:num>
  <w:num w:numId="27" w16cid:durableId="228031563">
    <w:abstractNumId w:val="10"/>
  </w:num>
  <w:num w:numId="28" w16cid:durableId="1688754144">
    <w:abstractNumId w:val="0"/>
  </w:num>
  <w:num w:numId="29" w16cid:durableId="937130879">
    <w:abstractNumId w:val="1"/>
  </w:num>
  <w:num w:numId="30" w16cid:durableId="1416515168">
    <w:abstractNumId w:val="30"/>
  </w:num>
  <w:num w:numId="31" w16cid:durableId="13817863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7869"/>
    <w:rsid w:val="000D6DFA"/>
    <w:rsid w:val="00152623"/>
    <w:rsid w:val="00207869"/>
    <w:rsid w:val="00772677"/>
    <w:rsid w:val="007E4198"/>
    <w:rsid w:val="00C95B3F"/>
    <w:rsid w:val="00EA25B6"/>
    <w:rsid w:val="00F56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A8013"/>
  <w15:docId w15:val="{FC1278F3-64B9-415E-AFBD-106C21E0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5"/>
      <w:outlineLvl w:val="0"/>
    </w:pPr>
    <w:rPr>
      <w:b/>
      <w:bCs/>
      <w:sz w:val="32"/>
      <w:szCs w:val="32"/>
    </w:rPr>
  </w:style>
  <w:style w:type="paragraph" w:styleId="Heading2">
    <w:name w:val="heading 2"/>
    <w:basedOn w:val="Normal"/>
    <w:uiPriority w:val="9"/>
    <w:unhideWhenUsed/>
    <w:qFormat/>
    <w:pPr>
      <w:ind w:left="1077" w:hanging="35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4"/>
      <w:ind w:right="2"/>
      <w:jc w:val="center"/>
    </w:pPr>
    <w:rPr>
      <w:b/>
      <w:bCs/>
      <w:sz w:val="36"/>
      <w:szCs w:val="36"/>
    </w:rPr>
  </w:style>
  <w:style w:type="paragraph" w:styleId="ListParagraph">
    <w:name w:val="List Paragraph"/>
    <w:basedOn w:val="Normal"/>
    <w:uiPriority w:val="1"/>
    <w:qFormat/>
    <w:pPr>
      <w:ind w:left="1077" w:hanging="359"/>
    </w:pPr>
  </w:style>
  <w:style w:type="paragraph" w:customStyle="1" w:styleId="TableParagraph">
    <w:name w:val="Table Paragraph"/>
    <w:basedOn w:val="Normal"/>
    <w:uiPriority w:val="1"/>
    <w:qFormat/>
    <w:pPr>
      <w:spacing w:before="32"/>
      <w:ind w:left="11"/>
      <w:jc w:val="center"/>
    </w:pPr>
  </w:style>
  <w:style w:type="paragraph" w:styleId="Header">
    <w:name w:val="header"/>
    <w:basedOn w:val="Normal"/>
    <w:link w:val="HeaderChar"/>
    <w:uiPriority w:val="99"/>
    <w:unhideWhenUsed/>
    <w:rsid w:val="00772677"/>
    <w:pPr>
      <w:tabs>
        <w:tab w:val="center" w:pos="4513"/>
        <w:tab w:val="right" w:pos="9026"/>
      </w:tabs>
    </w:pPr>
  </w:style>
  <w:style w:type="character" w:customStyle="1" w:styleId="HeaderChar">
    <w:name w:val="Header Char"/>
    <w:basedOn w:val="DefaultParagraphFont"/>
    <w:link w:val="Header"/>
    <w:uiPriority w:val="99"/>
    <w:rsid w:val="00772677"/>
    <w:rPr>
      <w:rFonts w:ascii="Times New Roman" w:eastAsia="Times New Roman" w:hAnsi="Times New Roman" w:cs="Times New Roman"/>
    </w:rPr>
  </w:style>
  <w:style w:type="paragraph" w:styleId="Footer">
    <w:name w:val="footer"/>
    <w:basedOn w:val="Normal"/>
    <w:link w:val="FooterChar"/>
    <w:uiPriority w:val="99"/>
    <w:unhideWhenUsed/>
    <w:rsid w:val="00772677"/>
    <w:pPr>
      <w:tabs>
        <w:tab w:val="center" w:pos="4513"/>
        <w:tab w:val="right" w:pos="9026"/>
      </w:tabs>
    </w:pPr>
  </w:style>
  <w:style w:type="character" w:customStyle="1" w:styleId="FooterChar">
    <w:name w:val="Footer Char"/>
    <w:basedOn w:val="DefaultParagraphFont"/>
    <w:link w:val="Footer"/>
    <w:uiPriority w:val="99"/>
    <w:rsid w:val="007726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image" Target="media/image5.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20</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Jagtap</cp:lastModifiedBy>
  <cp:revision>3</cp:revision>
  <dcterms:created xsi:type="dcterms:W3CDTF">2026-10-05T06:09:00Z</dcterms:created>
  <dcterms:modified xsi:type="dcterms:W3CDTF">2026-10-05T10:59:00Z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