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648oma2df6m9" w:id="0"/>
      <w:bookmarkEnd w:id="0"/>
      <w:r w:rsidDel="00000000" w:rsidR="00000000" w:rsidRPr="00000000">
        <w:rPr>
          <w:rtl w:val="0"/>
        </w:rPr>
        <w:t xml:space="preserve">Study Guide: The Digital Personal Data Protection (DPDP) Act and Rules Framework</w:t>
      </w:r>
    </w:p>
    <w:p w:rsidR="00000000" w:rsidDel="00000000" w:rsidP="00000000" w:rsidRDefault="00000000" w:rsidRPr="00000000" w14:paraId="00000002">
      <w:pPr>
        <w:rPr/>
      </w:pPr>
      <w:r w:rsidDel="00000000" w:rsidR="00000000" w:rsidRPr="00000000">
        <w:rPr>
          <w:rtl w:val="0"/>
        </w:rPr>
        <w:t xml:space="preserve">This study guide provides a comprehensive review of the Digital Personal Data Protection (DPDP) Act, 2023, and the DPDP Rules, 2025. It covers the legal obligations for organizations, the phased implementation timeline leading into 2027, the rights of individuals, and the current constitutional challenges facing the legislation.</w:t>
      </w:r>
    </w:p>
    <w:p w:rsidR="00000000" w:rsidDel="00000000" w:rsidP="00000000" w:rsidRDefault="00000000" w:rsidRPr="00000000" w14:paraId="00000003">
      <w:pPr>
        <w:pStyle w:val="Heading4"/>
        <w:rPr/>
      </w:pPr>
      <w:bookmarkStart w:colFirst="0" w:colLast="0" w:name="_r8lw7hauk6bo" w:id="1"/>
      <w:bookmarkEnd w:id="1"/>
      <w:r w:rsidDel="00000000" w:rsidR="00000000" w:rsidRPr="00000000">
        <w:rPr>
          <w:rtl w:val="0"/>
        </w:rPr>
        <w:t xml:space="preserve">Quiz: Understanding the DPDP Act and Rules</w:t>
      </w:r>
    </w:p>
    <w:p w:rsidR="00000000" w:rsidDel="00000000" w:rsidP="00000000" w:rsidRDefault="00000000" w:rsidRPr="00000000" w14:paraId="00000004">
      <w:pPr>
        <w:rPr/>
      </w:pPr>
      <w:r w:rsidDel="00000000" w:rsidR="00000000" w:rsidRPr="00000000">
        <w:rPr>
          <w:b w:val="1"/>
          <w:bCs w:val="1"/>
          <w:rtl w:val="0"/>
        </w:rPr>
        <w:t xml:space="preserve">Instructions:</w:t>
      </w:r>
      <w:r w:rsidDel="00000000" w:rsidR="00000000" w:rsidRPr="00000000">
        <w:rPr>
          <w:rtl w:val="0"/>
        </w:rPr>
        <w:t xml:space="preserve">  Answer the following questions in 2–3 sentences based on the provided source context.</w:t>
      </w:r>
    </w:p>
    <w:p w:rsidR="00000000" w:rsidDel="00000000" w:rsidP="00000000" w:rsidRDefault="00000000" w:rsidRPr="00000000" w14:paraId="00000005">
      <w:pPr>
        <w:numPr>
          <w:ilvl w:val="0"/>
          <w:numId w:val="3"/>
        </w:numPr>
        <w:ind w:left="720" w:hanging="360"/>
        <w:rPr>
          <w:b w:val="1"/>
          <w:bCs w:val="1"/>
          <w:u w:val="none"/>
        </w:rPr>
      </w:pPr>
      <w:r w:rsidDel="00000000" w:rsidR="00000000" w:rsidRPr="00000000">
        <w:rPr>
          <w:b w:val="1"/>
          <w:bCs w:val="1"/>
          <w:rtl w:val="0"/>
        </w:rPr>
        <w:t xml:space="preserve">What is the primary difference between a Data Fiduciary and a Data Principal?</w:t>
      </w:r>
    </w:p>
    <w:p w:rsidR="00000000" w:rsidDel="00000000" w:rsidP="00000000" w:rsidRDefault="00000000" w:rsidRPr="00000000" w14:paraId="00000006">
      <w:pPr>
        <w:numPr>
          <w:ilvl w:val="0"/>
          <w:numId w:val="3"/>
        </w:numPr>
        <w:ind w:left="720" w:hanging="360"/>
        <w:rPr>
          <w:b w:val="1"/>
          <w:bCs w:val="1"/>
        </w:rPr>
      </w:pPr>
      <w:r w:rsidDel="00000000" w:rsidR="00000000" w:rsidRPr="00000000">
        <w:rPr>
          <w:b w:val="1"/>
          <w:bCs w:val="1"/>
          <w:rtl w:val="0"/>
        </w:rPr>
        <w:t xml:space="preserve">What are the three specific phases of the DPDP Act rollout timeline?</w:t>
      </w:r>
    </w:p>
    <w:p w:rsidR="00000000" w:rsidDel="00000000" w:rsidP="00000000" w:rsidRDefault="00000000" w:rsidRPr="00000000" w14:paraId="00000007">
      <w:pPr>
        <w:numPr>
          <w:ilvl w:val="0"/>
          <w:numId w:val="3"/>
        </w:numPr>
        <w:ind w:left="720" w:hanging="360"/>
        <w:rPr>
          <w:b w:val="1"/>
          <w:bCs w:val="1"/>
        </w:rPr>
      </w:pPr>
      <w:r w:rsidDel="00000000" w:rsidR="00000000" w:rsidRPr="00000000">
        <w:rPr>
          <w:b w:val="1"/>
          <w:bCs w:val="1"/>
          <w:rtl w:val="0"/>
        </w:rPr>
        <w:t xml:space="preserve">What role does a "Consent Manager" play in the new regulatory framework?</w:t>
      </w:r>
    </w:p>
    <w:p w:rsidR="00000000" w:rsidDel="00000000" w:rsidP="00000000" w:rsidRDefault="00000000" w:rsidRPr="00000000" w14:paraId="00000008">
      <w:pPr>
        <w:numPr>
          <w:ilvl w:val="0"/>
          <w:numId w:val="3"/>
        </w:numPr>
        <w:ind w:left="720" w:hanging="360"/>
        <w:rPr>
          <w:b w:val="1"/>
          <w:bCs w:val="1"/>
        </w:rPr>
      </w:pPr>
      <w:r w:rsidDel="00000000" w:rsidR="00000000" w:rsidRPr="00000000">
        <w:rPr>
          <w:b w:val="1"/>
          <w:bCs w:val="1"/>
          <w:rtl w:val="0"/>
        </w:rPr>
        <w:t xml:space="preserve">How does the DPDP Act define "Significant Data Fiduciary" (SDF) and what extra burdens do they carry?</w:t>
      </w:r>
    </w:p>
    <w:p w:rsidR="00000000" w:rsidDel="00000000" w:rsidP="00000000" w:rsidRDefault="00000000" w:rsidRPr="00000000" w14:paraId="00000009">
      <w:pPr>
        <w:numPr>
          <w:ilvl w:val="0"/>
          <w:numId w:val="3"/>
        </w:numPr>
        <w:ind w:left="720" w:hanging="360"/>
        <w:rPr>
          <w:b w:val="1"/>
          <w:bCs w:val="1"/>
        </w:rPr>
      </w:pPr>
      <w:r w:rsidDel="00000000" w:rsidR="00000000" w:rsidRPr="00000000">
        <w:rPr>
          <w:b w:val="1"/>
          <w:bCs w:val="1"/>
          <w:rtl w:val="0"/>
        </w:rPr>
        <w:t xml:space="preserve">What is the "72-hour rule" regarding personal data breaches?</w:t>
      </w:r>
    </w:p>
    <w:p w:rsidR="00000000" w:rsidDel="00000000" w:rsidP="00000000" w:rsidRDefault="00000000" w:rsidRPr="00000000" w14:paraId="0000000A">
      <w:pPr>
        <w:numPr>
          <w:ilvl w:val="0"/>
          <w:numId w:val="3"/>
        </w:numPr>
        <w:ind w:left="720" w:hanging="360"/>
        <w:rPr>
          <w:b w:val="1"/>
          <w:bCs w:val="1"/>
        </w:rPr>
      </w:pPr>
      <w:r w:rsidDel="00000000" w:rsidR="00000000" w:rsidRPr="00000000">
        <w:rPr>
          <w:b w:val="1"/>
          <w:bCs w:val="1"/>
          <w:rtl w:val="0"/>
        </w:rPr>
        <w:t xml:space="preserve">Explain the specific exemption provided for the Business Process Outsourcing (BPO) industry under Section 17(1)(d).</w:t>
      </w:r>
    </w:p>
    <w:p w:rsidR="00000000" w:rsidDel="00000000" w:rsidP="00000000" w:rsidRDefault="00000000" w:rsidRPr="00000000" w14:paraId="0000000B">
      <w:pPr>
        <w:numPr>
          <w:ilvl w:val="0"/>
          <w:numId w:val="3"/>
        </w:numPr>
        <w:ind w:left="720" w:hanging="360"/>
        <w:rPr>
          <w:b w:val="1"/>
          <w:bCs w:val="1"/>
        </w:rPr>
      </w:pPr>
      <w:r w:rsidDel="00000000" w:rsidR="00000000" w:rsidRPr="00000000">
        <w:rPr>
          <w:b w:val="1"/>
          <w:bCs w:val="1"/>
          <w:rtl w:val="0"/>
        </w:rPr>
        <w:t xml:space="preserve">What is the primary basis for processing student data in the EdTech sector under the Act?</w:t>
      </w:r>
    </w:p>
    <w:p w:rsidR="00000000" w:rsidDel="00000000" w:rsidP="00000000" w:rsidRDefault="00000000" w:rsidRPr="00000000" w14:paraId="0000000C">
      <w:pPr>
        <w:numPr>
          <w:ilvl w:val="0"/>
          <w:numId w:val="3"/>
        </w:numPr>
        <w:ind w:left="720" w:hanging="360"/>
        <w:rPr>
          <w:b w:val="1"/>
          <w:bCs w:val="1"/>
        </w:rPr>
      </w:pPr>
      <w:r w:rsidDel="00000000" w:rsidR="00000000" w:rsidRPr="00000000">
        <w:rPr>
          <w:b w:val="1"/>
          <w:bCs w:val="1"/>
          <w:rtl w:val="0"/>
        </w:rPr>
        <w:t xml:space="preserve">How has the DPDP Act modified the Right to Information (RTI) Act, 2005?</w:t>
      </w:r>
    </w:p>
    <w:p w:rsidR="00000000" w:rsidDel="00000000" w:rsidP="00000000" w:rsidRDefault="00000000" w:rsidRPr="00000000" w14:paraId="0000000D">
      <w:pPr>
        <w:numPr>
          <w:ilvl w:val="0"/>
          <w:numId w:val="3"/>
        </w:numPr>
        <w:ind w:left="720" w:hanging="360"/>
        <w:rPr>
          <w:b w:val="1"/>
          <w:bCs w:val="1"/>
        </w:rPr>
      </w:pPr>
      <w:r w:rsidDel="00000000" w:rsidR="00000000" w:rsidRPr="00000000">
        <w:rPr>
          <w:b w:val="1"/>
          <w:bCs w:val="1"/>
          <w:rtl w:val="0"/>
        </w:rPr>
        <w:t xml:space="preserve">What are the potential financial penalties for failing to implement reasonable security safeguards?</w:t>
      </w:r>
    </w:p>
    <w:p w:rsidR="00000000" w:rsidDel="00000000" w:rsidP="00000000" w:rsidRDefault="00000000" w:rsidRPr="00000000" w14:paraId="0000000E">
      <w:pPr>
        <w:numPr>
          <w:ilvl w:val="0"/>
          <w:numId w:val="3"/>
        </w:numPr>
        <w:ind w:left="720" w:hanging="360"/>
        <w:rPr>
          <w:b w:val="1"/>
          <w:bCs w:val="1"/>
        </w:rPr>
      </w:pPr>
      <w:r w:rsidDel="00000000" w:rsidR="00000000" w:rsidRPr="00000000">
        <w:rPr>
          <w:b w:val="1"/>
          <w:bCs w:val="1"/>
          <w:rtl w:val="0"/>
        </w:rPr>
        <w:t xml:space="preserve">What is the "gag order" established by Rule 23(2) of the DPDP Rules, 2025?</w:t>
      </w:r>
    </w:p>
    <w:p w:rsidR="00000000" w:rsidDel="00000000" w:rsidP="00000000" w:rsidRDefault="00000000" w:rsidRPr="00000000" w14:paraId="0000000F">
      <w:pPr>
        <w:pStyle w:val="Heading4"/>
        <w:rPr/>
      </w:pPr>
      <w:bookmarkStart w:colFirst="0" w:colLast="0" w:name="_9kmv2k84sugc" w:id="2"/>
      <w:bookmarkEnd w:id="2"/>
      <w:r w:rsidDel="00000000" w:rsidR="00000000" w:rsidRPr="00000000">
        <w:rPr>
          <w:rtl w:val="0"/>
        </w:rPr>
        <w:t xml:space="preserve">Answer Key</w:t>
      </w:r>
    </w:p>
    <w:p w:rsidR="00000000" w:rsidDel="00000000" w:rsidP="00000000" w:rsidRDefault="00000000" w:rsidRPr="00000000" w14:paraId="00000010">
      <w:pPr>
        <w:numPr>
          <w:ilvl w:val="0"/>
          <w:numId w:val="2"/>
        </w:numPr>
        <w:ind w:left="720" w:hanging="360"/>
        <w:rPr>
          <w:u w:val="none"/>
        </w:rPr>
      </w:pPr>
      <w:r w:rsidDel="00000000" w:rsidR="00000000" w:rsidRPr="00000000">
        <w:rPr>
          <w:b w:val="1"/>
          <w:bCs w:val="1"/>
          <w:rtl w:val="0"/>
        </w:rPr>
        <w:t xml:space="preserve">What is the primary difference between a Data Fiduciary and a Data Principal?</w:t>
      </w:r>
      <w:r w:rsidDel="00000000" w:rsidR="00000000" w:rsidRPr="00000000">
        <w:rPr>
          <w:rtl w:val="0"/>
        </w:rPr>
        <w:t xml:space="preserve">  A Data Fiduciary is the entity or person that determines the purpose and means of processing personal data, bearing the legal responsibility for compliance. A Data Principal is the individual to whom the personal data relates, such as a customer, employee, or website visitor.</w:t>
      </w:r>
    </w:p>
    <w:p w:rsidR="00000000" w:rsidDel="00000000" w:rsidP="00000000" w:rsidRDefault="00000000" w:rsidRPr="00000000" w14:paraId="00000011">
      <w:pPr>
        <w:numPr>
          <w:ilvl w:val="0"/>
          <w:numId w:val="2"/>
        </w:numPr>
        <w:ind w:left="720" w:hanging="360"/>
        <w:rPr>
          <w:u w:val="none"/>
        </w:rPr>
      </w:pPr>
      <w:r w:rsidDel="00000000" w:rsidR="00000000" w:rsidRPr="00000000">
        <w:rPr>
          <w:b w:val="1"/>
          <w:bCs w:val="1"/>
          <w:rtl w:val="0"/>
        </w:rPr>
        <w:t xml:space="preserve">What are the three specific phases of the DPDP Act rollout timeline?</w:t>
      </w:r>
      <w:r w:rsidDel="00000000" w:rsidR="00000000" w:rsidRPr="00000000">
        <w:rPr>
          <w:rtl w:val="0"/>
        </w:rPr>
        <w:t xml:space="preserve">  Phase 1 began on November 13, 2025, with the establishment of the Data Protection Board of India (DPBI). Phase 2 makes the Consent Manager Framework operational by November 13, 2026, while Phase 3 requires full substantive compliance with all remaining rules by May 13, 2027.</w:t>
      </w:r>
    </w:p>
    <w:p w:rsidR="00000000" w:rsidDel="00000000" w:rsidP="00000000" w:rsidRDefault="00000000" w:rsidRPr="00000000" w14:paraId="00000012">
      <w:pPr>
        <w:numPr>
          <w:ilvl w:val="0"/>
          <w:numId w:val="2"/>
        </w:numPr>
        <w:ind w:left="720" w:hanging="360"/>
        <w:rPr>
          <w:u w:val="none"/>
        </w:rPr>
      </w:pPr>
      <w:r w:rsidDel="00000000" w:rsidR="00000000" w:rsidRPr="00000000">
        <w:rPr>
          <w:b w:val="1"/>
          <w:bCs w:val="1"/>
          <w:rtl w:val="0"/>
        </w:rPr>
        <w:t xml:space="preserve">What role does a "Consent Manager" play in the new regulatory framework?</w:t>
      </w:r>
      <w:r w:rsidDel="00000000" w:rsidR="00000000" w:rsidRPr="00000000">
        <w:rPr>
          <w:rtl w:val="0"/>
        </w:rPr>
        <w:t xml:space="preserve">  A Consent Manager is a DPBI-registered intermediary platform that provides a single interface for Data Principals to grant, review, manage, and withdraw consent across multiple organizations. They must be Indian-incorporated companies with a minimum net worth of ₹2 crore and are barred from subcontracting their core obligations.</w:t>
      </w:r>
    </w:p>
    <w:p w:rsidR="00000000" w:rsidDel="00000000" w:rsidP="00000000" w:rsidRDefault="00000000" w:rsidRPr="00000000" w14:paraId="00000013">
      <w:pPr>
        <w:numPr>
          <w:ilvl w:val="0"/>
          <w:numId w:val="2"/>
        </w:numPr>
        <w:ind w:left="720" w:hanging="360"/>
        <w:rPr>
          <w:u w:val="none"/>
        </w:rPr>
      </w:pPr>
      <w:r w:rsidDel="00000000" w:rsidR="00000000" w:rsidRPr="00000000">
        <w:rPr>
          <w:b w:val="1"/>
          <w:bCs w:val="1"/>
          <w:rtl w:val="0"/>
        </w:rPr>
        <w:t xml:space="preserve">How does the DPDP Act define "Significant Data Fiduciary" (SDF) and what extra burdens do they carry?</w:t>
      </w:r>
      <w:r w:rsidDel="00000000" w:rsidR="00000000" w:rsidRPr="00000000">
        <w:rPr>
          <w:rtl w:val="0"/>
        </w:rPr>
        <w:t xml:space="preserve">  SDFs are designated by the government based on the volume and sensitivity of data they process and the associated risks to the rights of Data Principals. They are required to appoint an India-based Data Protection Officer (DPO), conduct annual independent data audits, and perform regular Data Protection Impact Assessments (DPIAs).</w:t>
      </w:r>
    </w:p>
    <w:p w:rsidR="00000000" w:rsidDel="00000000" w:rsidP="00000000" w:rsidRDefault="00000000" w:rsidRPr="00000000" w14:paraId="00000014">
      <w:pPr>
        <w:numPr>
          <w:ilvl w:val="0"/>
          <w:numId w:val="2"/>
        </w:numPr>
        <w:ind w:left="720" w:hanging="360"/>
        <w:rPr>
          <w:u w:val="none"/>
        </w:rPr>
      </w:pPr>
      <w:r w:rsidDel="00000000" w:rsidR="00000000" w:rsidRPr="00000000">
        <w:rPr>
          <w:b w:val="1"/>
          <w:bCs w:val="1"/>
          <w:rtl w:val="0"/>
        </w:rPr>
        <w:t xml:space="preserve">What is the "72-hour rule" regarding personal data breaches?</w:t>
      </w:r>
      <w:r w:rsidDel="00000000" w:rsidR="00000000" w:rsidRPr="00000000">
        <w:rPr>
          <w:rtl w:val="0"/>
        </w:rPr>
        <w:t xml:space="preserve">  Upon discovering a personal data breach, a Data Fiduciary must notify the Data Protection Board and all affected Data Principals without delay. A detailed incident report describing the breach, its consequences, and mitigation steps must be submitted to the Board within 72 hours.</w:t>
      </w:r>
    </w:p>
    <w:p w:rsidR="00000000" w:rsidDel="00000000" w:rsidP="00000000" w:rsidRDefault="00000000" w:rsidRPr="00000000" w14:paraId="00000015">
      <w:pPr>
        <w:numPr>
          <w:ilvl w:val="0"/>
          <w:numId w:val="2"/>
        </w:numPr>
        <w:ind w:left="720" w:hanging="360"/>
        <w:rPr>
          <w:u w:val="none"/>
        </w:rPr>
      </w:pPr>
      <w:r w:rsidDel="00000000" w:rsidR="00000000" w:rsidRPr="00000000">
        <w:rPr>
          <w:b w:val="1"/>
          <w:bCs w:val="1"/>
          <w:rtl w:val="0"/>
        </w:rPr>
        <w:t xml:space="preserve">Explain the specific exemption provided for the Business Process Outsourcing (BPO) industry under Section 17(1)(d).</w:t>
      </w:r>
      <w:r w:rsidDel="00000000" w:rsidR="00000000" w:rsidRPr="00000000">
        <w:rPr>
          <w:rtl w:val="0"/>
        </w:rPr>
        <w:t xml:space="preserve">  This section exempts Indian entities from most provisions of the Act when they are processing the personal data of individuals located outside of India under a contract with a foreign entity. However, this carve-out only applies to foreign data; if the BPO handles the data of Indian residents, that portion of the processing is fully subject to the Act.</w:t>
      </w:r>
    </w:p>
    <w:p w:rsidR="00000000" w:rsidDel="00000000" w:rsidP="00000000" w:rsidRDefault="00000000" w:rsidRPr="00000000" w14:paraId="00000016">
      <w:pPr>
        <w:numPr>
          <w:ilvl w:val="0"/>
          <w:numId w:val="2"/>
        </w:numPr>
        <w:ind w:left="720" w:hanging="360"/>
        <w:rPr>
          <w:u w:val="none"/>
        </w:rPr>
      </w:pPr>
      <w:r w:rsidDel="00000000" w:rsidR="00000000" w:rsidRPr="00000000">
        <w:rPr>
          <w:b w:val="1"/>
          <w:bCs w:val="1"/>
          <w:rtl w:val="0"/>
        </w:rPr>
        <w:t xml:space="preserve">What is the primary basis for processing student data in the EdTech sector under the Act?</w:t>
      </w:r>
      <w:r w:rsidDel="00000000" w:rsidR="00000000" w:rsidRPr="00000000">
        <w:rPr>
          <w:rtl w:val="0"/>
        </w:rPr>
        <w:t xml:space="preserve">  Consent is the primary basis for processing, and for students under 18, EdTech platforms must obtain "verifiable parental consent" through approved methods like DigiLocker. Additionally, these platforms are strictly prohibited from engaging in tracking, behavioral monitoring, or targeted advertising directed at children.</w:t>
      </w:r>
    </w:p>
    <w:p w:rsidR="00000000" w:rsidDel="00000000" w:rsidP="00000000" w:rsidRDefault="00000000" w:rsidRPr="00000000" w14:paraId="00000017">
      <w:pPr>
        <w:numPr>
          <w:ilvl w:val="0"/>
          <w:numId w:val="2"/>
        </w:numPr>
        <w:ind w:left="720" w:hanging="360"/>
        <w:rPr>
          <w:u w:val="none"/>
        </w:rPr>
      </w:pPr>
      <w:r w:rsidDel="00000000" w:rsidR="00000000" w:rsidRPr="00000000">
        <w:rPr>
          <w:b w:val="1"/>
          <w:bCs w:val="1"/>
          <w:rtl w:val="0"/>
        </w:rPr>
        <w:t xml:space="preserve">How has the DPDP Act modified the Right to Information (RTI) Act, 2005?</w:t>
      </w:r>
      <w:r w:rsidDel="00000000" w:rsidR="00000000" w:rsidRPr="00000000">
        <w:rPr>
          <w:rtl w:val="0"/>
        </w:rPr>
        <w:t xml:space="preserve">  Section 44(3) of the DPDP Act amended Section 8(1)(j) of the RTI Act to create a broader exemption for "personal information." Critics argue this removes the previous balancing test where personal info could be disclosed if it had a nexus to public activity or interest, potentially allowing officials to withhold more data under the guise of privacy.</w:t>
      </w:r>
    </w:p>
    <w:p w:rsidR="00000000" w:rsidDel="00000000" w:rsidP="00000000" w:rsidRDefault="00000000" w:rsidRPr="00000000" w14:paraId="00000018">
      <w:pPr>
        <w:numPr>
          <w:ilvl w:val="0"/>
          <w:numId w:val="2"/>
        </w:numPr>
        <w:ind w:left="720" w:hanging="360"/>
        <w:rPr>
          <w:u w:val="none"/>
        </w:rPr>
      </w:pPr>
      <w:r w:rsidDel="00000000" w:rsidR="00000000" w:rsidRPr="00000000">
        <w:rPr>
          <w:b w:val="1"/>
          <w:bCs w:val="1"/>
          <w:rtl w:val="0"/>
        </w:rPr>
        <w:t xml:space="preserve">What are the potential financial penalties for failing to implement reasonable security safeguards?</w:t>
      </w:r>
      <w:r w:rsidDel="00000000" w:rsidR="00000000" w:rsidRPr="00000000">
        <w:rPr>
          <w:rtl w:val="0"/>
        </w:rPr>
        <w:t xml:space="preserve">  Failing to implement reasonable security safeguards to prevent a data breach carries the highest penalty tier of up to ₹250 crore. Because penalties are assessed per violation category and can stack, a single incident involving multiple failures could lead to even higher cumulative exposure.</w:t>
      </w:r>
    </w:p>
    <w:p w:rsidR="00000000" w:rsidDel="00000000" w:rsidP="00000000" w:rsidRDefault="00000000" w:rsidRPr="00000000" w14:paraId="00000019">
      <w:pPr>
        <w:numPr>
          <w:ilvl w:val="0"/>
          <w:numId w:val="2"/>
        </w:numPr>
        <w:ind w:left="720" w:hanging="360"/>
        <w:rPr>
          <w:u w:val="none"/>
        </w:rPr>
      </w:pPr>
      <w:r w:rsidDel="00000000" w:rsidR="00000000" w:rsidRPr="00000000">
        <w:rPr>
          <w:b w:val="1"/>
          <w:bCs w:val="1"/>
          <w:rtl w:val="0"/>
        </w:rPr>
        <w:t xml:space="preserve">What is the "gag order" established by Rule 23(2) of the DPDP Rules, 2025?</w:t>
      </w:r>
      <w:r w:rsidDel="00000000" w:rsidR="00000000" w:rsidRPr="00000000">
        <w:rPr>
          <w:rtl w:val="0"/>
        </w:rPr>
        <w:t xml:space="preserve">  Rule 23(2) prohibits Data Fiduciaries from disclosing to a Data Principal that their information has been furnished to the Union government if the request relates to state security or the sovereignty of India. This creates a mandatory non-disclosure obligation for companies even when they would normally provide transparency to the user.</w:t>
      </w:r>
    </w:p>
    <w:p w:rsidR="00000000" w:rsidDel="00000000" w:rsidP="00000000" w:rsidRDefault="00000000" w:rsidRPr="00000000" w14:paraId="0000001A">
      <w:pPr>
        <w:pStyle w:val="Heading4"/>
        <w:rPr/>
      </w:pPr>
      <w:bookmarkStart w:colFirst="0" w:colLast="0" w:name="_ulmkk46d9ge1" w:id="3"/>
      <w:bookmarkEnd w:id="3"/>
      <w:r w:rsidDel="00000000" w:rsidR="00000000" w:rsidRPr="00000000">
        <w:rPr>
          <w:rtl w:val="0"/>
        </w:rPr>
        <w:t xml:space="preserve">Essay Format Discussion Questions</w:t>
      </w:r>
    </w:p>
    <w:p w:rsidR="00000000" w:rsidDel="00000000" w:rsidP="00000000" w:rsidRDefault="00000000" w:rsidRPr="00000000" w14:paraId="0000001B">
      <w:pPr>
        <w:numPr>
          <w:ilvl w:val="0"/>
          <w:numId w:val="1"/>
        </w:numPr>
        <w:ind w:left="720" w:hanging="360"/>
        <w:rPr>
          <w:u w:val="none"/>
        </w:rPr>
      </w:pPr>
      <w:r w:rsidDel="00000000" w:rsidR="00000000" w:rsidRPr="00000000">
        <w:rPr>
          <w:b w:val="1"/>
          <w:bCs w:val="1"/>
          <w:rtl w:val="0"/>
        </w:rPr>
        <w:t xml:space="preserve">Startups vs. Enterprises:</w:t>
      </w:r>
      <w:r w:rsidDel="00000000" w:rsidR="00000000" w:rsidRPr="00000000">
        <w:rPr>
          <w:rtl w:val="0"/>
        </w:rPr>
        <w:t xml:space="preserve">  Compare and contrast the "Privacy by Design" approach for startups with the "Data Sprawl" management required for large enterprises. How do their resource allocations and operational risks differ under the DPDP Act?</w:t>
      </w:r>
    </w:p>
    <w:p w:rsidR="00000000" w:rsidDel="00000000" w:rsidP="00000000" w:rsidRDefault="00000000" w:rsidRPr="00000000" w14:paraId="0000001C">
      <w:pPr>
        <w:numPr>
          <w:ilvl w:val="0"/>
          <w:numId w:val="1"/>
        </w:numPr>
        <w:ind w:left="720" w:hanging="360"/>
        <w:rPr>
          <w:u w:val="none"/>
        </w:rPr>
      </w:pPr>
      <w:r w:rsidDel="00000000" w:rsidR="00000000" w:rsidRPr="00000000">
        <w:rPr>
          <w:b w:val="1"/>
          <w:bCs w:val="1"/>
          <w:rtl w:val="0"/>
        </w:rPr>
        <w:t xml:space="preserve">The Constitutional Challenge:</w:t>
      </w:r>
      <w:r w:rsidDel="00000000" w:rsidR="00000000" w:rsidRPr="00000000">
        <w:rPr>
          <w:rtl w:val="0"/>
        </w:rPr>
        <w:t xml:space="preserve">  Analyze the arguments raised in  </w:t>
      </w:r>
      <w:r w:rsidDel="00000000" w:rsidR="00000000" w:rsidRPr="00000000">
        <w:rPr>
          <w:i w:val="1"/>
          <w:iCs w:val="1"/>
          <w:rtl w:val="0"/>
        </w:rPr>
        <w:t xml:space="preserve">Venkatesh Nayak v. Union of India</w:t>
      </w:r>
      <w:r w:rsidDel="00000000" w:rsidR="00000000" w:rsidRPr="00000000">
        <w:rPr>
          <w:rtl w:val="0"/>
        </w:rPr>
        <w:t xml:space="preserve"> . Focus on the "executive dominance" in the Data Protection Board’s formation and the potential for a "surveillance regime" created by Section 17 government exemptions.</w:t>
      </w:r>
    </w:p>
    <w:p w:rsidR="00000000" w:rsidDel="00000000" w:rsidP="00000000" w:rsidRDefault="00000000" w:rsidRPr="00000000" w14:paraId="0000001D">
      <w:pPr>
        <w:numPr>
          <w:ilvl w:val="0"/>
          <w:numId w:val="1"/>
        </w:numPr>
        <w:ind w:left="720" w:hanging="360"/>
        <w:rPr>
          <w:u w:val="none"/>
        </w:rPr>
      </w:pPr>
      <w:r w:rsidDel="00000000" w:rsidR="00000000" w:rsidRPr="00000000">
        <w:rPr>
          <w:b w:val="1"/>
          <w:bCs w:val="1"/>
          <w:rtl w:val="0"/>
        </w:rPr>
        <w:t xml:space="preserve">The End of "Silent Data Collection":</w:t>
      </w:r>
      <w:r w:rsidDel="00000000" w:rsidR="00000000" w:rsidRPr="00000000">
        <w:rPr>
          <w:rtl w:val="0"/>
        </w:rPr>
        <w:t xml:space="preserve">  Discuss how the shift from bundled consent to "granular, purpose-specific consent" changes the UI/UX and backend architecture for digital businesses in India. What are the practical implications of "Just-in-Time" notices?</w:t>
      </w:r>
    </w:p>
    <w:p w:rsidR="00000000" w:rsidDel="00000000" w:rsidP="00000000" w:rsidRDefault="00000000" w:rsidRPr="00000000" w14:paraId="0000001E">
      <w:pPr>
        <w:numPr>
          <w:ilvl w:val="0"/>
          <w:numId w:val="1"/>
        </w:numPr>
        <w:ind w:left="720" w:hanging="360"/>
        <w:rPr>
          <w:u w:val="none"/>
        </w:rPr>
      </w:pPr>
      <w:r w:rsidDel="00000000" w:rsidR="00000000" w:rsidRPr="00000000">
        <w:rPr>
          <w:b w:val="1"/>
          <w:bCs w:val="1"/>
          <w:rtl w:val="0"/>
        </w:rPr>
        <w:t xml:space="preserve">The Impact on Transparency:</w:t>
      </w:r>
      <w:r w:rsidDel="00000000" w:rsidR="00000000" w:rsidRPr="00000000">
        <w:rPr>
          <w:rtl w:val="0"/>
        </w:rPr>
        <w:t xml:space="preserve">  Evaluate the tension between the DPDP Act’s privacy protections and the RTI Act’s transparency goals. Does the amendment to Section 8(1)(j) of the RTI Act favor official secrecy over democratic accountability?</w:t>
      </w:r>
    </w:p>
    <w:p w:rsidR="00000000" w:rsidDel="00000000" w:rsidP="00000000" w:rsidRDefault="00000000" w:rsidRPr="00000000" w14:paraId="0000001F">
      <w:pPr>
        <w:numPr>
          <w:ilvl w:val="0"/>
          <w:numId w:val="1"/>
        </w:numPr>
        <w:ind w:left="720" w:hanging="360"/>
        <w:rPr>
          <w:u w:val="none"/>
        </w:rPr>
      </w:pPr>
      <w:r w:rsidDel="00000000" w:rsidR="00000000" w:rsidRPr="00000000">
        <w:rPr>
          <w:b w:val="1"/>
          <w:bCs w:val="1"/>
          <w:rtl w:val="0"/>
        </w:rPr>
        <w:t xml:space="preserve">Operationalizing Compliance:</w:t>
      </w:r>
      <w:r w:rsidDel="00000000" w:rsidR="00000000" w:rsidRPr="00000000">
        <w:rPr>
          <w:rtl w:val="0"/>
        </w:rPr>
        <w:t xml:space="preserve">  Using the "READY Framework" (Reconnaissance, Engineering, Alignment, Deployment, Year-Round Governance), outline a strategic roadmap for an organization to achieve full compliance before the May 13, 2027 deadline.</w:t>
      </w:r>
    </w:p>
    <w:p w:rsidR="00000000" w:rsidDel="00000000" w:rsidP="00000000" w:rsidRDefault="00000000" w:rsidRPr="00000000" w14:paraId="00000020">
      <w:pPr>
        <w:pStyle w:val="Heading4"/>
        <w:rPr/>
      </w:pPr>
      <w:bookmarkStart w:colFirst="0" w:colLast="0" w:name="_mqlywe4t6asy" w:id="4"/>
      <w:bookmarkEnd w:id="4"/>
      <w:r w:rsidDel="00000000" w:rsidR="00000000" w:rsidRPr="00000000">
        <w:rPr>
          <w:rtl w:val="0"/>
        </w:rPr>
        <w:t xml:space="preserve">Comprehensive Glossary of Key Terms</w:t>
      </w:r>
    </w:p>
    <w:p w:rsidR="00000000" w:rsidDel="00000000" w:rsidP="00000000" w:rsidRDefault="00000000" w:rsidRPr="00000000" w14:paraId="00000021">
      <w:pPr>
        <w:rPr/>
      </w:pPr>
      <w:r w:rsidDel="00000000" w:rsidR="00000000" w:rsidRPr="00000000">
        <w:rPr>
          <w:rtl w:val="0"/>
        </w:rPr>
        <w:t xml:space="preserve">Term,Definition</w:t>
      </w:r>
    </w:p>
    <w:p w:rsidR="00000000" w:rsidDel="00000000" w:rsidP="00000000" w:rsidRDefault="00000000" w:rsidRPr="00000000" w14:paraId="00000022">
      <w:pPr>
        <w:rPr/>
      </w:pPr>
      <w:r w:rsidDel="00000000" w:rsidR="00000000" w:rsidRPr="00000000">
        <w:rPr>
          <w:rtl w:val="0"/>
        </w:rPr>
        <w:t xml:space="preserve">Data Fiduciary,"Any person or entity that determines the ""purpose and means"" of processing digital personal data."</w:t>
      </w:r>
    </w:p>
    <w:p w:rsidR="00000000" w:rsidDel="00000000" w:rsidP="00000000" w:rsidRDefault="00000000" w:rsidRPr="00000000" w14:paraId="00000023">
      <w:pPr>
        <w:rPr/>
      </w:pPr>
      <w:r w:rsidDel="00000000" w:rsidR="00000000" w:rsidRPr="00000000">
        <w:rPr>
          <w:rtl w:val="0"/>
        </w:rPr>
        <w:t xml:space="preserve">Data Principal,"The individual to whom the personal data relates; for minors, this includes their parents or lawful guardians."</w:t>
      </w:r>
    </w:p>
    <w:p w:rsidR="00000000" w:rsidDel="00000000" w:rsidP="00000000" w:rsidRDefault="00000000" w:rsidRPr="00000000" w14:paraId="00000024">
      <w:pPr>
        <w:rPr/>
      </w:pPr>
      <w:r w:rsidDel="00000000" w:rsidR="00000000" w:rsidRPr="00000000">
        <w:rPr>
          <w:rtl w:val="0"/>
        </w:rPr>
        <w:t xml:space="preserve">Data Processor,Any person or entity who processes personal data on behalf of a Data Fiduciary.</w:t>
      </w:r>
    </w:p>
    <w:p w:rsidR="00000000" w:rsidDel="00000000" w:rsidP="00000000" w:rsidRDefault="00000000" w:rsidRPr="00000000" w14:paraId="00000025">
      <w:pPr>
        <w:rPr/>
      </w:pPr>
      <w:r w:rsidDel="00000000" w:rsidR="00000000" w:rsidRPr="00000000">
        <w:rPr>
          <w:rtl w:val="0"/>
        </w:rPr>
        <w:t xml:space="preserve">Significant Data Fiduciary (SDF),A class of fiduciaries designated by the government that must follow enhanced compliance rules due to the volume or sensitivity of data processed.</w:t>
      </w:r>
    </w:p>
    <w:p w:rsidR="00000000" w:rsidDel="00000000" w:rsidP="00000000" w:rsidRDefault="00000000" w:rsidRPr="00000000" w14:paraId="00000026">
      <w:pPr>
        <w:rPr/>
      </w:pPr>
      <w:r w:rsidDel="00000000" w:rsidR="00000000" w:rsidRPr="00000000">
        <w:rPr>
          <w:rtl w:val="0"/>
        </w:rPr>
        <w:t xml:space="preserve">Consent Manager,"A regulated, DPBI-registered intermediary that allows individuals to manage their consent across multiple fiduciaries through a single interface."</w:t>
      </w:r>
    </w:p>
    <w:p w:rsidR="00000000" w:rsidDel="00000000" w:rsidP="00000000" w:rsidRDefault="00000000" w:rsidRPr="00000000" w14:paraId="00000027">
      <w:pPr>
        <w:rPr/>
      </w:pPr>
      <w:r w:rsidDel="00000000" w:rsidR="00000000" w:rsidRPr="00000000">
        <w:rPr>
          <w:rtl w:val="0"/>
        </w:rPr>
        <w:t xml:space="preserve">Data Protection Board of India (DPBI),"The adjudicatory body established to investigate complaints, conduct inquiries, and impose financial penalties for non-compliance."</w:t>
      </w:r>
    </w:p>
    <w:p w:rsidR="00000000" w:rsidDel="00000000" w:rsidP="00000000" w:rsidRDefault="00000000" w:rsidRPr="00000000" w14:paraId="00000028">
      <w:pPr>
        <w:rPr/>
      </w:pPr>
      <w:r w:rsidDel="00000000" w:rsidR="00000000" w:rsidRPr="00000000">
        <w:rPr>
          <w:rtl w:val="0"/>
        </w:rPr>
        <w:t xml:space="preserve">Data Protection Officer (DPO),A mandatory India-based representative for SDFs who serves as the point of contact for grievance redressal and regulatory oversight.</w:t>
      </w:r>
    </w:p>
    <w:p w:rsidR="00000000" w:rsidDel="00000000" w:rsidP="00000000" w:rsidRDefault="00000000" w:rsidRPr="00000000" w14:paraId="00000029">
      <w:pPr>
        <w:rPr/>
      </w:pPr>
      <w:r w:rsidDel="00000000" w:rsidR="00000000" w:rsidRPr="00000000">
        <w:rPr>
          <w:rtl w:val="0"/>
        </w:rPr>
        <w:t xml:space="preserve">Data Minimization,"The principle of collecting and processing only the personal data that is strictly necessary for a specified, lawful purpose."</w:t>
      </w:r>
    </w:p>
    <w:p w:rsidR="00000000" w:rsidDel="00000000" w:rsidP="00000000" w:rsidRDefault="00000000" w:rsidRPr="00000000" w14:paraId="0000002A">
      <w:pPr>
        <w:rPr/>
      </w:pPr>
      <w:r w:rsidDel="00000000" w:rsidR="00000000" w:rsidRPr="00000000">
        <w:rPr>
          <w:rtl w:val="0"/>
        </w:rPr>
        <w:t xml:space="preserve">Privacy by Design,An approach to systems engineering that integrates data protection and privacy protocols into the product roadmap from the very beginning.</w:t>
      </w:r>
    </w:p>
    <w:p w:rsidR="00000000" w:rsidDel="00000000" w:rsidP="00000000" w:rsidRDefault="00000000" w:rsidRPr="00000000" w14:paraId="0000002B">
      <w:pPr>
        <w:rPr/>
      </w:pPr>
      <w:r w:rsidDel="00000000" w:rsidR="00000000" w:rsidRPr="00000000">
        <w:rPr>
          <w:rtl w:val="0"/>
        </w:rPr>
        <w:t xml:space="preserve">Personal Data Breach,"Any unauthorized processing, disclosure, alteration, or accidental loss of personal data that compromises its confidentiality or integrity."</w:t>
      </w:r>
    </w:p>
    <w:p w:rsidR="00000000" w:rsidDel="00000000" w:rsidP="00000000" w:rsidRDefault="00000000" w:rsidRPr="00000000" w14:paraId="0000002C">
      <w:pPr>
        <w:rPr/>
      </w:pPr>
      <w:r w:rsidDel="00000000" w:rsidR="00000000" w:rsidRPr="00000000">
        <w:rPr>
          <w:rtl w:val="0"/>
        </w:rPr>
        <w:t xml:space="preserve">Section 17 Exemptions,"Specific provisions of the Act that allow for data processing without full compliance in cases such as legal claims, mergers, or state security."</w:t>
      </w:r>
    </w:p>
    <w:p w:rsidR="00000000" w:rsidDel="00000000" w:rsidP="00000000" w:rsidRDefault="00000000" w:rsidRPr="00000000" w14:paraId="0000002D">
      <w:pPr>
        <w:rPr/>
      </w:pPr>
      <w:r w:rsidDel="00000000" w:rsidR="00000000" w:rsidRPr="00000000">
        <w:rPr>
          <w:rtl w:val="0"/>
        </w:rPr>
        <w:t xml:space="preserve">Section 36,A provision requiring Data Fiduciaries to furnish information to the Union government upon request.</w:t>
      </w:r>
    </w:p>
    <w:p w:rsidR="00000000" w:rsidDel="00000000" w:rsidP="00000000" w:rsidRDefault="00000000" w:rsidRPr="00000000" w14:paraId="0000002E">
      <w:pPr>
        <w:rPr/>
      </w:pPr>
      <w:r w:rsidDel="00000000" w:rsidR="00000000" w:rsidRPr="00000000">
        <w:rPr>
          <w:rtl w:val="0"/>
        </w:rPr>
        <w:t xml:space="preserve">Verifiable Parental Consent,"A requirement for processing children's data (under 18) involving identity verification of the parent/guardian, often via tools like DigiLocker."</w:t>
      </w:r>
    </w:p>
    <w:p w:rsidR="00000000" w:rsidDel="00000000" w:rsidP="00000000" w:rsidRDefault="00000000" w:rsidRPr="00000000" w14:paraId="0000002F">
      <w:pPr>
        <w:rPr/>
      </w:pPr>
      <w:r w:rsidDel="00000000" w:rsidR="00000000" w:rsidRPr="00000000">
        <w:rPr>
          <w:rtl w:val="0"/>
        </w:rPr>
        <w:t xml:space="preserve">Right to Erasure,The right of a Data Principal to request the deletion of their personal data once the specific purpose for its collection has been fulfilled.</w:t>
      </w:r>
    </w:p>
    <w:p w:rsidR="00000000" w:rsidDel="00000000" w:rsidP="00000000" w:rsidRDefault="00000000" w:rsidRPr="00000000" w14:paraId="00000030">
      <w:pPr>
        <w:rPr/>
      </w:pPr>
      <w:r w:rsidDel="00000000" w:rsidR="00000000" w:rsidRPr="00000000">
        <w:rPr>
          <w:rtl w:val="0"/>
        </w:rPr>
        <w:t xml:space="preserve">DPIA (Data Protection Impact Assessment),A formal audit conducted by SDFs to identify and mitigate risks associated with high-volume or sensitive data processing.</w:t>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