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Cambria" w:cs="Cambria" w:eastAsia="Cambria" w:hAnsi="Cambria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Cycles of Destiny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composition depicts The Yuen Yuen Institute which is a place of learning Taoism and religious retreat. But it is distinguished by an integrative, all-embracing intellectualism, with its pantheistic approach to religion, including Confucianism. Its non-exclusive stance has become an inspiring perspective for me in composing this work. I felt I was uninhibited by subject matter, style and cultural background and was free to choose whatever I wanted in the treasury of music of East and West, to remix and juxtapose them for a collage that sublimates and develops into something new.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 of the composition inspires from the middle section of the piece, three non-conducted “Circle Music” are comprised of wind instruments and are requested to provide a sense of endlessness through their progression.  As a result, when these three circles are juxtaposed with the conducted music which is formed by bowed strings, a contrasting, crashing as well as chaotic sonic effect with huge tessitura is created. The music enters into climatic section, then ends in a quiet, contemplative manner.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BiauKai" w:cs="BiauKai" w:eastAsia="BiauKai" w:hAnsi="BiauKa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153"/>
        </w:tabs>
        <w:spacing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153"/>
        </w:tabs>
        <w:spacing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Arial"/>
  <w:font w:name="BiauKa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670C3"/>
    <w:pPr>
      <w:widowControl w:val="0"/>
      <w:spacing w:after="0"/>
    </w:pPr>
    <w:rPr>
      <w:rFonts w:ascii="Times New Roman" w:cs="Times New Roman" w:hAnsi="Times New Roman"/>
      <w:kern w:val="2"/>
      <w:lang w:eastAsia="zh-TW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27E02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27E02"/>
    <w:rPr>
      <w:rFonts w:ascii="Times New Roman" w:cs="Times New Roman" w:eastAsia="PMingLiU" w:hAnsi="Times New Roman"/>
      <w:kern w:val="2"/>
      <w:lang w:eastAsia="zh-TW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227E0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+QBaMgMf3HjEH5AjoiYVIA05w==">CgMxLjAyCGguZ2pkZ3hzOAByITFYU3h3UGNTLVNMV182a211S09ONE5wclVLX3ZHUER2Zg==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2012-01-02T04:37:00Z</dcterms:created>
  <dc:creator>admin</dc:creator>
</cp:coreProperties>
</file>