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THE COORDINATION INTERNET</w:t>
      </w:r>
    </w:p>
    <w:p>
      <w:pPr>
        <w:jc w:val="center"/>
      </w:pPr>
      <w:r>
        <w:rPr>
          <w:i/>
        </w:rPr>
        <w:t>A compositional substrate for autonomous computation, proof, provenance, information, capability, and value</w:t>
        <w:br/>
        <w:br/>
        <w:t>Working Whitepaper v0.1 — 13 August 2026</w:t>
      </w:r>
    </w:p>
    <w:p>
      <w:r>
        <w:br w:type="page"/>
      </w:r>
    </w:p>
    <w:p>
      <w:pPr>
        <w:pStyle w:val="Heading1"/>
      </w:pPr>
      <w:r>
        <w:t>Abstract</w:t>
      </w:r>
    </w:p>
    <w:p>
      <w:r>
        <w:t>The Internet made remote machines reachable; the Web made documents addressable; cloud platforms made computation rentable; blockchains made a narrow class of shared state transitions independently verifiable. Frontier AI creates a different systems problem: open populations of autonomous computational actors must create, transform, verify, purchase, compose, delegate, conceal, reveal, branch, merge, and attribute digital work without assuming one machine, one database, one owner, one total order, one objective, or one trusted implementation.</w:t>
      </w:r>
    </w:p>
    <w:p>
      <w:r>
        <w:t>This paper proposes a compositional coordination fabric whose primitive object is a certified relation between typed boundaries. An interaction may consume and produce resources, information, claims, proofs, capabilities, commitments, and economic rights. Its semantics specify admissible outputs rather than prescribing how they are found. Its causal structure orders only events that actually depend on one another. Its information interfaces reveal only task-relevant distinctions. Its provenance layer preserves derivation without confusing derivation with semantic identity.</w:t>
      </w:r>
    </w:p>
    <w:p>
      <w:r>
        <w:t>The design principle is: coordinate exactly where the world is coupled. If two events commute, do not serialize them. If a downstream task needs one bit, do not replicate a gigabyte of hidden state. If correctness can be certified at a boundary, do not require trust in the solver's internals. If two artifacts are semantically equivalent, permit extensional identity while retaining distinct provenance. Global consensus becomes one possible mechanism for one class of coupling, not the ontology of distributed computation.</w:t>
      </w:r>
    </w:p>
    <w:p>
      <w:pPr>
        <w:pStyle w:val="Heading1"/>
      </w:pPr>
      <w:r>
        <w:t>1. From hosts to processes</w:t>
      </w:r>
    </w:p>
    <w:p>
      <w:r>
        <w:t>A host-centric Internet treats reachability as the universal problem. The next population arriving on the network is autonomous software that can decide, search, negotiate, generate, verify, purchase, delegate, and recursively create more software. Reachability is necessary and radically insufficient.</w:t>
      </w:r>
    </w:p>
    <w:p>
      <w:r>
        <w:t>An autonomous research agent needs to know what counts as a valid solution, what assumptions it depends on, what may be reused, what private state may be disclosed, what certificate establishes a claim, what capability authorizes a transition, which branches can proceed concurrently, whether an equivalent artifact already exists, and how value should flow if an intermediate result becomes useful.</w:t>
      </w:r>
    </w:p>
    <w:p>
      <w:r>
        <w:t>Today these semantics are scattered across Git, registries, IAM, OAuth, databases, payment rails, legal contracts, model APIs, proof assistants, blockchains, queues, workflow engines, and human institutions. The thesis is not that one protocol replaces all of them. It is that they implement projections of a smaller coordination problem whose structure can be explicit.</w:t>
      </w:r>
    </w:p>
    <w:p>
      <w:r>
        <w:t>The candidate substrate is an Internet of composable processes. A process is not a server or a program. It is an admissible transformation at a boundary. Different implementations, including implementations not yet invented, may satisfy the same contract.</w:t>
      </w:r>
    </w:p>
    <w:p>
      <w:pPr>
        <w:pStyle w:val="Heading1"/>
      </w:pPr>
      <w:r>
        <w:t>2. Relations before programs</w:t>
      </w:r>
    </w:p>
    <w:p>
      <w:r>
        <w:t>Ordinary programming begins with a function f:X→Y. A network coordinating heterogeneous solvers often cares only that y belongs to an admissible fiber R(x). The primitive should therefore be a relation R⊆X×Y. Functions embed as the single-output special case.</w:t>
      </w:r>
    </w:p>
    <w:p>
      <w:r>
        <w:t>This reverses the architecture. A human, LLM, SAT solver, theorem prover, market of subcontractors, or unknown future machine may implement the same boundary relation. A stronger specification shrinks fibers; conjunction intersects them; disjunction unions them; existential projection hides internal variables; relational composition existentially quantifies an intermediate boundary.</w:t>
      </w:r>
    </w:p>
    <w:p>
      <w:r>
        <w:t>Under polynomial-balance assumptions, efficiently verifiable relations compose, and a finite DAG of local verifiable relations can collapse to one verifiable boundary relation. Search complexity and verification complexity are distinct. A witness can be extraordinarily expensive to discover and cheap to verify. That asymmetry is the economic opening for decentralized intelligence.</w:t>
      </w:r>
    </w:p>
    <w:p>
      <w:pPr>
        <w:pStyle w:val="Heading1"/>
      </w:pPr>
      <w:r>
        <w:t>3. Proof-carrying computation</w:t>
      </w:r>
    </w:p>
    <w:p>
      <w:r>
        <w:t>An untrusted solver can emit an output and witness checked by a verifier. Soundness localizes correctness to the verifier and specification. Solver internals may be opaque, stochastic, adversarial, self-modifying, or simply too complex to inspect. If externally relevant requirements are represented in the relation, accepted validity does not require behavioral trust in the solver.</w:t>
      </w:r>
    </w:p>
    <w:p>
      <w:r>
        <w:t>This does not solve specification: omitted requirements remain omitted. It converts one diffuse trust problem into two sharper obligations, specification adequacy and verifier soundness.</w:t>
      </w:r>
    </w:p>
    <w:p>
      <w:r>
        <w:t>A proof-carrying artifact can contain payload, dependency identities, and certificate. Its content address commits to all three. Later agents may add stronger verification artifacts or corrections without mutating the original. Epistemic revision becomes append-only.</w:t>
      </w:r>
    </w:p>
    <w:p>
      <w:pPr>
        <w:pStyle w:val="Heading1"/>
      </w:pPr>
      <w:r>
        <w:t>4. Causality without fictitious time</w:t>
      </w:r>
    </w:p>
    <w:p>
      <w:r>
        <w:t>Most ledgers impose total order because a shared mutable state needs conflicting updates resolved. Total order is not the natural semantics of general distributed computation. If two transformations commute and neither depends on the other, their relative order is arbitrary.</w:t>
      </w:r>
    </w:p>
    <w:p>
      <w:r>
        <w:t>Trace semantics quotients event sequences by swaps of independent commuting events. The resulting object is a partial order: dependent events retain precedence; independent events remain incomparable. Any extra total-order constraint between incomparable events is semantically redundant.</w:t>
      </w:r>
    </w:p>
    <w:p>
      <w:r>
        <w:t>An antichain of n independent events has n! valid linearizations. Choosing one total order encodes roughly n log n arbitrary interleaving bits. A Merkle DAG can commit to the causal partial order without selecting a total order. Consensus should be a local mechanism for genuine coupling, not the metaphysics of distributed computation.</w:t>
      </w:r>
    </w:p>
    <w:p>
      <w:pPr>
        <w:pStyle w:val="Heading1"/>
      </w:pPr>
      <w:r>
        <w:t>5. Coordinate exactly where coupled</w:t>
      </w:r>
    </w:p>
    <w:p>
      <w:r>
        <w:t>Causality removes unnecessary ordering. Information theory removes unnecessary disclosure and replication. Optimization theory removes unnecessary global control variables. Together they suggest that coordination dimension should track actual coupling dimension.</w:t>
      </w:r>
    </w:p>
    <w:p>
      <w:r>
        <w:t>If side B must recover target C and all influence from A crosses transcript M, exact recovery forces M to carry at least the residual target entropy given B's side information. The lower bound concerns the target, not A's full hidden state. Replicated-state execution can therefore communicate arbitrarily more than semantic verification.</w:t>
      </w:r>
    </w:p>
    <w:p>
      <w:r>
        <w:t>In separable optimization with m independent global coupling constraints, the dual interface is m-dimensional even if there are n agents. Population size is not coordination dimension. Commuting events need no shared order; task-irrelevant hidden distinctions need no disclosure; separable decisions need no global controller.</w:t>
      </w:r>
    </w:p>
    <w:p>
      <w:pPr>
        <w:pStyle w:val="Heading1"/>
      </w:pPr>
      <w:r>
        <w:t>6. The coordination graph</w:t>
      </w:r>
    </w:p>
    <w:p>
      <w:r>
        <w:t>A first approximation combines a noncommutation graph, an information-dependence graph, capability constraints, conservation laws, proof obligations, provenance, and economic dependence. These axes are distinct: agents can be causally independent yet informationally coupled; informed yet unauthorized; authorized yet resource-conflicted; correct yet economically unmotivated.</w:t>
      </w:r>
    </w:p>
    <w:p>
      <w:r>
        <w:t>The mathematical target is not merely a category of computations but a compositional object carrying admissible transformations, causal conflict and commutation, observable information channels, certificates, capabilities, utility transformations, and equilibrium semantics.</w:t>
      </w:r>
    </w:p>
    <w:p>
      <w:r>
        <w:t>A correct theory should say when global behavior reconstructs from local interfaces, when an obstruction remains, what minimal extra structure removes it, and how those answers behave under composition and coarse-graining.</w:t>
      </w:r>
    </w:p>
    <w:p>
      <w:pPr>
        <w:pStyle w:val="Heading1"/>
      </w:pPr>
      <w:r>
        <w:t>7. Interfaces as quotients</w:t>
      </w:r>
    </w:p>
    <w:p>
      <w:r>
        <w:t>For a family of tasks on hidden state X, identify two states when every task gives the same answer on them. The quotient is the coarsest exact interface supporting that task family. Any other deterministic exact interface must refine it. This is a canonical answer to what a subsystem should expose.</w:t>
      </w:r>
    </w:p>
    <w:p>
      <w:r>
        <w:t>An interface should expose distinctions because downstream tasks require them, not because the producer happens to store them. This is API design by observational equivalence rather than object serialization.</w:t>
      </w:r>
    </w:p>
    <w:p>
      <w:r>
        <w:t>The same reconstruction question appears in the Prime-Pair program: what information is lost by a quotient, what ambiguity fiber remains, what extra observation restores injectivity, and whether the missing datum is a charge or obstruction. In network architecture the question becomes operational.</w:t>
      </w:r>
    </w:p>
    <w:p>
      <w:pPr>
        <w:pStyle w:val="Heading1"/>
      </w:pPr>
      <w:r>
        <w:t>8. Zero knowledge as interface engineering</w:t>
      </w:r>
    </w:p>
    <w:p>
      <w:r>
        <w:t>Cryptography does not repeal information lower bounds; it changes the form of disclosure. Ideal zero knowledge can reveal the decision-relevant predicate while suppressing information about the witness beyond what the predicate entails. MPC similarly makes global functions available without globally reconstructing private local states.</w:t>
      </w:r>
    </w:p>
    <w:p>
      <w:r>
        <w:t>Privacy is therefore not an add-on. It is part of exposing the correct quotient across a boundary: reveal the necessary semantic distinction while minimizing orthogonal leakage.</w:t>
      </w:r>
    </w:p>
    <w:p>
      <w:pPr>
        <w:pStyle w:val="Heading1"/>
      </w:pPr>
      <w:r>
        <w:t>9. Semantic identity and provenance identity</w:t>
      </w:r>
    </w:p>
    <w:p>
      <w:r>
        <w:t>Content addressing makes identity independent of storage location, and Merkle DAGs commit transitively to dependencies. But raw hashes confuse representation identity with semantic identity. Two implementations may be equivalent while having different encodings.</w:t>
      </w:r>
    </w:p>
    <w:p>
      <w:r>
        <w:t>The architecture needs at least two notions: provenance identity, committing to payload, dependencies and derivation; and semantic identity, committing to a canonical semantic representative. Two artifacts may share semantic identity while retaining different provenance.</w:t>
      </w:r>
    </w:p>
    <w:p>
      <w:r>
        <w:t>Semantic deduplication, caching and substitution want semantic identity. Attribution, audit, independent discovery and historical credit often want provenance identity. A single identifier cannot in general serve both.</w:t>
      </w:r>
    </w:p>
    <w:p>
      <w:pPr>
        <w:pStyle w:val="Heading1"/>
      </w:pPr>
      <w:r>
        <w:t>10. Durable world memory</w:t>
      </w:r>
    </w:p>
    <w:p>
      <w:r>
        <w:t>Immutable content addressing turns references into commitments. An append-only derivation DAG preserves historical referential integrity. Independent agents can branch from a common root without agreeing on order; a later merge records only actual dependency.</w:t>
      </w:r>
    </w:p>
    <w:p>
      <w:r>
        <w:t>This is a natural memory model for an autonomous research civilization. Claims, datasets, programs, proof terms, critiques, failed attempts, model states, contracts, and payments become artifacts with typed dependencies. Reachability is provenance; the partial order is causal history; certificates are local evidence.</w:t>
      </w:r>
    </w:p>
    <w:p>
      <w:r>
        <w:t>The graph is not merely a database. Its edges are semantic commitments, and its quotient structure permits equivalent realizations to be recognized without erasing history.</w:t>
      </w:r>
    </w:p>
    <w:p>
      <w:pPr>
        <w:pStyle w:val="Heading1"/>
      </w:pPr>
      <w:r>
        <w:t>11. Resources, conservation, and capabilities</w:t>
      </w:r>
    </w:p>
    <w:p>
      <w:r>
        <w:t>Not every interaction is informational. Agents consume scarce compute, money, bandwidth, attention, energy, data rights, API quotas, and hardware. A general process object must carry resources as first-class boundary values. Additive conserved quantities compose cleanly through trace quotients: local transfers can be hidden while boundary conservation remains verifiable.</w:t>
      </w:r>
    </w:p>
    <w:p>
      <w:r>
        <w:t>Capabilities should be treated separately from identity. Correctness of a bearer-style claim may depend on possession of an unspent capability and a valid witness rather than persistent civil identity. Identity can still be required by legal or sybil-sensitive applications, but it need not be universal.</w:t>
      </w:r>
    </w:p>
    <w:p>
      <w:r>
        <w:t>Hard feasibility, information, and incentives are independent control axes. A transition can be known but forbidden, feasible but unknown, or feasible and known but economically unattractive. Keeping these axes separate is necessary for compositional reasoning.</w:t>
      </w:r>
    </w:p>
    <w:p>
      <w:pPr>
        <w:pStyle w:val="Heading1"/>
      </w:pPr>
      <w:r>
        <w:t>12. Economics: from terminal prizes to causal value graphs</w:t>
      </w:r>
    </w:p>
    <w:p>
      <w:r>
        <w:t>A fixed bounty induces entry when expected private benefit exceeds expected private cost. Heterogeneous solvers can self-select without a central planner knowing their search technology. Multiple independent approaches increase discovery probability; diversity can dominate duplicated search when failure modes are correlated.</w:t>
      </w:r>
    </w:p>
    <w:p>
      <w:r>
        <w:t>Terminal winner-take-all bounties erase intermediate contribution. If a terminal result depends causally on an artifact created by another agent, terminal-winner identity alone cannot implement provenance-sensitive payment. Recursive task decomposition can conserve a root budget, but accounting correctness does not imply intelligent decomposition.</w:t>
      </w:r>
    </w:p>
    <w:p>
      <w:r>
        <w:t>The natural economic object may therefore be the same provenance DAG used for computation. Tasks become composable relations. Agents create subtasks, attach bounties, purchase capabilities, and produce reusable intermediate artifacts. Downstream value can induce backward attribution under a declared mechanism.</w:t>
      </w:r>
    </w:p>
    <w:p>
      <w:r>
        <w:t>The hard problem is not putting a token on every edge. It is defining contribution, counterfactual value, semantic novelty, independent discovery, risk, public-good spillovers, and sybil resistance in a way that remains compositional.</w:t>
      </w:r>
    </w:p>
    <w:p>
      <w:pPr>
        <w:pStyle w:val="Heading1"/>
      </w:pPr>
      <w:r>
        <w:t>13. Crowdsurf as a small laboratory of causal culture</w:t>
      </w:r>
    </w:p>
    <w:p>
      <w:r>
        <w:t>Crowdsurf began from a product-level claim: music should move through real people, and listeners should become active participants in culture rather than passive recipients of algorithmic feeds. The Waves structure makes propagation explicit as a graph. A recommendation is not merely an item in a feed; it has a path through people.</w:t>
      </w:r>
    </w:p>
    <w:p>
      <w:r>
        <w:t>This matters here because the same structural question appears in a radically different domain: if an outcome propagates through a graph, what should remain attached to it? Origin, path, influence, branch structure, downstream adoption, and credit are not metadata after the fact; they are part of the phenomenon the product is trying to represent.</w:t>
      </w:r>
    </w:p>
    <w:p>
      <w:r>
        <w:t>The generalization should not be forced. Musical influence is not theorem provenance, and a social graph is not a proof DAG. But both reject the lossy move in which a centralized output erases the process that generated it. Both ask whether local acts can compose into a global object while retaining enough causal structure for attribution.</w:t>
      </w:r>
    </w:p>
    <w:p>
      <w:pPr>
        <w:pStyle w:val="Heading1"/>
      </w:pPr>
      <w:r>
        <w:t>14. The agent society as forcing function</w:t>
      </w:r>
    </w:p>
    <w:p>
      <w:r>
        <w:t>The autonomous research machine makes the substrate problem concrete. Imagine thousands or millions of heterogeneous agents continuously creating conjectures, proofs, code, experiments, counterexamples, literature maps, datasets, critiques, and new agents. Central orchestration becomes both a bottleneck and an epistemic liability.</w:t>
      </w:r>
    </w:p>
    <w:p>
      <w:r>
        <w:t>Each agent should be able to discover tasks by relation, inspect required interfaces, fetch dependencies by content identity, fork work without permission, publish artifacts with provenance, attach machine-checkable certificates, reveal only necessary private information, delegate capabilities, post subtasks and bounties, and merge useful branches.</w:t>
      </w:r>
    </w:p>
    <w:p>
      <w:r>
        <w:t>Most importantly, the system should not require the orchestrator to understand how every result was found. Verification and provenance should allow intelligence to be open-ended. The architecture is therefore less like a workflow engine and more like a computational ecology whose stable laws live at boundaries.</w:t>
      </w:r>
    </w:p>
    <w:p>
      <w:r>
        <w:t>This is the point where the new-Internet thesis becomes operational rather than metaphorical. Autonomous processes need a substrate for interaction that current host, document, account, and ledger primitives only approximate.</w:t>
      </w:r>
    </w:p>
    <w:p>
      <w:pPr>
        <w:pStyle w:val="Heading1"/>
      </w:pPr>
      <w:r>
        <w:t>15. Executable mathematics as the first demanding application</w:t>
      </w:r>
    </w:p>
    <w:p>
      <w:r>
        <w:t>Mathematics is unusually suitable as a proving ground because many outputs admit exact verification, dependency is meaningful, semantic equivalence matters, provenance matters, and search can be vastly harder than checking. A theorem is naturally a relation between assumptions and conclusions with a proof witness. A formal library is naturally a content-addressed dependency graph. Proof kernels offer unusually sharp trust boundaries.</w:t>
      </w:r>
    </w:p>
    <w:p>
      <w:r>
        <w:t>The Prime-Pair program adds another layer: the research object itself is organized around reconstruction, quotienting, hidden charge, local-to-global obstruction, causal branching, and executable certification. The research machine and the mathematics it studies therefore share structural questions without being the same object.</w:t>
      </w:r>
    </w:p>
    <w:p>
      <w:r>
        <w:t>A mature system could allow a conjecture to spawn independent branches; agents to publish lemmas with proof objects; semantic deduplication to discover equivalent lemmas; provenance to preserve independent derivations; bounties to attach to unresolved relations; and downstream proofs to propagate value toward indispensable intermediate artifacts.</w:t>
      </w:r>
    </w:p>
    <w:p>
      <w:pPr>
        <w:pStyle w:val="Heading1"/>
      </w:pPr>
      <w:r>
        <w:t>16. A candidate process object</w:t>
      </w:r>
    </w:p>
    <w:p>
      <w:r>
        <w:t>A minimal process object should have typed input and output boundaries; an admissibility relation; optional witness/certificate relation; declared dependency references; a causal footprint or commutation interface; resource deltas; information/disclosure policy; capability requirements; provenance policy; and economic terms.</w:t>
      </w:r>
    </w:p>
    <w:p>
      <w:r>
        <w:t>These fields should not become one monolithic universal schema. The mathematical challenge is to define them as composable structures so that an application can project to only the dimensions it needs. A pure theorem may have no monetary field. A payment transfer may have trivial semantic search. A private inference may have a rich leakage contract. A social recommendation may have weak formal verification but strong provenance semantics.</w:t>
      </w:r>
    </w:p>
    <w:p>
      <w:r>
        <w:t>Composition should compute boundary contracts rather than replay internals. Parallel composition should preserve independence. Sequential composition should existentially hide intermediate values where allowed. Tensor-like composition should combine independent resources. Quotients should erase irrelevant internal distinctions. Refinements should strengthen specifications. Certificates should compose where the proof system permits.</w:t>
      </w:r>
    </w:p>
    <w:p>
      <w:pPr>
        <w:pStyle w:val="Heading1"/>
      </w:pPr>
      <w:r>
        <w:t>17. Local consensus, not global consensus</w:t>
      </w:r>
    </w:p>
    <w:p>
      <w:r>
        <w:t>A global ledger is appropriate when a global mutable resource truly requires a globally agreed order. The Coordination Internet should instead make consensus a scoped service attached to a conflict domain. Two processes that do not share a noncommuting resource should not be dragged through the same serialization machinery.</w:t>
      </w:r>
    </w:p>
    <w:p>
      <w:r>
        <w:t>This suggests sharded or object-local state almost as a theorem rather than a performance trick: the conflict graph determines the minimum synchronization topology. If two regions later interact, a merge process introduces the required coupling at that boundary.</w:t>
      </w:r>
    </w:p>
    <w:p>
      <w:r>
        <w:t>The design target is not maximum asynchrony. It is semantically exact asynchrony: every removed ordering constraint must be justified by commutation, independence, or a stronger invariant that makes the order observationally irrelevant.</w:t>
      </w:r>
    </w:p>
    <w:p>
      <w:pPr>
        <w:pStyle w:val="Heading1"/>
      </w:pPr>
      <w:r>
        <w:t>18. Semantic routing</w:t>
      </w:r>
    </w:p>
    <w:p>
      <w:r>
        <w:t>Today's routing answers where bytes should go. An agent-native network also needs to answer where a relation might be satisfied. A task can be routed by semantic type, proof obligation, required capability, data locality, price, latency, trust domain, privacy constraint, or historical solver performance.</w:t>
      </w:r>
    </w:p>
    <w:p>
      <w:r>
        <w:t>This creates a new notion of address. A request need not name a machine. It can name an object, a relation, or a capability. Content addressing already replaces location with identity for immutable data. Relation addressing extends the idea from nouns to verbs: find any process that can realize this admissible transformation.</w:t>
      </w:r>
    </w:p>
    <w:p>
      <w:r>
        <w:t>Markets and schedulers can then compete as routing mechanisms. Some relations may be solved locally, some by known providers, some by open bounty search, some by recursive decomposition, and some by specialized proof or cryptographic networks.</w:t>
      </w:r>
    </w:p>
    <w:p>
      <w:pPr>
        <w:pStyle w:val="Heading1"/>
      </w:pPr>
      <w:r>
        <w:t>19. The knowledge process and reflexive infrastructure</w:t>
      </w:r>
    </w:p>
    <w:p>
      <w:r>
        <w:t>The broader Knowledge Process inquiry treats life, cognition, civilization, scientific knowledge, and AI as physically continuous processes that increasingly create durable structures capable of modeling and transforming their own conditions of future evolution. The research machine is itself one such structure: it externalizes memory, spawns agents, tests proofs, and changes the future path of knowledge production.</w:t>
      </w:r>
    </w:p>
    <w:p>
      <w:r>
        <w:t>The Coordination Internet is a possible engineering surface of that reflexivity. It would let knowledge-producing processes become first-class network participants whose outputs retain causal and semantic structure. The point is not to claim that a protocol is fundamental physics. It is to notice that the architecture is being forced by the same recurring questions: what persists through transformation, what information must cross a boundary, what can be quotiented away, what structure obstructs reconstruction, and what local rules compose into stable global organization.</w:t>
      </w:r>
    </w:p>
    <w:p>
      <w:r>
        <w:t>If this lens is fruitful, the network is not merely a transport layer for intelligence. It is part of the machinery by which distributed intelligence becomes durable, compositional, and recursively improvable.</w:t>
      </w:r>
    </w:p>
    <w:p>
      <w:pPr>
        <w:pStyle w:val="Heading1"/>
      </w:pPr>
      <w:r>
        <w:t>20. Why this is not 'blockchain plus AI'</w:t>
      </w:r>
    </w:p>
    <w:p>
      <w:r>
        <w:t>The proposal does not begin from replicated consensus, token economics, or smart contracts. It begins from relations, partial orders, information cuts, proof, provenance, capabilities, and resource coupling. A blockchain may implement a subset: scarce globally contested assets, public commitments, settlement, or adjudication.</w:t>
      </w:r>
    </w:p>
    <w:p>
      <w:r>
        <w:t>For large regions of the system, total replication is actively the wrong abstraction. Private state should remain private; independent computation should remain unordered; large hidden states should not be copied merely to verify tiny predicates; semantically equivalent artifacts should be deduplicated without erasing distinct derivations.</w:t>
      </w:r>
    </w:p>
    <w:p>
      <w:r>
        <w:t>Crypto becomes one family of mechanisms inside a larger algebra of coordination. Its role is strongest exactly where independent verification, commitment, selective disclosure, or scarce shared resources are required.</w:t>
      </w:r>
    </w:p>
    <w:p>
      <w:pPr>
        <w:pStyle w:val="Heading1"/>
      </w:pPr>
      <w:r>
        <w:t>21. Why this is not merely a multi-agent framework</w:t>
      </w:r>
    </w:p>
    <w:p>
      <w:r>
        <w:t>A multi-agent framework usually assumes one administrative domain, one runtime, one orchestrator, one model provider, or one application. The Coordination Internet asks what survives when those assumptions disappear.</w:t>
      </w:r>
    </w:p>
    <w:p>
      <w:r>
        <w:t>Agents may be mutually distrustful, privately informed, strategically motivated, implemented by different technologies, created by other agents, offline for long periods, or unknown when a task is published. The invariant must therefore live in portable objects and boundary semantics rather than framework-local memory.</w:t>
      </w:r>
    </w:p>
    <w:p>
      <w:r>
        <w:t>The substrate should make an artifact produced today by an unknown agent usable years later by another implementation because its identity, dependencies, semantics, and evidence are self-describing enough to compose.</w:t>
      </w:r>
    </w:p>
    <w:p>
      <w:pPr>
        <w:pStyle w:val="Heading1"/>
      </w:pPr>
      <w:r>
        <w:t>22. Minimal kernel hypothesis</w:t>
      </w:r>
    </w:p>
    <w:p>
      <w:r>
        <w:t>The strongest conjecture in this paper is that a surprisingly small kernel may generate much of the desired system. Candidate ingredients are typed relations, composition and tensor product; event partial orders with an independence relation; content-addressed immutable artifacts; local certificates; capabilities; conserved resource annotations; and explicit information interfaces.</w:t>
      </w:r>
    </w:p>
    <w:p>
      <w:r>
        <w:t>Identity, privacy, economics, reputation, and governance may then appear as structured enrichments rather than unrelated subsystems. The correct mathematics might be categorical, operadic, game-semantic, sheaf-theoretic, event-structural, or some hybrid. Naming the formalism before earning it would be premature.</w:t>
      </w:r>
    </w:p>
    <w:p>
      <w:r>
        <w:t>The test is constructive: can a small kernel express ordinary programs, theorem proving, private computation, markets, resource transfer, concurrent workflows, social propagation, and autonomous research while proving useful local-to-global theorems and avoiding unnecessary global coordination?</w:t>
      </w:r>
    </w:p>
    <w:p>
      <w:pPr>
        <w:pStyle w:val="Heading1"/>
      </w:pPr>
      <w:r>
        <w:t>23. Research program</w:t>
      </w:r>
    </w:p>
    <w:p>
      <w:r>
        <w:t>The immediate mathematical program is to formalize a category or related compositional structure of strategic cryptographically certified processes. Objects are typed boundaries; morphism-like entities are admissible transformations or relations; parallel composition represents independent subsystems; sequential composition hides intermediates; an independence structure records commuting events; information structures record observable sigma-algebras or task quotients; proof structures certify local relations; resource structures carry conserved quantities; game structures carry utility and strategy.</w:t>
      </w:r>
    </w:p>
    <w:p>
      <w:r>
        <w:t>The first theorem family should characterize coordination cuts: lower bounds on information, ordering, or shared-state interaction required across a cut to realize a global predicate. The second should characterize achievability: when cryptographic or compositional protocols attain those bounds with minimal leakage and minimal synchronization. The third should study renormalization: how coordination graphs change under coarse-graining and repeated composition.</w:t>
      </w:r>
    </w:p>
    <w:p>
      <w:r>
        <w:t>A fourth family should study endogenous problem markets. Tasks are relations that can themselves be decomposed. Agents strategically create subtasks and reusable artifacts. Local certificates compose to global certificates. Rewards propagate through provenance under mechanisms whose equilibrium properties can be analyzed.</w:t>
      </w:r>
    </w:p>
    <w:p>
      <w:r>
        <w:t>A fifth family should connect semantic quotient and provenance lift. Which additive charges survive extensional quotienting? When does a kernel loop obstruct descent? What is the universal refinement retaining both semantics and charge? These questions already have elementary exact forms in the current theorem corpus and may become foundational for attribution.</w:t>
      </w:r>
    </w:p>
    <w:p>
      <w:pPr>
        <w:pStyle w:val="Heading1"/>
      </w:pPr>
      <w:r>
        <w:t>24. Protocol sketch</w:t>
      </w:r>
    </w:p>
    <w:p>
      <w:r>
        <w:t>A task publication contains a relation identifier or executable verifier, typed boundary schema, dependency roots, acceptable certificate systems, capability requirements, disclosure policy, resource budget, and optional bounty. It is itself content-addressed.</w:t>
      </w:r>
    </w:p>
    <w:p>
      <w:r>
        <w:t>A solver fetches only necessary dependencies, chooses any internal method, and may recursively publish subtasks. Intermediate artifacts are content-addressed and can be reused by unrelated solvers. Independent branches remain unordered. If a branch needs a scarce shared resource, it invokes the relevant local coordination mechanism.</w:t>
      </w:r>
    </w:p>
    <w:p>
      <w:r>
        <w:t>A result publication contains output, semantic identity when canonicalization is available, provenance identity, dependency references, certificate, resource accounting, and optional claims for payment or reputation. Verifiers need not replay the search history. They check the boundary relation and certificate.</w:t>
      </w:r>
    </w:p>
    <w:p>
      <w:r>
        <w:t>A merge process consumes multiple branch artifacts and produces a new artifact whose dependencies explicitly record the join. Corrections and stronger verifications are new artifacts, not mutations. Economic settlement can reference the same graph.</w:t>
      </w:r>
    </w:p>
    <w:p>
      <w:pPr>
        <w:pStyle w:val="Heading1"/>
      </w:pPr>
      <w:r>
        <w:t>25. Failure modes</w:t>
      </w:r>
    </w:p>
    <w:p>
      <w:r>
        <w:t>Semantic canonicalization may be undecidable, expensive, politically contested, or domain-specific. The system must permit partial semantic identities rather than pretending universal equivalence is easy.</w:t>
      </w:r>
    </w:p>
    <w:p>
      <w:r>
        <w:t>Specifications can be incomplete. Proof-carrying computation does not protect against a bad relation. Some properties are not cheaply verifiable. Some processes require trust, probabilistic evidence, or social adjudication.</w:t>
      </w:r>
    </w:p>
    <w:p>
      <w:r>
        <w:t>Provenance can become enormous, privacy-sensitive, or strategically manipulated. Attribution mechanisms can reward spam, redundant derivations, or sybil identities. Content addressing does not solve semantic spam.</w:t>
      </w:r>
    </w:p>
    <w:p>
      <w:r>
        <w:t>Local consensus can still compose into global deadlock or emergent instability. Pairwise commutation is not automatically sufficient for every higher-order concurrency property. Economic incentives can reshape behavior without changing physical feasibility, producing equilibria that are technically valid and socially bad.</w:t>
      </w:r>
    </w:p>
    <w:p>
      <w:r>
        <w:t>Most importantly, elegance can seduce. The architecture must earn every abstraction through executable systems and theorems. A universal-looking diagram is not a universal protocol.</w:t>
      </w:r>
    </w:p>
    <w:p>
      <w:pPr>
        <w:pStyle w:val="Heading1"/>
      </w:pPr>
      <w:r>
        <w:t>26. The Silicon Valley inversion</w:t>
      </w:r>
    </w:p>
    <w:p>
      <w:r>
        <w:t>The fictional Pied Piper arc is funny because an application repeatedly dissolves into a substrate. The serious version of that pattern is not that every startup is secretly building a new Internet. It is that some application problems expose missing primitives beneath the application.</w:t>
      </w:r>
    </w:p>
    <w:p>
      <w:r>
        <w:t>Here the convergence came from multiple directions: a music product made propagation and attribution explicit; old interest in mathematically compositional decentralized systems made causal DAGs salient; content-addressed computation suggested location-independent identity; formal mathematics made proof and semantic equivalence unavoidable; autonomous agent societies made open delegation and verification urgent; and the coordination theorem program began deriving exact limits on ordering, disclosure, and coupling.</w:t>
      </w:r>
    </w:p>
    <w:p>
      <w:r>
        <w:t>The new-Internet hypothesis is credible only to the extent that these directions continue to converge under implementation. If they do, the historical joke will be that the first visible application was music while the underlying object was a general fabric for compositional agency.</w:t>
      </w:r>
    </w:p>
    <w:p>
      <w:pPr>
        <w:pStyle w:val="Heading1"/>
      </w:pPr>
      <w:r>
        <w:t>27. Conclusion</w:t>
      </w:r>
    </w:p>
    <w:p>
      <w:r>
        <w:t>The Internet's deepest abstraction was not a website, company, or business model. It was a small agreement that let heterogeneous machines participate in a larger network without understanding one another's applications. The next abstraction may need to do something analogous for heterogeneous autonomous processes.</w:t>
      </w:r>
    </w:p>
    <w:p>
      <w:r>
        <w:t>Such a substrate should let participants agree on what crosses a boundary while disagreeing or remaining ignorant about what happens inside. It should preserve causality without inventing global time, expose task-relevant information without replicating private state, certify correctness without trusting implementation, preserve provenance without confusing it with meaning, and coordinate scarce resources without forcing unrelated activity through one consensus domain.</w:t>
      </w:r>
    </w:p>
    <w:p>
      <w:r>
        <w:t>The emerging object can be summarized in one sentence: a network in which computation is addressed by semantics, history is represented by causal provenance, trust is concentrated into verifiable boundaries, privacy is expressed as controlled quotienting, and coordination occurs only at genuine couplings.</w:t>
      </w:r>
    </w:p>
    <w:p>
      <w:r>
        <w:t>If that kernel exists and composes, it is not another service on the Internet. It is a candidate for what the Internet becomes when the primary network participants are processes capable of creating processes.</w:t>
      </w:r>
    </w:p>
    <w:p>
      <w:pPr>
        <w:pStyle w:val="Heading1"/>
      </w:pPr>
      <w:r>
        <w:t>Appendix A. Formal anchors from the current theorem corpus</w:t>
      </w:r>
    </w:p>
    <w:p>
      <w:pPr>
        <w:pStyle w:val="ListBullet"/>
      </w:pPr>
      <w:r>
        <w:t>Verifiable relations: functions embed as single-output relations; bounded relational composition and finite DAG composition preserve efficient verifiability under polynomial-balance assumptions.</w:t>
      </w:r>
    </w:p>
    <w:p>
      <w:pPr>
        <w:pStyle w:val="ListBullet"/>
      </w:pPr>
      <w:r>
        <w:t>Proof-carrying computation: sound verification makes accepted relation validity independent of solver internals, subject to specification completeness.</w:t>
      </w:r>
    </w:p>
    <w:p>
      <w:pPr>
        <w:pStyle w:val="ListBullet"/>
      </w:pPr>
      <w:r>
        <w:t>Trace semantics: commuting independent events can be quotiented by adjacent swaps; the resulting partial order captures required causality; total ordering of incomparable events is redundant.</w:t>
      </w:r>
    </w:p>
    <w:p>
      <w:pPr>
        <w:pStyle w:val="ListBullet"/>
      </w:pPr>
      <w:r>
        <w:t>Information cuts: exact recovery across a cut requires communication at least the residual entropy of the target given receiver side information.</w:t>
      </w:r>
    </w:p>
    <w:p>
      <w:pPr>
        <w:pStyle w:val="ListBullet"/>
      </w:pPr>
      <w:r>
        <w:t>Canonical task quotient: observational equivalence across a task family defines the coarsest exact deterministic interface supporting that family.</w:t>
      </w:r>
    </w:p>
    <w:p>
      <w:pPr>
        <w:pStyle w:val="ListBullet"/>
      </w:pPr>
      <w:r>
        <w:t>Perfect zero knowledge: in the ideal model, a simulatable transcript can attain information disclosure equal to the target predicate and no more.</w:t>
      </w:r>
    </w:p>
    <w:p>
      <w:pPr>
        <w:pStyle w:val="ListBullet"/>
      </w:pPr>
      <w:r>
        <w:t>Content addressing: Merkle DAGs commit to reachable provenance; immutable append-only graphs preserve historical referential integrity without global serialization.</w:t>
      </w:r>
    </w:p>
    <w:p>
      <w:pPr>
        <w:pStyle w:val="ListBullet"/>
      </w:pPr>
      <w:r>
        <w:t>Dual identity: semantic identity can quotient equivalent outputs while provenance identity retains distinct derivations.</w:t>
      </w:r>
    </w:p>
    <w:p>
      <w:pPr>
        <w:pStyle w:val="ListBullet"/>
      </w:pPr>
      <w:r>
        <w:t>Economics: terminal-winner identity cannot implement provenance-sensitive rewards when derivations differ; fixed bounties decentralize entry decisions but do not ensure efficient decomposition.</w:t>
      </w:r>
    </w:p>
    <w:p>
      <w:pPr>
        <w:pStyle w:val="Heading1"/>
      </w:pPr>
      <w:r>
        <w:t>Appendix B. Internal research sources</w:t>
      </w:r>
    </w:p>
    <w:p>
      <w:r>
        <w:t>COORDINATION_GRAPH_DELTA_2026-08-12.md</w:t>
      </w:r>
    </w:p>
    <w:p>
      <w:r>
        <w:t>COORDINATION_THEOREMS_II_2026-08-12.md</w:t>
      </w:r>
    </w:p>
    <w:p>
      <w:r>
        <w:t>COORDINATION_THEOREMS_III–XII_2026-08-13.md</w:t>
      </w:r>
    </w:p>
    <w:p>
      <w:r>
        <w:t>knowledge_process_handoff.md / knowledge_process_handoff.docx</w:t>
      </w:r>
    </w:p>
    <w:p>
      <w:r>
        <w:t>PRIME_PAIR_FIELD_AGENT_HANDOFF_2026-08-11.md</w:t>
      </w:r>
    </w:p>
    <w:p>
      <w:r>
        <w:t>Crowdsurf brand/product working material in Pasted markdown.md</w:t>
      </w:r>
    </w:p>
    <w:p>
      <w:r>
        <w:t>Related library explorations on quotient structure, HoTT/univalence, information preservation, and the physical knowledge process.</w:t>
      </w:r>
    </w:p>
    <w:p>
      <w:pPr>
        <w:pStyle w:val="Heading1"/>
      </w:pPr>
      <w:r>
        <w:t>Appendix C. Epistemic note</w:t>
      </w:r>
    </w:p>
    <w:p>
      <w:r>
        <w:t>The exact theorem files repeatedly state that their elementary or standard lemmas carry no novelty claims. This whitepaper treats them as a rigorously checked local vocabulary from which a broader synthesis is being constructed. The architectural synthesis, proposed kernel, and cross-domain unification remain research hypotheses until matched by prior-art analysis, formal development, implementation, adversarial testing, and independent review.</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