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IN THE COURT OF METROPOLITAN MAGISTRATE                               </w:t>
      </w:r>
    </w:p>
    <w:p>
      <w:r>
        <w:t xml:space="preserve">                                         SAIDAPET, CHENNAI                                          </w:t>
      </w:r>
    </w:p>
    <w:p>
      <w:r>
        <w:t xml:space="preserve">                                       M.P. No. </w:t>
        <w:tab/>
        <w:t xml:space="preserve">125 of </w:t>
        <w:tab/>
        <w:t xml:space="preserve">2024                                       </w:t>
      </w:r>
    </w:p>
    <w:p>
      <w:r>
        <w:t xml:space="preserve">                                                 In                                                 </w:t>
      </w:r>
    </w:p>
    <w:p>
      <w:r>
        <w:t xml:space="preserve">                                       C.C. No. </w:t>
        <w:tab/>
        <w:t xml:space="preserve">400 of 2024                                        </w:t>
      </w:r>
    </w:p>
    <w:p>
      <w:r>
        <w:t xml:space="preserve"> </w:t>
      </w:r>
    </w:p>
    <w:p>
      <w:r>
        <w:tab/>
        <w:t>A. Kumar … PETITIONERS/ACCUSED.</w:t>
      </w:r>
    </w:p>
    <w:p>
      <w:r>
        <w:t>VS</w:t>
      </w:r>
    </w:p>
    <w:p>
      <w:r>
        <w:t>The State .. RESPONDENT/COMPLAINANT.</w:t>
      </w:r>
    </w:p>
    <w:p>
      <w:r>
        <w:t xml:space="preserve"> </w:t>
      </w:r>
    </w:p>
    <w:p>
      <w:pPr>
        <w:pStyle w:val="Heading1"/>
      </w:pPr>
      <w:r>
        <w:t>PETITION FILED UNDER SEC. 311 Cr.P.C.</w:t>
      </w:r>
    </w:p>
    <w:p>
      <w:r>
        <w:t>The petitioner above named states as follows:</w:t>
        <w:br/>
      </w:r>
    </w:p>
    <w:p>
      <w:r>
        <w:t>1. The petitioner states that his counsel on record was unable to appear before this Hon’ble Court on ...</w:t>
      </w:r>
    </w:p>
    <w:p>
      <w:r>
        <w:t>2. The petitioner states that it is neither wilful nor wanton but due to the reason stated above.</w:t>
      </w:r>
    </w:p>
    <w:p>
      <w:r>
        <w:t>3. The petitioner states that the balance of convenience lies in his favour, further to get rebuttal evidence from the PW -</w:t>
      </w:r>
    </w:p>
    <w:p>
      <w:r>
        <w:br/>
        <w:t>In these circumstances it is therefore prayed that this Hon’ble Court may be pleased to permit the petitioner to reopen and recall the PW – and cross examine in the interest of justice and thus render justice.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