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lang="es"&gt;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&lt;title&gt;Laboratorio 2 | INSUCO&lt;/title&gt;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&lt;link rel="stylesheet" href="css/estilos.css"&gt;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&lt;header&gt;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&lt;nav class="navbar"&gt;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&lt;a href="index.html" class="logo"&gt;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&lt;img src="img/logo-insuco.png" alt="Logo INSUCO"&gt;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&lt;/a&gt;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&lt;div class="menu"&gt;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&lt;a href="index.html"&gt;Inicio&lt;/a&gt;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&lt;a href="laboratorios.html"&gt;Laboratorios&lt;/a&gt;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&lt;a href="sobre-nosotros.html"&gt;Sobre nosotros&lt;/a&gt;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&lt;a href="contacto.html"&gt;Contacto&lt;/a&gt;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&lt;/nav&gt;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&lt;/header&gt;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&lt;main&gt;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&lt;section class="hero"&gt;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&lt;h1&gt;Laboratorio 2&lt;/h1&gt;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&lt;p&gt;Información y características del laboratorio.&lt;/p&gt;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&lt;section class="contenido"&gt;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&lt;div class="bloque"&gt;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&lt;img class="imagen-lab"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     src="img/laboratorio2.jpg"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     alt="Laboratorio 2"&gt;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&lt;h2&gt;Información&lt;/h2&gt;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&lt;p&gt;&lt;strong&gt;Cantidad de computadores:&lt;/strong&gt; 24&lt;/p&gt;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&lt;p&gt;&lt;strong&gt;Sistema operativo:&lt;/strong&gt; Por definir&lt;/p&gt;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&lt;p&gt;&lt;strong&gt;Disponibilidad:&lt;/strong&gt; Por definir&lt;/p&gt;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&lt;/main&gt;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&lt;footer&gt;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&lt;p&gt;Laboratorios INSUCO de Valparaíso | 2026&lt;/p&gt;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&lt;/footer&gt;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&lt;/html&gt;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