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&lt;title&gt;Laboratorio 4 | INSUCO&lt;/title&gt;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&lt;link rel="stylesheet" href="css/estilos.css"&gt;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&lt;nav class="navbar"&gt;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&lt;a href="index.html" class="logo"&gt;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&lt;img src="img/logo-insuco.png" alt="Logo INSUCO"&gt;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&lt;/a&gt;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&lt;div class="menu"&gt;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&lt;a href="index.html"&gt;Inicio&lt;/a&gt;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&lt;a href="laboratorios.html"&gt;Laboratorios&lt;/a&gt;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&lt;a href="sobre-nosotros.html"&gt;Sobre nosotros&lt;/a&gt;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&lt;a href="contacto.html"&gt;Contacto&lt;/a&gt;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&lt;main&gt;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&lt;section class="hero"&gt;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&lt;h1&gt;Laboratorio 4&lt;/h1&gt;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&lt;p&gt;Información y características del laboratorio.&lt;/p&gt;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&lt;section class="contenido"&gt;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&lt;div class="bloque"&gt;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&lt;img class="imagen-lab"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src="img/laboratorio4.jpg"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alt="Laboratorio 4"&gt;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&lt;h2&gt;Información&lt;/h2&gt;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&lt;p&gt;&lt;strong&gt;Cantidad de computadores:&lt;/strong&gt; 25&lt;/p&gt;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&lt;p&gt;&lt;strong&gt;Sistema operativo:&lt;/strong&gt; Por definir&lt;/p&gt;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&lt;p&gt;&lt;strong&gt;Disponibilidad:&lt;/strong&gt; Por definir&lt;/p&gt;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&lt;/main&gt;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&lt;footer&gt;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&lt;p&gt;Laboratorios INSUCO de Valparaíso | 2026&lt;/p&gt;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