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Guia del backend</w:t>
      </w:r>
    </w:p>
    <w:p>
      <w:pPr>
        <w:pStyle w:val="Heading1"/>
      </w:pPr>
      <w:r>
        <w:t>Backend — Sistema Tributario Dayanex</w:t>
      </w:r>
    </w:p>
    <w:p>
      <w:r>
        <w:t>NestJS + Prisma + PostgreSQL, con autenticación y permisos por empresa.</w:t>
      </w:r>
    </w:p>
    <w:p>
      <w:r>
        <w:t>Para iniciar la aplicación completa en Windows usa ../INICIAR.cmd. La guía de arranque está en 01 Guia de inicio.docx.</w:t>
      </w:r>
    </w:p>
    <w:p>
      <w:r>
        <w:t>El alcance actualizado, las fuentes oficiales y los pendientes del SRI están centralizados en 04 Integracion SRI y alcance.docx. La firma ya está implementada y verificada localmente; producción y la aceptación con certificado real siguen pendientes.</w:t>
      </w:r>
    </w:p>
    <w:p>
      <w:pPr>
        <w:pStyle w:val="Heading2"/>
      </w:pPr>
      <w:r>
        <w:t>Verificación</w:t>
      </w:r>
    </w:p>
    <w:p>
      <w:pPr>
        <w:spacing w:after="0"/>
      </w:pPr>
      <w:r>
        <w:rPr>
          <w:rFonts w:ascii="Consolas" w:hAnsi="Consolas"/>
          <w:sz w:val="16"/>
        </w:rPr>
        <w:t>npm ci</w:t>
      </w:r>
    </w:p>
    <w:p>
      <w:pPr>
        <w:spacing w:after="0"/>
      </w:pPr>
      <w:r>
        <w:rPr>
          <w:rFonts w:ascii="Consolas" w:hAnsi="Consolas"/>
          <w:sz w:val="16"/>
        </w:rPr>
        <w:t>npx prisma generate</w:t>
      </w:r>
    </w:p>
    <w:p>
      <w:pPr>
        <w:spacing w:after="0"/>
      </w:pPr>
      <w:r>
        <w:rPr>
          <w:rFonts w:ascii="Consolas" w:hAnsi="Consolas"/>
          <w:sz w:val="16"/>
        </w:rPr>
        <w:t>npm run build</w:t>
      </w:r>
    </w:p>
    <w:p>
      <w:pPr>
        <w:spacing w:after="0"/>
      </w:pPr>
      <w:r>
        <w:rPr>
          <w:rFonts w:ascii="Consolas" w:hAnsi="Consolas"/>
          <w:sz w:val="16"/>
        </w:rPr>
        <w:t>npm test -- --runInBand</w:t>
      </w:r>
    </w:p>
    <w:p>
      <w:r>
        <w:t>Las pruebas usan un certificado sintético y respuestas SOAP simuladas. Requieren Python con lxml para contrastar la firma con un canonicalizador independiente. Las pruebas ATS admiten xmllint o Python con lxml.</w:t>
      </w:r>
    </w:p>
    <w:p>
      <w:r>
        <w:t>Con la base y la API iniciadas: npm run test:smoke. Crea una cuenta temporal, prueba autenticación, importación, declaraciones, ATS, firma y persistencia; elimina exclusivamente sus datos sintéticos y no envía documentos al SRI.</w:t>
      </w:r>
    </w:p>
    <w:p>
      <w:pPr>
        <w:pStyle w:val="Heading2"/>
      </w:pPr>
      <w:r>
        <w:t>Base de datos</w:t>
      </w:r>
    </w:p>
    <w:p>
      <w:pPr>
        <w:spacing w:after="0"/>
      </w:pPr>
      <w:r>
        <w:rPr>
          <w:rFonts w:ascii="Consolas" w:hAnsi="Consolas"/>
          <w:sz w:val="16"/>
        </w:rPr>
        <w:t>docker compose up -d --wait db</w:t>
      </w:r>
    </w:p>
    <w:p>
      <w:pPr>
        <w:spacing w:after="0"/>
      </w:pPr>
      <w:r>
        <w:rPr>
          <w:rFonts w:ascii="Consolas" w:hAnsi="Consolas"/>
          <w:sz w:val="16"/>
        </w:rPr>
        <w:t>npm run db:deploy</w:t>
      </w:r>
    </w:p>
    <w:p>
      <w:pPr>
        <w:spacing w:after="0"/>
      </w:pPr>
      <w:r>
        <w:rPr>
          <w:rFonts w:ascii="Consolas" w:hAnsi="Consolas"/>
          <w:sz w:val="16"/>
        </w:rPr>
        <w:t>npm run seed</w:t>
      </w:r>
    </w:p>
    <w:p>
      <w:pPr>
        <w:spacing w:after="0"/>
      </w:pPr>
      <w:r>
        <w:rPr>
          <w:rFonts w:ascii="Consolas" w:hAnsi="Consolas"/>
          <w:sz w:val="16"/>
        </w:rPr>
        <w:t>npm run start:dev</w:t>
      </w:r>
    </w:p>
    <w:p>
      <w:r>
        <w:t>Conserva .env y los volúmenes de PostgreSQL. No ejecutes reset ni borres datos para aplicar una actualización. Las migraciones se aplican con db:deploy.</w:t>
      </w:r>
    </w:p>
    <w:p>
      <w:pPr>
        <w:pStyle w:val="Heading2"/>
      </w:pPr>
      <w:r>
        <w:t>API</w:t>
      </w:r>
    </w:p>
    <w:p>
      <w:r>
        <w:t>Documentación interactiva: http://localhost:3000/docs. Salud de API/base: http://localhost:3000/api/health.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96"/>
        <w:gridCol w:w="4896"/>
      </w:tblGrid>
      <w:tr>
        <w:trPr>
          <w:tblHeader/>
        </w:trPr>
        <w:tc>
          <w:tcPr>
            <w:tcW w:type="dxa" w:w="4896"/>
            <w:shd w:fill="D9E5F2"/>
          </w:tcPr>
          <w:p>
            <w:r>
              <w:rPr>
                <w:b/>
                <w:sz w:val="20"/>
              </w:rPr>
              <w:t>Área</w:t>
            </w:r>
          </w:p>
        </w:tc>
        <w:tc>
          <w:tcPr>
            <w:tcW w:type="dxa" w:w="4896"/>
            <w:shd w:fill="D9E5F2"/>
          </w:tcPr>
          <w:p>
            <w:r>
              <w:rPr>
                <w:b/>
                <w:sz w:val="20"/>
              </w:rPr>
              <w:t>Rutas principales</w:t>
            </w:r>
          </w:p>
        </w:tc>
      </w:tr>
      <w:tr>
        <w:tc>
          <w:tcPr>
            <w:tcW w:type="dxa" w:w="4896"/>
            <w:shd w:fill="FFFFFF"/>
          </w:tcPr>
          <w:p>
            <w:r>
              <w:rPr>
                <w:b w:val="0"/>
                <w:sz w:val="20"/>
              </w:rPr>
              <w:t>Sesión</w:t>
            </w:r>
          </w:p>
        </w:tc>
        <w:tc>
          <w:tcPr>
            <w:tcW w:type="dxa" w:w="4896"/>
            <w:shd w:fill="FFFFFF"/>
          </w:tcPr>
          <w:p>
            <w:r>
              <w:rPr>
                <w:b w:val="0"/>
                <w:sz w:val="20"/>
              </w:rPr>
              <w:t>/api/auth/{register,login,refresh,logout}</w:t>
            </w:r>
          </w:p>
        </w:tc>
      </w:tr>
      <w:tr>
        <w:tc>
          <w:tcPr>
            <w:tcW w:type="dxa" w:w="4896"/>
            <w:shd w:fill="F4F6F8"/>
          </w:tcPr>
          <w:p>
            <w:r>
              <w:rPr>
                <w:b w:val="0"/>
                <w:sz w:val="20"/>
              </w:rPr>
              <w:t>Empresas</w:t>
            </w:r>
          </w:p>
        </w:tc>
        <w:tc>
          <w:tcPr>
            <w:tcW w:type="dxa" w:w="4896"/>
            <w:shd w:fill="F4F6F8"/>
          </w:tcPr>
          <w:p>
            <w:r>
              <w:rPr>
                <w:b w:val="0"/>
                <w:sz w:val="20"/>
              </w:rPr>
              <w:t>/api/companies</w:t>
            </w:r>
          </w:p>
        </w:tc>
      </w:tr>
      <w:tr>
        <w:tc>
          <w:tcPr>
            <w:tcW w:type="dxa" w:w="4896"/>
            <w:shd w:fill="FFFFFF"/>
          </w:tcPr>
          <w:p>
            <w:r>
              <w:rPr>
                <w:b w:val="0"/>
                <w:sz w:val="20"/>
              </w:rPr>
              <w:t>Importación</w:t>
            </w:r>
          </w:p>
        </w:tc>
        <w:tc>
          <w:tcPr>
            <w:tcW w:type="dxa" w:w="4896"/>
            <w:shd w:fill="FFFFFF"/>
          </w:tcPr>
          <w:p>
            <w:r>
              <w:rPr>
                <w:b w:val="0"/>
                <w:sz w:val="20"/>
              </w:rPr>
              <w:t>/api/vouchers/import, /api/vouchers</w:t>
            </w:r>
          </w:p>
        </w:tc>
      </w:tr>
      <w:tr>
        <w:tc>
          <w:tcPr>
            <w:tcW w:type="dxa" w:w="4896"/>
            <w:shd w:fill="F4F6F8"/>
          </w:tcPr>
          <w:p>
            <w:r>
              <w:rPr>
                <w:b w:val="0"/>
                <w:sz w:val="20"/>
              </w:rPr>
              <w:t>Obligaciones</w:t>
            </w:r>
          </w:p>
        </w:tc>
        <w:tc>
          <w:tcPr>
            <w:tcW w:type="dxa" w:w="4896"/>
            <w:shd w:fill="F4F6F8"/>
          </w:tcPr>
          <w:p>
            <w:r>
              <w:rPr>
                <w:b w:val="0"/>
                <w:sz w:val="20"/>
              </w:rPr>
              <w:t>/api/tax/obligations</w:t>
            </w:r>
          </w:p>
        </w:tc>
      </w:tr>
      <w:tr>
        <w:tc>
          <w:tcPr>
            <w:tcW w:type="dxa" w:w="4896"/>
            <w:shd w:fill="FFFFFF"/>
          </w:tcPr>
          <w:p>
            <w:r>
              <w:rPr>
                <w:b w:val="0"/>
                <w:sz w:val="20"/>
              </w:rPr>
              <w:t>Papeles de trabajo</w:t>
            </w:r>
          </w:p>
        </w:tc>
        <w:tc>
          <w:tcPr>
            <w:tcW w:type="dxa" w:w="4896"/>
            <w:shd w:fill="FFFFFF"/>
          </w:tcPr>
          <w:p>
            <w:r>
              <w:rPr>
                <w:b w:val="0"/>
                <w:sz w:val="20"/>
              </w:rPr>
              <w:t>/api/declarations/{generar,presentar}</w:t>
            </w:r>
          </w:p>
        </w:tc>
      </w:tr>
      <w:tr>
        <w:tc>
          <w:tcPr>
            <w:tcW w:type="dxa" w:w="4896"/>
            <w:shd w:fill="F4F6F8"/>
          </w:tcPr>
          <w:p>
            <w:r>
              <w:rPr>
                <w:b w:val="0"/>
                <w:sz w:val="20"/>
              </w:rPr>
              <w:t>Borrador ATS</w:t>
            </w:r>
          </w:p>
        </w:tc>
        <w:tc>
          <w:tcPr>
            <w:tcW w:type="dxa" w:w="4896"/>
            <w:shd w:fill="F4F6F8"/>
          </w:tcPr>
          <w:p>
            <w:r>
              <w:rPr>
                <w:b w:val="0"/>
                <w:sz w:val="20"/>
              </w:rPr>
              <w:t>/api/ats/{validate,generate,history}</w:t>
            </w:r>
          </w:p>
        </w:tc>
      </w:tr>
      <w:tr>
        <w:tc>
          <w:tcPr>
            <w:tcW w:type="dxa" w:w="4896"/>
            <w:shd w:fill="FFFFFF"/>
          </w:tcPr>
          <w:p>
            <w:r>
              <w:rPr>
                <w:b w:val="0"/>
                <w:sz w:val="20"/>
              </w:rPr>
              <w:t>Firma y SRI pruebas</w:t>
            </w:r>
          </w:p>
        </w:tc>
        <w:tc>
          <w:tcPr>
            <w:tcW w:type="dxa" w:w="4896"/>
            <w:shd w:fill="FFFFFF"/>
          </w:tcPr>
          <w:p>
            <w:r>
              <w:rPr>
                <w:b w:val="0"/>
                <w:sz w:val="20"/>
              </w:rPr>
              <w:t>/api/sri/prepare, /api/sri/documents</w:t>
            </w:r>
          </w:p>
        </w:tc>
      </w:tr>
      <w:tr>
        <w:tc>
          <w:tcPr>
            <w:tcW w:type="dxa" w:w="4896"/>
            <w:shd w:fill="F4F6F8"/>
          </w:tcPr>
          <w:p>
            <w:r>
              <w:rPr>
                <w:b w:val="0"/>
                <w:sz w:val="20"/>
              </w:rPr>
              <w:t>Envío y autorización</w:t>
            </w:r>
          </w:p>
        </w:tc>
        <w:tc>
          <w:tcPr>
            <w:tcW w:type="dxa" w:w="4896"/>
            <w:shd w:fill="F4F6F8"/>
          </w:tcPr>
          <w:p>
            <w:r>
              <w:rPr>
                <w:b w:val="0"/>
                <w:sz w:val="20"/>
              </w:rPr>
              <w:t>/api/sri/documents/:id/{send,authorization}</w:t>
            </w:r>
          </w:p>
        </w:tc>
      </w:tr>
      <w:tr>
        <w:tc>
          <w:tcPr>
            <w:tcW w:type="dxa" w:w="4896"/>
            <w:shd w:fill="FFFFFF"/>
          </w:tcPr>
          <w:p>
            <w:r>
              <w:rPr>
                <w:b w:val="0"/>
                <w:sz w:val="20"/>
              </w:rPr>
              <w:t>Auditoría</w:t>
            </w:r>
          </w:p>
        </w:tc>
        <w:tc>
          <w:tcPr>
            <w:tcW w:type="dxa" w:w="4896"/>
            <w:shd w:fill="FFFFFF"/>
          </w:tcPr>
          <w:p>
            <w:r>
              <w:rPr>
                <w:b w:val="0"/>
                <w:sz w:val="20"/>
              </w:rPr>
              <w:t>/api/audit</w:t>
            </w:r>
          </w:p>
        </w:tc>
      </w:tr>
    </w:tbl>
    <w:p/>
    <w:p>
      <w:r>
        <w:t>Las rutas de negocio exigen sesión, empresa y permiso. El módulo SRI usa sri.operar; no acepta endpoints externos proporcionados por el cliente.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