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Integracion SRI y alcance</w:t>
      </w:r>
    </w:p>
    <w:p>
      <w:pPr>
        <w:pStyle w:val="Heading1"/>
      </w:pPr>
      <w:r>
        <w:t>Integración SRI y alcance tributario</w:t>
      </w:r>
    </w:p>
    <w:p>
      <w:r>
        <w:t>Actualizado el 23 de octubre de 2026. Este documento sustituye las notas iniciales que describían la firma como un esqueleto no implementado.</w:t>
      </w:r>
    </w:p>
    <w:p>
      <w:pPr>
        <w:pStyle w:val="Heading2"/>
      </w:pPr>
      <w:r>
        <w:t>Comprobantes electrónicos: ambiente de pruebas</w:t>
      </w:r>
    </w:p>
    <w:p>
      <w:r>
        <w:t>La pestaña SRI · Pruebas permite cargar un XML sin firma y un certificado PKCS12 (.p12/.pfx), firmarlo, guardarlo, enviarlo a recepción, consultar su autorización y descargar el XML firmado o el sobre autorizado.</w:t>
      </w:r>
    </w:p>
    <w:p>
      <w:pPr>
        <w:pStyle w:val="ListBullet"/>
      </w:pPr>
      <w:r>
        <w:t>Solo admite ambiente 1. Producción no está habilitada.</w:t>
      </w:r>
    </w:p>
    <w:p>
      <w:pPr>
        <w:pStyle w:val="ListBullet"/>
      </w:pPr>
      <w:r>
        <w:t>Comprueba RUC de la empresa, estructura de la clave de acceso, dígito verificador, serie, secuencial, tipo de emisión y fecha.</w:t>
      </w:r>
    </w:p>
    <w:p>
      <w:pPr>
        <w:pStyle w:val="ListBullet"/>
      </w:pPr>
      <w:r>
        <w:t>Firma XAdES-BES 1.3.2 enveloped con RSA-SHA1/SHA1 y C14N 1.0, según el perfil SRI. Firma documento, SignedProperties y KeyInfo.</w:t>
      </w:r>
    </w:p>
    <w:p>
      <w:pPr>
        <w:pStyle w:val="ListBullet"/>
      </w:pPr>
      <w:r>
        <w:t>Comprueba vigencia, uso de firma y correspondencia entre certificado y clave privada RSA (mínimo 2048 bits). Verifica criptográficamente el resultado.</w:t>
      </w:r>
    </w:p>
    <w:p>
      <w:pPr>
        <w:pStyle w:val="ListBullet"/>
      </w:pPr>
      <w:r>
        <w:t>El certificado y su contraseña no se guardan ni se incluyen en auditoría. La firma requiere HTTPS o acceso directo local; para despliegues remotos debe configurarse y verificarse TLS correctamente.</w:t>
      </w:r>
    </w:p>
    <w:p>
      <w:pPr>
        <w:pStyle w:val="ListBullet"/>
      </w:pPr>
      <w:r>
        <w:t>Persistencia por empresa y clave única; permiso sri.operar para ADMIN_EMPRESA, SUPER_ADMIN, CONTADOR y FACTURACION.</w:t>
      </w:r>
    </w:p>
    <w:p>
      <w:pPr>
        <w:pStyle w:val="ListBullet"/>
      </w:pPr>
      <w:r>
        <w:t>RECIBIDA no significa AUTORIZADO. Los códigos 43/70 requieren consultar. Una pérdida de conexión deja POR_CONFIRMAR y bloquea el reenvío automático. Tras una caída del servidor, las operaciones trabadas pueden consultarse transcurridos dos minutos.</w:t>
      </w:r>
    </w:p>
    <w:p>
      <w:pPr>
        <w:pStyle w:val="ListBullet"/>
      </w:pPr>
      <w:r>
        <w:t>Un documento rechazado puede corregirse y volver a firmarse con su clave. La auditoría conserva metadatos de la revisión; los nuevos eventos redactan XML y claves sensibles. No se reemplaza un documento autorizado.</w:t>
      </w:r>
    </w:p>
    <w:p>
      <w:pPr>
        <w:pStyle w:val="ListBullet"/>
      </w:pPr>
      <w:r>
        <w:t>El historial muestra los últimos 100 documentos; la descarga requiere acceso a su empresa. No se almacena el certificado privado.</w:t>
      </w:r>
    </w:p>
    <w:p>
      <w:r>
        <w:t>Los contratos SOAP públicos fueron consultados con TLS normal. Las pruebas automatizadas de recepción/autorización usan respuestas simuladas. La prueba real de API/BD firma con un certificado sintético y no envía documentos al SRI. No se ha demostrado una autorización con un certificado real del emisor.</w:t>
      </w:r>
    </w:p>
    <w:p>
      <w:r>
        <w:t>Faltan para una emisión completa en producción: prueba real aceptada por el SRI, validación XSD local por tipo y versión de comprobante, editor de comprobantes, RIDE, entrega al destinatario y operaciones de anulación. La validación local no comprueba revocación/confianza del certificado ni elegibilidad del emisor; el servicio de autorización SRI realizará sus controles.</w:t>
      </w:r>
    </w:p>
    <w:p>
      <w:pPr>
        <w:pStyle w:val="Heading2"/>
      </w:pPr>
      <w:r>
        <w:t>Declaraciones y retenciones</w:t>
      </w:r>
    </w:p>
    <w:p>
      <w:r>
        <w:t>El 103 contiene renta retenida. El resumen del 104 separa IVA propio e IVA retenido a proveedores. Solo se acumulan retenciones importadas desde su XML; los antiguos cálculos automáticos de compras no cuentan como retenciones reales. Los registros históricos existentes se conservan.</w:t>
      </w:r>
    </w:p>
    <w:p>
      <w:r>
        <w:t>Son papeles de trabajo mensuales, sin presentación automática. Deben revisarse derecho a crédito tributario, proporcionalidad, saldos anteriores, operaciones especiales, intereses y multas. Una obligación semestral necesita consolidar todo el semestre. Registrar una presentación cambia a PRESENTADA_LOCAL y devuelve enviadaAlSri: false; no llama al SRI.</w:t>
      </w:r>
    </w:p>
    <w:p>
      <w:r>
        <w:t>El calendario de obligaciones corrige IVA semestral por defecto para RIMPE Emprendedor, renta en el año siguiente y ATS en el mes subsiguiente. El perfil tributario todavía no recoge todas las condiciones; fechas referenciales no incluyen feriados ni ampliaciones excepcionales. No sustituye las obligaciones registradas en el RUC.</w:t>
      </w:r>
    </w:p>
    <w:p>
      <w:pPr>
        <w:pStyle w:val="Heading2"/>
      </w:pPr>
      <w:r>
        <w:t>ATS: borrador, no archivo listo para presentar</w:t>
      </w:r>
    </w:p>
    <w:p>
      <w:r>
        <w:t>Se corrigieron tipos de identificación de clientes/proveedores, consumidor final, proveedor en liquidaciones, agrupación de ventas y notas de crédito de venta. Se conservan los XML importados y se extraen sus formas de pago disponibles. Las pruebas validan la salida contra resources/ats.xsd.</w:t>
      </w:r>
    </w:p>
    <w:p>
      <w:r>
        <w:t>Persisten estas limitaciones concretas:</w:t>
      </w:r>
    </w:p>
    <w:p>
      <w:pPr>
        <w:pStyle w:val="ListBullet"/>
      </w:pPr>
      <w:r>
        <w:t>Sustento de compras 01 provisional y partes relacionadas pendientes de confirmación; no hay editor de clasificación ATS.</w:t>
      </w:r>
    </w:p>
    <w:p>
      <w:pPr>
        <w:pStyle w:val="ListBullet"/>
      </w:pPr>
      <w:r>
        <w:t>Notas de crédito de compra sin vínculo al original bloquean la generación, en lugar de desaparecer del archivo.</w:t>
      </w:r>
    </w:p>
    <w:p>
      <w:pPr>
        <w:pStyle w:val="ListBullet"/>
      </w:pPr>
      <w:r>
        <w:t>Retenciones emitidas/recibidas sin vinculación automática al documento de sustento: los importes correspondientes deben completarse en revisión.</w:t>
      </w:r>
    </w:p>
    <w:p>
      <w:pPr>
        <w:pStyle w:val="ListBullet"/>
      </w:pPr>
      <w:r>
        <w:t>Bases no objeto/exentas, ICE, exportaciones, reembolsos, establecimientos, recap, fideicomisos y rendimientos financieros no están resueltos completamente.</w:t>
      </w:r>
    </w:p>
    <w:p>
      <w:pPr>
        <w:pStyle w:val="ListBullet"/>
      </w:pPr>
      <w:r>
        <w:t>Los documentos anteriores a la migración no tienen XML original; no se inventan formas de pago. Los períodos semestrales no se consolidan aún.</w:t>
      </w:r>
    </w:p>
    <w:p>
      <w:r>
        <w:t>El reporte queda BORRADOR_REQUIERE_REVISION y conserva sus advertencias. La pantalla muestra validación antes de descargar. Cumplir el XSD no equivale a cumplir todas las reglas fiscales ni a haber presentado el anexo.</w:t>
      </w:r>
    </w:p>
    <w:p>
      <w:pPr>
        <w:pStyle w:val="Heading2"/>
      </w:pPr>
      <w:r>
        <w:t>Dependencias y operación</w:t>
      </w:r>
    </w:p>
    <w:p>
      <w:r>
        <w:t>La auditoría npm de dependencias de producción detectó avisos pendientes en dependencias del proyecto. No se hizo una migración mayor automática de NestJS. El aviso de node-forge GHSA-86w9-cpqp-85rv afecta a su verificación RSA PKCS#1; esta implementación verifica XML con xml-crypto/crypto de Node, no con el verificador RSA de forge. No se certifica la seguridad de un despliegue público; queda pendiente actualizar y revisar el conjunto de dependencias antes de ello.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Facturación electrónica, ficha técnica offline 2.34, julio 2026 (https://www.sri.gob.ec/facturacion-electronica)</w:t>
      </w:r>
    </w:p>
    <w:p>
      <w:pPr>
        <w:pStyle w:val="ListBullet"/>
      </w:pPr>
      <w:r>
        <w:t>WSDL de recepción en pruebas (https://celcer.sri.gob.ec/comprobantes-electronicos-ws/RecepcionComprobantesOffline?wsdl)</w:t>
      </w:r>
    </w:p>
    <w:p>
      <w:pPr>
        <w:pStyle w:val="ListBullet"/>
      </w:pPr>
      <w:r>
        <w:t>WSDL de autorización en pruebas (https://celcer.sri.gob.ec/comprobantes-electronicos-ws/AutorizacionComprobantesOffline?wsdl)</w:t>
      </w:r>
    </w:p>
    <w:p>
      <w:pPr>
        <w:pStyle w:val="ListBullet"/>
      </w:pPr>
      <w:r>
        <w:t>Ficha técnica ATS (https://www.sri.gob.ec/o/sri-portlet-biblioteca-alfresco-internet/descargar/72d717c2-88ed-47b7-baba-50b87b7198b7/Ficha%20Tecnica%20Transaccional%20Simplificado%20ATS.pdf)</w:t>
      </w:r>
    </w:p>
    <w:p>
      <w:pPr>
        <w:pStyle w:val="ListBullet"/>
      </w:pPr>
      <w:r>
        <w:t>Declaración de renta del ejercicio 2025 (https://www.sri.gob.ec/web/intersri/declaracion-impuesto-a-la-renta-2025)</w:t>
      </w:r>
    </w:p>
    <w:p>
      <w:pPr>
        <w:pStyle w:val="ListBullet"/>
      </w:pPr>
      <w:r>
        <w:t>Impuesto al Valor Agregado (https://www.sri.gob.ec/impuesto-al-valor-agregado-iva)</w:t>
      </w:r>
    </w:p>
    <w:p>
      <w:pPr>
        <w:pStyle w:val="ListBullet"/>
      </w:pPr>
      <w:r>
        <w:t>Formularios e instructivos (https://www.sri.gob.ec/web/intersri/formularios-e-instructivos)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