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Publicacion y produccion</w:t>
      </w:r>
    </w:p>
    <w:p>
      <w:r>
        <w:t>Para el destino elegido, consultar 07 Despliegue en Vercel. La configuración de servidor propio se conserva como alternativa y requiere adaptar el proxy HTTPS.</w:t>
      </w:r>
    </w:p>
    <w:p>
      <w:pPr>
        <w:pStyle w:val="Heading1"/>
      </w:pPr>
      <w:r>
        <w:t>Publicación y paso a producción</w:t>
      </w:r>
    </w:p>
    <w:p>
      <w:r>
        <w:t>Para el destino elegido (Vercel), seguir 07 Despliegue en Vercel.docx. Esa guía incluye los controles y variables nuevos; el ejemplo de VPS de abajo requiere adaptar la confianza del proxy antes de usarlo con NODE_ENV=production.</w:t>
      </w:r>
    </w:p>
    <w:p>
      <w:r>
        <w:t>Estado al 23 de octubre de 2026: el sistema funciona localmente. Publicar la aplicación en Internet y emitir comprobantes válidos en el SRI son dos pasos distintos. La integración actual bloquea el ambiente de producción del SRI.</w:t>
      </w:r>
    </w:p>
    <w:p>
      <w:pPr>
        <w:pStyle w:val="Heading2"/>
      </w:pPr>
      <w:r>
        <w:t>1. Preparar el sistema antes de abrirlo al público</w:t>
      </w:r>
    </w:p>
    <w:p>
      <w:pPr>
        <w:pStyle w:val="ListBullet"/>
      </w:pPr>
      <w:r>
        <w:t>Resolver los avisos de dependencias registrados en 04 Integracion SRI y alcance.docx.</w:t>
      </w:r>
    </w:p>
    <w:p>
      <w:pPr>
        <w:pStyle w:val="ListBullet"/>
      </w:pPr>
      <w:r>
        <w:t>Revisar registro de usuarios, permisos, límites de intentos de acceso, recuperación de cuentas y exposición de /docs.</w:t>
      </w:r>
    </w:p>
    <w:p>
      <w:pPr>
        <w:pStyle w:val="ListBullet"/>
      </w:pPr>
      <w:r>
        <w:t>Tener copia de PostgreSQL y comprobar su restauración antes de migrar.</w:t>
      </w:r>
    </w:p>
    <w:p>
      <w:pPr>
        <w:pStyle w:val="ListBullet"/>
      </w:pPr>
      <w:r>
        <w:t>Definir dominio y servidor con Node.js compatible con el proyecto y PostgreSQL. No basta un alojamiento que solo sirva archivos HTML/PHP.</w:t>
      </w:r>
    </w:p>
    <w:p>
      <w:pPr>
        <w:pStyle w:val="ListBullet"/>
      </w:pPr>
      <w:r>
        <w:t>Usar contraseñas nuevas y un JWT_SECRET aleatorio. No subir el .env local, certificados .p12 ni sus contraseñas al repositorio.</w:t>
      </w:r>
    </w:p>
    <w:p>
      <w:pPr>
        <w:pStyle w:val="Heading2"/>
      </w:pPr>
      <w:r>
        <w:t>2. Compilar y trasladar la aplicación</w:t>
      </w:r>
    </w:p>
    <w:p>
      <w:r>
        <w:t>Desde sistema_tributario_rimpe:</w:t>
      </w:r>
    </w:p>
    <w:p>
      <w:pPr>
        <w:spacing w:after="0"/>
      </w:pPr>
      <w:r>
        <w:rPr>
          <w:rFonts w:ascii="Consolas" w:hAnsi="Consolas"/>
          <w:sz w:val="16"/>
        </w:rPr>
        <w:t>flutter pub get</w:t>
      </w:r>
    </w:p>
    <w:p>
      <w:pPr>
        <w:spacing w:after="0"/>
      </w:pPr>
      <w:r>
        <w:rPr>
          <w:rFonts w:ascii="Consolas" w:hAnsi="Consolas"/>
          <w:sz w:val="16"/>
        </w:rPr>
        <w:t>flutter build web --release --dart-define=API_BASE_URL=</w:t>
      </w:r>
    </w:p>
    <w:p>
      <w:r>
        <w:t>Copiar el contenido de build/web a backend/public. La API y la web se sirven desde el mismo dominio. Trasladar backend con sus fuentes, prisma, resources, public, package.json y package-lock.json; excluir .env y node_modules.</w:t>
      </w:r>
    </w:p>
    <w:p>
      <w:r>
        <w:t>En el servidor, dentro de backend, configurar las variables mediante su gestor de secretos o un .env protegido:</w:t>
      </w:r>
    </w:p>
    <w:p>
      <w:pPr>
        <w:spacing w:after="0"/>
      </w:pPr>
      <w:r>
        <w:rPr>
          <w:rFonts w:ascii="Consolas" w:hAnsi="Consolas"/>
          <w:sz w:val="16"/>
        </w:rPr>
        <w:t>NODE_ENV=production</w:t>
      </w:r>
    </w:p>
    <w:p>
      <w:pPr>
        <w:spacing w:after="0"/>
      </w:pPr>
      <w:r>
        <w:rPr>
          <w:rFonts w:ascii="Consolas" w:hAnsi="Consolas"/>
          <w:sz w:val="16"/>
        </w:rPr>
        <w:t>DATABASE_URL=postgresql://USUARIO:CLAVE@HOST:5432/BASE?schema=public</w:t>
      </w:r>
    </w:p>
    <w:p>
      <w:pPr>
        <w:spacing w:after="0"/>
      </w:pPr>
      <w:r>
        <w:rPr>
          <w:rFonts w:ascii="Consolas" w:hAnsi="Consolas"/>
          <w:sz w:val="16"/>
        </w:rPr>
        <w:t>JWT_SECRET=REEMPLAZAR_POR_SECRETO_ALEATORIO</w:t>
      </w:r>
    </w:p>
    <w:p>
      <w:pPr>
        <w:spacing w:after="0"/>
      </w:pPr>
      <w:r>
        <w:rPr>
          <w:rFonts w:ascii="Consolas" w:hAnsi="Consolas"/>
          <w:sz w:val="16"/>
        </w:rPr>
        <w:t>PORT=3000</w:t>
      </w:r>
    </w:p>
    <w:p>
      <w:pPr>
        <w:spacing w:after="0"/>
      </w:pPr>
      <w:r>
        <w:rPr>
          <w:rFonts w:ascii="Consolas" w:hAnsi="Consolas"/>
          <w:sz w:val="16"/>
        </w:rPr>
        <w:t>CORS_ORIGIN=https://tributario.tudominio.com</w:t>
      </w:r>
    </w:p>
    <w:p>
      <w:r>
        <w:t>Usar la configuración TLS de PostgreSQL indicada por el proveedor. Generar el secreto en el servidor y guardarlo, sin compartirlo por chat:</w:t>
      </w:r>
    </w:p>
    <w:p>
      <w:pPr>
        <w:spacing w:after="0"/>
      </w:pPr>
      <w:r>
        <w:rPr>
          <w:rFonts w:ascii="Consolas" w:hAnsi="Consolas"/>
          <w:sz w:val="16"/>
        </w:rPr>
        <w:t>node -e "console.log(require('crypto').randomBytes(48).toString('hex'))"</w:t>
      </w:r>
    </w:p>
    <w:p>
      <w:pPr>
        <w:spacing w:after="0"/>
      </w:pPr>
      <w:r>
        <w:rPr>
          <w:rFonts w:ascii="Consolas" w:hAnsi="Consolas"/>
          <w:sz w:val="16"/>
        </w:rPr>
        <w:t>npm ci</w:t>
      </w:r>
    </w:p>
    <w:p>
      <w:pPr>
        <w:spacing w:after="0"/>
      </w:pPr>
      <w:r>
        <w:rPr>
          <w:rFonts w:ascii="Consolas" w:hAnsi="Consolas"/>
          <w:sz w:val="16"/>
        </w:rPr>
        <w:t>npm run prisma:generate</w:t>
      </w:r>
    </w:p>
    <w:p>
      <w:pPr>
        <w:spacing w:after="0"/>
      </w:pPr>
      <w:r>
        <w:rPr>
          <w:rFonts w:ascii="Consolas" w:hAnsi="Consolas"/>
          <w:sz w:val="16"/>
        </w:rPr>
        <w:t>npm run build</w:t>
      </w:r>
    </w:p>
    <w:p>
      <w:pPr>
        <w:spacing w:after="0"/>
      </w:pPr>
      <w:r>
        <w:rPr>
          <w:rFonts w:ascii="Consolas" w:hAnsi="Consolas"/>
          <w:sz w:val="16"/>
        </w:rPr>
        <w:t>npm run db:deploy</w:t>
      </w:r>
    </w:p>
    <w:p>
      <w:pPr>
        <w:spacing w:after="0"/>
      </w:pPr>
      <w:r>
        <w:rPr>
          <w:rFonts w:ascii="Consolas" w:hAnsi="Consolas"/>
          <w:sz w:val="16"/>
        </w:rPr>
        <w:t>npm run seed</w:t>
      </w:r>
    </w:p>
    <w:p>
      <w:pPr>
        <w:spacing w:after="0"/>
      </w:pPr>
      <w:r>
        <w:rPr>
          <w:rFonts w:ascii="Consolas" w:hAnsi="Consolas"/>
          <w:sz w:val="16"/>
        </w:rPr>
        <w:t>npm run start:prod</w:t>
      </w:r>
    </w:p>
    <w:p>
      <w:r>
        <w:t>No ejecutar migrate reset ni usar migrate dev sobre la base de producción. Configurar el proceso como servicio con reinicio automático; una terminal abierta no constituye un despliegue permanente.</w:t>
      </w:r>
    </w:p>
    <w:p>
      <w:pPr>
        <w:pStyle w:val="Heading2"/>
      </w:pPr>
      <w:r>
        <w:t>3. Dominio y HTTPS</w:t>
      </w:r>
    </w:p>
    <w:p>
      <w:r>
        <w:t>Apuntar el DNS del dominio al servidor. Un ejemplo de Caddy en el mismo host:</w:t>
      </w:r>
    </w:p>
    <w:p>
      <w:pPr>
        <w:spacing w:after="0"/>
      </w:pPr>
      <w:r>
        <w:rPr>
          <w:rFonts w:ascii="Consolas" w:hAnsi="Consolas"/>
          <w:sz w:val="16"/>
        </w:rPr>
        <w:t>tributario.tudominio.com {</w:t>
      </w:r>
    </w:p>
    <w:p>
      <w:pPr>
        <w:spacing w:after="0"/>
      </w:pPr>
      <w:r>
        <w:rPr>
          <w:rFonts w:ascii="Consolas" w:hAnsi="Consolas"/>
          <w:sz w:val="16"/>
        </w:rPr>
        <w:t xml:space="preserve">    reverse_proxy 127.0.0.1:3000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Caddy gestiona HTTPS automáticamente para dominios configurados correctamente. Permitir 80/443 para la web; bloquear el acceso externo directo a 3000 y 5432. El controlador de firma actual permite el salto local desde ese proxy: por eso es indispensable que el único acceso externo sea HTTPS. Si el proxy corre en otro host o contenedor, hay que adaptar y probar la confianza del proxy y el control de HTTPS; no desactivar la validación para hacerlo funcionar.</w:t>
      </w:r>
    </w:p>
    <w:p>
      <w:r>
        <w:t>Verificar /api/health, inicio de sesión, permisos entre empresas, importaciones, descargas y firma desde HTTPS. Programar copias de seguridad y supervisión. No ejecutar la prueba smoke sobre datos de clientes: usar una instancia de preproducción y una base independiente.</w:t>
      </w:r>
    </w:p>
    <w:p>
      <w:pPr>
        <w:pStyle w:val="Heading2"/>
      </w:pPr>
      <w:r>
        <w:t>4. Habilitar emisión real ante el SRI</w:t>
      </w:r>
    </w:p>
    <w:p>
      <w:r>
        <w:t>1. Confirmar la habilitación del emisor en SRI en línea y disponer de certificado vigente del emisor. No enviar su contraseña por chat.</w:t>
      </w:r>
    </w:p>
    <w:p>
      <w:r>
        <w:t>2. Obtener una autorización real en ambiente de pruebas con ese certificado y comprobar XML, firma y respuesta. Hoy solo se ha probado la firma sintética y una consulta real con clave inválida.</w:t>
      </w:r>
    </w:p>
    <w:p>
      <w:r>
        <w:t>3. Completar los pendientes de 04 Integracion SRI y alcance.docx: validaciones, RIDE, entrega y demás funciones necesarias para el alcance de emisión contratado.</w:t>
      </w:r>
    </w:p>
    <w:p>
      <w:r>
        <w:t>4. Implementar una selección controlada de ambiente y endpoints oficiales, incluyendo ambiente 2 en XML/clave de acceso y separación de registros. Actualmente el código solo admite ambiente 1; NODE_ENV=production no cambia esto. No basta con reemplazar una URL.</w:t>
      </w:r>
    </w:p>
    <w:p>
      <w:r>
        <w:t>5. Probar de extremo a extremo, habilitar el paso de forma controlada y revisar el primer comprobante autorizado. El ATS mantiene pendientes independientes y no debe presentarse automáticamente como si estuviera completo.</w:t>
      </w:r>
    </w:p>
    <w:p>
      <w:pPr>
        <w:pStyle w:val="Heading2"/>
      </w:pPr>
      <w:r>
        <w:t>Referencias</w:t>
      </w:r>
    </w:p>
    <w:p>
      <w:pPr>
        <w:pStyle w:val="ListBullet"/>
      </w:pPr>
      <w:r>
        <w:t>https://caddyserver.com/docs/automatic-https</w:t>
      </w:r>
    </w:p>
    <w:p>
      <w:pPr>
        <w:pStyle w:val="ListBullet"/>
      </w:pPr>
      <w:r>
        <w:t>https://caddyserver.com/docs/quick-starts/reverse-proxy</w:t>
      </w:r>
    </w:p>
    <w:p>
      <w:pPr>
        <w:pStyle w:val="ListBullet"/>
      </w:pPr>
      <w:r>
        <w:t>https://www.sri.gob.ec/facturacion-electronica</w:t>
      </w:r>
    </w:p>
    <w:p>
      <w:pPr>
        <w:pStyle w:val="ListBullet"/>
      </w:pPr>
      <w:r>
        <w:t>04 Integracion SRI y alcance.docx</w:t>
      </w:r>
    </w:p>
    <w:p>
      <w:r>
        <w:t>Esta guía prepara el despliegue; no se ha contratado hosting, configurado DNS ni publicado el sistema en un servidor externo.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