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Publicar Dayanex en Vercel</w:t>
      </w:r>
    </w:p>
    <w:p>
      <w:r>
        <w:t>Guía paso a paso para crear la base de datos y poner en línea la aplicación desde Windows.</w:t>
      </w:r>
    </w:p>
    <w:p>
      <w:r>
        <w:t>Este documento corresponde al proyecto ubicado en C:\sistema tributario dayanex. La ruta propuesta usa Vercel para la página y la API, y Neon para PostgreSQL. No necesitas tener un repositorio en GitHub para seguir estos pasos.</w:t>
      </w:r>
    </w:p>
    <w:p>
      <w:pPr>
        <w:pStyle w:val="Heading1"/>
      </w:pPr>
      <w:r>
        <w:t>1 Qué debes abrir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600"/>
        <w:gridCol w:w="4896"/>
      </w:tblGrid>
      <w:tr>
        <w:trPr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before="100" w:after="100"/>
            </w:pPr>
            <w:r>
              <w:rPr>
                <w:b/>
                <w:sz w:val="20"/>
              </w:rPr>
              <w:t>Lugar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before="100" w:after="100"/>
            </w:pPr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before="100" w:after="100"/>
            </w:pPr>
            <w:r>
              <w:rPr>
                <w:b/>
                <w:sz w:val="20"/>
              </w:rPr>
              <w:t>Dirección o acceso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Vercel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Publicar y revisar errores de la aplicación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https://vercel.com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Neon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Crear y consultar PostgreSQL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https://console.neon.tech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PowerShell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Preparar archivos y ejecutar comandos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Inicio de Windows → PowerShell</w:t>
            </w:r>
          </w:p>
        </w:tc>
      </w:tr>
    </w:tbl>
    <w:p>
      <w:r>
        <w:t>El navegador se conecta a Vercel por HTTPS. La API alojada en Vercel se conecta a Neon mediante TLS. La base local de Docker no es accesible desde Vercel y no se trasladará automáticamente.</w:t>
      </w:r>
    </w:p>
    <w:p>
      <w:pPr>
        <w:pStyle w:val="Heading1"/>
      </w:pPr>
      <w:r>
        <w:t>2 Antes de comenzar</w:t>
      </w:r>
    </w:p>
    <w:p>
      <w:r>
        <w:t>Crea una cuenta en Vercel y otra en Neon con tu correo. Activa la verificación en dos pasos donde esté disponible. Revisa los límites, costos y condiciones del plan antes de contratarlo; esta guía no presupone un plan gratuito apto para cualquier uso.</w:t>
      </w:r>
    </w:p>
    <w:p>
      <w:r>
        <w:t>Abre PowerShell y ejecuta cada línea por separado. Si aparece un error, detente y resuélvelo antes de continuar. No copies las explicaciones como comandos.</w:t>
      </w:r>
    </w:p>
    <w:p>
      <w:pPr>
        <w:spacing w:after="40"/>
      </w:pPr>
      <w:r>
        <w:rPr>
          <w:rFonts w:ascii="Consolas" w:hAnsi="Consolas"/>
          <w:sz w:val="18"/>
        </w:rPr>
        <w:t>node --version</w:t>
      </w:r>
    </w:p>
    <w:p>
      <w:pPr>
        <w:spacing w:after="40"/>
      </w:pPr>
      <w:r>
        <w:rPr>
          <w:rFonts w:ascii="Consolas" w:hAnsi="Consolas"/>
          <w:sz w:val="18"/>
        </w:rPr>
        <w:t>npm.cmd --version</w:t>
      </w:r>
    </w:p>
    <w:p>
      <w:pPr>
        <w:spacing w:after="40"/>
      </w:pPr>
      <w:r>
        <w:rPr>
          <w:rFonts w:ascii="Consolas" w:hAnsi="Consolas"/>
          <w:sz w:val="18"/>
        </w:rPr>
        <w:t>flutter.bat --version</w:t>
      </w:r>
    </w:p>
    <w:p>
      <w:r>
        <w:t>Usa Node.js 22 para coincidir con la configuración propuesta. Si un comando no se reconoce, instala Node.js desde nodejs.org o configura Flutter siguiendo docs.flutter.dev, y vuelve a abrir PowerShell.</w:t>
      </w:r>
    </w:p>
    <w:p>
      <w:r>
        <w:t>Alcance actual: la publicación en la nube todavía requiere validación. El módulo SRI continúa en ambiente de pruebas; subir la aplicación no lo habilita para emitir comprobantes reales. No existe una garantía de seguridad del 100 %.</w:t>
      </w:r>
    </w:p>
    <w:p>
      <w:r>
        <w:br w:type="page"/>
      </w:r>
    </w:p>
    <w:p>
      <w:pPr>
        <w:pStyle w:val="Heading1"/>
      </w:pPr>
      <w:r>
        <w:t>3 Crear la base de datos en Neon</w:t>
      </w:r>
    </w:p>
    <w:p>
      <w:r>
        <w:t>1. Entra a https://console.neon.tech e inicia sesión. Crea un proyecto nuevo con un nombre reconocible, por ejemplo dayanex. Elige una región cercana a la que utilizarás para las funciones de Vercel.</w:t>
      </w:r>
    </w:p>
    <w:p>
      <w:r>
        <w:t>2. Abre el proyecto y selecciona su rama principal. Conserva la base y el usuario que crea Neon si no necesitas otros. Anota sus nombres, sin guardar contraseñas en este documento.</w:t>
      </w:r>
    </w:p>
    <w:p>
      <w:r>
        <w:t>3. Pulsa Connect. Selecciona la rama, base de datos y usuario correctos. Copia la cadena PostgreSQL, que comienza con postgresql://, no el comando psql completo.</w:t>
      </w:r>
    </w:p>
    <w:p>
      <w:r>
        <w:t>4. Obtén dos cadenas para la misma base: una con Connection pooling desactivado, para crear las tablas; otra con pooling activado, para la aplicación. El host de esta última normalmente incluye -pooler.</w:t>
      </w:r>
    </w:p>
    <w:p>
      <w:r>
        <w:t>5. En ambas cadenas conserva los parámetros existentes y verifica sslmode=require. Agrega &amp;sslaccept=strict si aún no aparece. Si la cadena no tiene parámetros, el primero se introduce con ? y los siguientes con &amp;. No dupliques sslmode ni sslaccept.</w:t>
      </w:r>
    </w:p>
    <w:p>
      <w:pPr>
        <w:spacing w:after="40"/>
      </w:pPr>
      <w:r>
        <w:rPr>
          <w:rFonts w:ascii="Consolas" w:hAnsi="Consolas"/>
          <w:sz w:val="18"/>
        </w:rPr>
        <w:t>.../neondb?sslmode=require&amp;sslaccept=strict</w:t>
      </w:r>
    </w:p>
    <w:p>
      <w:r>
        <w:t>Este fragmento es ilustrativo; no sirve como conexión real. Mantén el usuario, contraseña, host y base que entrega Neon. Guarda las dos cadenas en un gestor de contraseñas. No las compartas por chat, correo ni capturas.</w:t>
      </w:r>
    </w:p>
    <w:p>
      <w:pPr>
        <w:pStyle w:val="Heading1"/>
      </w:pPr>
      <w:r>
        <w:t>Dónde ver la base y sus tablas</w:t>
      </w:r>
    </w:p>
    <w:p>
      <w:r>
        <w:t>Dentro del proyecto Neon abre SQL Editor. Selecciona la misma rama y base usadas en Connect. Después de ejecutar las migraciones del paso 5, pega esta consulta y pulsa Run:</w:t>
      </w:r>
    </w:p>
    <w:p>
      <w:pPr>
        <w:spacing w:after="40"/>
      </w:pPr>
      <w:r>
        <w:rPr>
          <w:rFonts w:ascii="Consolas" w:hAnsi="Consolas"/>
          <w:sz w:val="18"/>
        </w:rPr>
        <w:t>SELECT table_name</w:t>
      </w:r>
    </w:p>
    <w:p>
      <w:pPr>
        <w:spacing w:after="40"/>
      </w:pPr>
      <w:r>
        <w:rPr>
          <w:rFonts w:ascii="Consolas" w:hAnsi="Consolas"/>
          <w:sz w:val="18"/>
        </w:rPr>
        <w:t>FROM information_schema.tables</w:t>
      </w:r>
    </w:p>
    <w:p>
      <w:pPr>
        <w:spacing w:after="40"/>
      </w:pPr>
      <w:r>
        <w:rPr>
          <w:rFonts w:ascii="Consolas" w:hAnsi="Consolas"/>
          <w:sz w:val="18"/>
        </w:rPr>
        <w:t>WHERE table_schema = 'public'</w:t>
      </w:r>
    </w:p>
    <w:p>
      <w:pPr>
        <w:spacing w:after="40"/>
      </w:pPr>
      <w:r>
        <w:rPr>
          <w:rFonts w:ascii="Consolas" w:hAnsi="Consolas"/>
          <w:sz w:val="18"/>
        </w:rPr>
        <w:t>ORDER BY table_name;</w:t>
      </w:r>
    </w:p>
    <w:p>
      <w:r>
        <w:t>Antes de las migraciones puede no haber tablas de la aplicación. Después deben aparecer tablas como users, companies y roles. Para contar registros sin mostrar datos personales puedes ejecutar:</w:t>
      </w:r>
    </w:p>
    <w:p>
      <w:pPr>
        <w:spacing w:after="40"/>
      </w:pPr>
      <w:r>
        <w:rPr>
          <w:rFonts w:ascii="Consolas" w:hAnsi="Consolas"/>
          <w:sz w:val="18"/>
        </w:rPr>
        <w:t>SELECT COUNT(*) AS usuarios FROM users;</w:t>
      </w:r>
    </w:p>
    <w:p>
      <w:pPr>
        <w:spacing w:after="40"/>
      </w:pPr>
      <w:r>
        <w:rPr>
          <w:rFonts w:ascii="Consolas" w:hAnsi="Consolas"/>
          <w:sz w:val="18"/>
        </w:rPr>
        <w:t>SELECT COUNT(*) AS empresas FROM companies;</w:t>
      </w:r>
    </w:p>
    <w:p>
      <w:r>
        <w:t>No hace falta instalar pgAdmin para consultar la base. SQL Editor es suficiente. Las migraciones crean la estructura; no copian los usuarios, empresas o comprobantes que tienes en tu computadora.</w:t>
      </w:r>
    </w:p>
    <w:p>
      <w:r>
        <w:br w:type="page"/>
      </w:r>
    </w:p>
    <w:p>
      <w:pPr>
        <w:pStyle w:val="Heading1"/>
      </w:pPr>
      <w:r>
        <w:t>4 Preparar la aplicación en tu computadora</w:t>
      </w:r>
    </w:p>
    <w:p>
      <w:r>
        <w:t>En PowerShell prepara el backend. Los comandos siguientes se ejecutan dentro de la carpeta del proyecto existente:</w:t>
      </w:r>
    </w:p>
    <w:p>
      <w:pPr>
        <w:spacing w:after="40"/>
      </w:pPr>
      <w:r>
        <w:rPr>
          <w:rFonts w:ascii="Consolas" w:hAnsi="Consolas"/>
          <w:sz w:val="18"/>
        </w:rPr>
        <w:t>Set-Location 'C:\sistema tributario dayanex\backend'</w:t>
      </w:r>
    </w:p>
    <w:p>
      <w:pPr>
        <w:spacing w:after="40"/>
      </w:pPr>
      <w:r>
        <w:rPr>
          <w:rFonts w:ascii="Consolas" w:hAnsi="Consolas"/>
          <w:sz w:val="18"/>
        </w:rPr>
        <w:t>npm.cmd ci</w:t>
      </w:r>
    </w:p>
    <w:p>
      <w:pPr>
        <w:spacing w:after="40"/>
      </w:pPr>
      <w:r>
        <w:rPr>
          <w:rFonts w:ascii="Consolas" w:hAnsi="Consolas"/>
          <w:sz w:val="18"/>
        </w:rPr>
        <w:t>npm.cmd run prisma:generate</w:t>
      </w:r>
    </w:p>
    <w:p>
      <w:pPr>
        <w:spacing w:after="40"/>
      </w:pPr>
      <w:r>
        <w:rPr>
          <w:rFonts w:ascii="Consolas" w:hAnsi="Consolas"/>
          <w:sz w:val="18"/>
        </w:rPr>
        <w:t>npm.cmd run build</w:t>
      </w:r>
    </w:p>
    <w:p>
      <w:r>
        <w:t>Compila la interfaz Flutter y cópiala a la carpeta public del backend. El valor vacío de API_BASE_URL permite que la interfaz use la API del mismo dominio.</w:t>
      </w:r>
    </w:p>
    <w:p>
      <w:pPr>
        <w:spacing w:after="40"/>
      </w:pPr>
      <w:r>
        <w:rPr>
          <w:rFonts w:ascii="Consolas" w:hAnsi="Consolas"/>
          <w:sz w:val="18"/>
        </w:rPr>
        <w:t>Set-Location 'C:\sistema tributario dayanex\sistema_tributario_rimpe'</w:t>
      </w:r>
    </w:p>
    <w:p>
      <w:pPr>
        <w:spacing w:after="40"/>
      </w:pPr>
      <w:r>
        <w:rPr>
          <w:rFonts w:ascii="Consolas" w:hAnsi="Consolas"/>
          <w:sz w:val="18"/>
        </w:rPr>
        <w:t>flutter.bat pub get</w:t>
      </w:r>
    </w:p>
    <w:p>
      <w:pPr>
        <w:spacing w:after="40"/>
      </w:pPr>
      <w:r>
        <w:rPr>
          <w:rFonts w:ascii="Consolas" w:hAnsi="Consolas"/>
          <w:sz w:val="18"/>
        </w:rPr>
        <w:t>flutter.bat build web --release --dart-define=API_BASE_URL=</w:t>
      </w:r>
    </w:p>
    <w:p>
      <w:pPr>
        <w:spacing w:after="40"/>
      </w:pPr>
      <w:r>
        <w:rPr>
          <w:rFonts w:ascii="Consolas" w:hAnsi="Consolas"/>
          <w:sz w:val="18"/>
        </w:rPr>
        <w:t>New-Item -ItemType Directory -Path '..\backend\public' -Force</w:t>
      </w:r>
    </w:p>
    <w:p>
      <w:pPr>
        <w:spacing w:after="40"/>
      </w:pPr>
      <w:r>
        <w:rPr>
          <w:rFonts w:ascii="Consolas" w:hAnsi="Consolas"/>
          <w:sz w:val="18"/>
        </w:rPr>
        <w:t>Copy-Item -Path '.\build\web\*' `</w:t>
      </w:r>
    </w:p>
    <w:p>
      <w:pPr>
        <w:spacing w:after="40"/>
      </w:pPr>
      <w:r>
        <w:rPr>
          <w:rFonts w:ascii="Consolas" w:hAnsi="Consolas"/>
          <w:sz w:val="18"/>
        </w:rPr>
        <w:t xml:space="preserve">  -Destination '..\backend\public' -Recurse -Force</w:t>
      </w:r>
    </w:p>
    <w:p>
      <w:pPr>
        <w:spacing w:after="40"/>
      </w:pPr>
      <w:r>
        <w:rPr>
          <w:rFonts w:ascii="Consolas" w:hAnsi="Consolas"/>
          <w:sz w:val="18"/>
        </w:rPr>
        <w:t>Test-Path '..\backend\public\index.html'</w:t>
      </w:r>
    </w:p>
    <w:p>
      <w:r>
        <w:t>La última línea debe mostrar True. Copia las dos líneas de Copy-Item juntas; el acento grave al final de la primera indica continuación en PowerShell.</w:t>
      </w:r>
    </w:p>
    <w:p>
      <w:pPr>
        <w:pStyle w:val="Heading1"/>
      </w:pPr>
      <w:r>
        <w:t>5 Crear las tablas y los permisos</w:t>
      </w:r>
    </w:p>
    <w:p>
      <w:r>
        <w:t>Introduce la conexión DIRECTA de Neon cuando se solicite. La entrada se oculta. Solo se establece en esta sesión de PowerShell; no reemplaza el archivo .env local.</w:t>
      </w:r>
    </w:p>
    <w:p>
      <w:pPr>
        <w:spacing w:after="40"/>
      </w:pPr>
      <w:r>
        <w:rPr>
          <w:rFonts w:ascii="Consolas" w:hAnsi="Consolas"/>
          <w:sz w:val="18"/>
        </w:rPr>
        <w:t>Set-Location 'C:\sistema tributario dayanex\backend'</w:t>
      </w:r>
    </w:p>
    <w:p>
      <w:pPr>
        <w:spacing w:after="40"/>
      </w:pPr>
      <w:r>
        <w:rPr>
          <w:rFonts w:ascii="Consolas" w:hAnsi="Consolas"/>
          <w:sz w:val="18"/>
        </w:rPr>
        <w:t>$dbSecret = Read-Host 'Conexion DIRECTA de Neon' -AsSecureString</w:t>
      </w:r>
    </w:p>
    <w:p>
      <w:pPr>
        <w:spacing w:after="40"/>
      </w:pPr>
      <w:r>
        <w:rPr>
          <w:rFonts w:ascii="Consolas" w:hAnsi="Consolas"/>
          <w:sz w:val="18"/>
        </w:rPr>
        <w:t>$env:DATABASE_URL = [System.Net.NetworkCredential]::new(</w:t>
      </w:r>
    </w:p>
    <w:p>
      <w:pPr>
        <w:spacing w:after="40"/>
      </w:pPr>
      <w:r>
        <w:rPr>
          <w:rFonts w:ascii="Consolas" w:hAnsi="Consolas"/>
          <w:sz w:val="18"/>
        </w:rPr>
        <w:t xml:space="preserve">  '', $dbSecret).Password</w:t>
      </w:r>
    </w:p>
    <w:p>
      <w:pPr>
        <w:spacing w:after="40"/>
      </w:pPr>
      <w:r>
        <w:rPr>
          <w:rFonts w:ascii="Consolas" w:hAnsi="Consolas"/>
          <w:sz w:val="18"/>
        </w:rPr>
        <w:t>npm.cmd run db:deploy</w:t>
      </w:r>
    </w:p>
    <w:p>
      <w:pPr>
        <w:spacing w:after="40"/>
      </w:pPr>
      <w:r>
        <w:rPr>
          <w:rFonts w:ascii="Consolas" w:hAnsi="Consolas"/>
          <w:sz w:val="18"/>
        </w:rPr>
        <w:t>npm.cmd run seed</w:t>
      </w:r>
    </w:p>
    <w:p>
      <w:pPr>
        <w:spacing w:after="40"/>
      </w:pPr>
      <w:r>
        <w:rPr>
          <w:rFonts w:ascii="Consolas" w:hAnsi="Consolas"/>
          <w:sz w:val="18"/>
        </w:rPr>
        <w:t>Remove-Item Env:DATABASE_URL</w:t>
      </w:r>
    </w:p>
    <w:p>
      <w:pPr>
        <w:spacing w:after="40"/>
      </w:pPr>
      <w:r>
        <w:rPr>
          <w:rFonts w:ascii="Consolas" w:hAnsi="Consolas"/>
          <w:sz w:val="18"/>
        </w:rPr>
        <w:t>Remove-Variable dbSecret</w:t>
      </w:r>
    </w:p>
    <w:p>
      <w:r>
        <w:t>db:deploy debe terminar sin errores y seed debe completar la carga de roles y permisos. seed no crea tu cuenta de acceso. No uses migrate reset ni db push para sustituir este procedimiento en una base con información.</w:t>
      </w:r>
    </w:p>
    <w:p>
      <w:r>
        <w:t>Si algún comando falla, elimina la variable DATABASE_URL con la línea indicada y cierra la terminal al terminar. Abre SQL Editor en Neon y verifica las tablas con la consulta de la página anterior.</w:t>
      </w:r>
    </w:p>
    <w:p>
      <w:r>
        <w:br w:type="page"/>
      </w:r>
    </w:p>
    <w:p>
      <w:pPr>
        <w:pStyle w:val="Heading1"/>
      </w:pPr>
      <w:r>
        <w:t>6 Crear el proyecto de Vercel</w:t>
      </w:r>
    </w:p>
    <w:p>
      <w:r>
        <w:t>Desde backend ejecuta los siguientes comandos. npx puede pedir permiso para descargar la herramienta Vercel; acepta si el paquete indicado es vercel. El inicio de sesión abrirá el navegador.</w:t>
      </w:r>
    </w:p>
    <w:p>
      <w:pPr>
        <w:spacing w:after="40"/>
      </w:pPr>
      <w:r>
        <w:rPr>
          <w:rFonts w:ascii="Consolas" w:hAnsi="Consolas"/>
          <w:sz w:val="18"/>
        </w:rPr>
        <w:t>Set-Location 'C:\sistema tributario dayanex\backend'</w:t>
      </w:r>
    </w:p>
    <w:p>
      <w:pPr>
        <w:spacing w:after="40"/>
      </w:pPr>
      <w:r>
        <w:rPr>
          <w:rFonts w:ascii="Consolas" w:hAnsi="Consolas"/>
          <w:sz w:val="18"/>
        </w:rPr>
        <w:t>npx.cmd vercel@latest login</w:t>
      </w:r>
    </w:p>
    <w:p>
      <w:pPr>
        <w:spacing w:after="40"/>
      </w:pPr>
      <w:r>
        <w:rPr>
          <w:rFonts w:ascii="Consolas" w:hAnsi="Consolas"/>
          <w:sz w:val="18"/>
        </w:rPr>
        <w:t>npx.cmd vercel@latest link</w:t>
      </w:r>
    </w:p>
    <w:p>
      <w:r>
        <w:t>En las preguntas de link selecciona tu cuenta, elige crear un proyecto nuevo si no existe, escribe un nombre como dayanex y usa ./ como directorio. Estás vinculando backend, no la carpeta completa que contiene los reportes Word.</w:t>
      </w:r>
    </w:p>
    <w:p>
      <w:r>
        <w:t>En el panel de Vercel abre ese proyecto y entra en Settings. Comprueba la detección de NestJS, Node.js 22 y el comando de compilación de vercel.json. No establezcas dist como Output Directory de un sitio estático. Esta aplicación incluye una API.</w:t>
      </w:r>
    </w:p>
    <w:p>
      <w:r>
        <w:t>Abre Settings → Domains y anota el dominio estable asignado al proyecto. Si aún no hay uno, configura un dominio disponible antes de completar CORS_ORIGIN. No supongas que el nombre del proyecto garantiza un dominio específico.</w:t>
      </w:r>
    </w:p>
    <w:p>
      <w:pPr>
        <w:pStyle w:val="Heading1"/>
      </w:pPr>
      <w:r>
        <w:t>7 Agregar las variables</w:t>
      </w:r>
    </w:p>
    <w:p>
      <w:r>
        <w:t>En Settings → Environment Variables añade las siguientes variables para Production. Pega los valores sin comillas exteriores. Los cambios requieren un nuevo despliegue.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tblHeader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before="100" w:after="100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before="100" w:after="100"/>
            </w:pPr>
            <w:r>
              <w:rPr>
                <w:b/>
                <w:sz w:val="20"/>
              </w:rPr>
              <w:t>Valor que debes ingresar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NODE_ENV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production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DATABASE_URL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Conexión de Neon CON pooling, sslmode=require y sslaccept=strict.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JWT_SECRET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Secreto aleatorio generado con el comando inferior.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CORS_ORIGIN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Origen real: https://tu-dominio.vercel.app, sin / final ni rutas.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ALLOW_PUBLIC_REGISTRATION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false al comenzar.</w:t>
            </w:r>
          </w:p>
        </w:tc>
      </w:tr>
    </w:tbl>
    <w:p>
      <w:r>
        <w:t>Genera JWT_SECRET en tu computadora y guárdalo de forma privada. El comando produce 96 caracteres hexadecimales:</w:t>
      </w:r>
    </w:p>
    <w:p>
      <w:pPr>
        <w:spacing w:after="40"/>
      </w:pPr>
      <w:r>
        <w:rPr>
          <w:rFonts w:ascii="Consolas" w:hAnsi="Consolas"/>
          <w:sz w:val="18"/>
        </w:rPr>
        <w:t>node -e "console.log(require('crypto').randomBytes(48).toString('hex'))"</w:t>
      </w:r>
    </w:p>
    <w:p>
      <w:r>
        <w:t>No agregues estas claves al código ni a Flutter. No necesitas configurar PORT ni VERCEL manualmente. Si más adelante usas Preview, configura un entorno y una base separados; no conectes pruebas a datos reales por comodidad.</w:t>
      </w:r>
    </w:p>
    <w:p>
      <w:r>
        <w:br w:type="page"/>
      </w:r>
    </w:p>
    <w:p>
      <w:pPr>
        <w:pStyle w:val="Heading1"/>
      </w:pPr>
      <w:r>
        <w:t>8 Publicar y crear tu primer acceso</w:t>
      </w:r>
    </w:p>
    <w:p>
      <w:r>
        <w:t>Antes de habilitar el registro, entra en Settings → Deployment Protection. Comprueba que la protección elegida cubra también el dominio de producción; la disponibilidad depende del plan. Una protección solo de previews no basta.</w:t>
      </w:r>
    </w:p>
    <w:p>
      <w:r>
        <w:t>Si tu plan no permite proteger producción, mantén ALLOW_PUBLIC_REGISTRATION=false y solicita implementar un alta administrativa controlada antes de crear la primera cuenta en público. No abras el registro para todo Internet como sustituto.</w:t>
      </w:r>
    </w:p>
    <w:p>
      <w:r>
        <w:t>Con las variables guardadas, publica desde backend:</w:t>
      </w:r>
    </w:p>
    <w:p>
      <w:pPr>
        <w:spacing w:after="40"/>
      </w:pPr>
      <w:r>
        <w:rPr>
          <w:rFonts w:ascii="Consolas" w:hAnsi="Consolas"/>
          <w:sz w:val="18"/>
        </w:rPr>
        <w:t>Set-Location 'C:\sistema tributario dayanex\backend'</w:t>
      </w:r>
    </w:p>
    <w:p>
      <w:pPr>
        <w:spacing w:after="40"/>
      </w:pPr>
      <w:r>
        <w:rPr>
          <w:rFonts w:ascii="Consolas" w:hAnsi="Consolas"/>
          <w:sz w:val="18"/>
        </w:rPr>
        <w:t>npx.cmd vercel@latest --prod</w:t>
      </w:r>
    </w:p>
    <w:p>
      <w:r>
        <w:t>En Vercel → Deployments abre el despliegue. Espera el estado Ready. Si falla, abre Build Logs; si compila pero la API falla, revisa los registros de ejecución en Logs. Comparte únicamente el error, ocultando claves y conexiones.</w:t>
      </w:r>
    </w:p>
    <w:p>
      <w:r>
        <w:t>Abre tu dominio por HTTPS y luego /api/health. Tras pasar la protección de Vercel, la API debe responder con status igual a ok y database igual a connected. Comprueba también que cargue la pantalla de inicio de sesión.</w:t>
      </w:r>
    </w:p>
    <w:p>
      <w:pPr>
        <w:pStyle w:val="Heading1"/>
      </w:pPr>
      <w:r>
        <w:t>Crear la cuenta bajo protección</w:t>
      </w:r>
    </w:p>
    <w:p>
      <w:r>
        <w:t>1. Comprueba en una ventana privada, sin sesión de Vercel, que el despliegue está bloqueado para visitantes. Solo entonces cambia ALLOW_PUBLIC_REGISTRATION a true y vuelve a ejecutar el despliegue.</w:t>
      </w:r>
    </w:p>
    <w:p>
      <w:r>
        <w:t>2. Accede tú con la autorización de Vercel, abre el registro de la aplicación y crea tu cuenta con una contraseña única de al menos 12 caracteres. La cuenta de Vercel y la de Dayanex son distintas.</w:t>
      </w:r>
    </w:p>
    <w:p>
      <w:r>
        <w:t>3. Cambia ALLOW_PUBLIC_REGISTRATION a false y despliega nuevamente. Verifica que un registro nuevo sea rechazado con 403 y que puedas iniciar sesión con la cuenta creada.</w:t>
      </w:r>
    </w:p>
    <w:p>
      <w:r>
        <w:t>4. Conserva la protección mientras validas las funciones. Revisa y retira los despliegues anteriores que mantengan el registro habilitado antes de quitar la protección: cambiar una variable no modifica versiones ya publicadas.</w:t>
      </w:r>
    </w:p>
    <w:p>
      <w:pPr>
        <w:pStyle w:val="Heading1"/>
      </w:pPr>
      <w:r>
        <w:t>HTTPS y estado de la aplicación</w:t>
      </w:r>
    </w:p>
    <w:p>
      <w:r>
        <w:t>Vercel administra HTTPS para sus dominios. Si añades un dominio propio, configura sus DNS según Settings → Domains y espera que quede verificado; actualiza CORS_ORIGIN y despliega otra vez.</w:t>
      </w:r>
    </w:p>
    <w:p>
      <w:r>
        <w:t>NODE_ENV=production activa controles del servidor, pero no cambia el ambiente del SRI. Antes de usar datos tributarios reales faltan la validación funcional en la nube, la revisión de dependencias y la validación de los procesos fiscales pendientes.</w:t>
      </w:r>
    </w:p>
    <w:p>
      <w:r>
        <w:br w:type="page"/>
      </w:r>
    </w:p>
    <w:p>
      <w:pPr>
        <w:pStyle w:val="Heading1"/>
      </w:pPr>
      <w:r>
        <w:t>9 Resolver errores y mantener la publicación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tblHeader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before="100" w:after="100"/>
            </w:pPr>
            <w:r>
              <w:rPr>
                <w:b/>
                <w:sz w:val="20"/>
              </w:rPr>
              <w:t>Qué ocurre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pPr>
              <w:spacing w:before="100" w:after="100"/>
            </w:pPr>
            <w:r>
              <w:rPr>
                <w:b/>
                <w:sz w:val="20"/>
              </w:rPr>
              <w:t>Qué revisar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Error de PostgreSQL o TLS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DATABASE_URL de Production debe ser la de Neon, con sslmode=require y sslaccept=strict. Nunca localhost.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Faltan tablas o permisos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Ejecuta db:deploy y seed con la conexión directa a la misma rama y base.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Error de JWT_SECRET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Usa el secreto aleatorio real de al menos 48 caracteres y vuelve a desplegar.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Página vacía o no encontrada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Verifica backend/public/index.html, repite la compilación y copia de Flutter, y publica desde backend.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Error CORS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Usa el origen HTTPS exacto desde el que accedes, sin barra final. Actualiza y despliega.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Registro responde 403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Es lo esperado con registro cerrado. Sigue el procedimiento protegido del paso 8.</w:t>
            </w:r>
          </w:p>
        </w:tc>
      </w:tr>
      <w:t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Vercel solicita acceso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Puede ser Deployment Protection, independiente del inicio de sesión de Dayanex.</w:t>
            </w:r>
          </w:p>
        </w:tc>
      </w:tr>
    </w:tbl>
    <w:p>
      <w:pPr>
        <w:pStyle w:val="Heading1"/>
      </w:pPr>
      <w:r>
        <w:t>Actualizar y respaldar</w:t>
      </w:r>
    </w:p>
    <w:p>
      <w:r>
        <w:t>Para publicar cambios, repite la compilación del backend y de Flutter, la copia a public y vercel --prod. Si hay migraciones nuevas, respalda primero la base y revisa su impacto antes de ejecutar db:deploy. Un rollback del código no revierte cambios de la base.</w:t>
      </w:r>
    </w:p>
    <w:p>
      <w:r>
        <w:t>En Neon revisa las opciones de restauración y su retención según tu plan. Define copias periódicas y prueba una restauración en una base separada. Revisa el cifrado en reposo y los controles de acceso ofrecidos por el proveedor; HTTPS por sí solo no cifra todos los datos almacenados.</w:t>
      </w:r>
    </w:p>
    <w:p>
      <w:r>
        <w:t>Mantén las cuentas con segundo factor, limita quién accede a Neon y Vercel, y revisa errores y consumo. Hay dependencias y procesos SRI pendientes de revisión; no presentes esta publicación como certificada o invulnerable.</w:t>
      </w:r>
    </w:p>
    <w:p>
      <w:pPr>
        <w:pStyle w:val="Heading1"/>
      </w:pPr>
      <w:r>
        <w:t>Fuentes y comprobación final</w:t>
      </w:r>
    </w:p>
    <w:p>
      <w:r>
        <w:t>Documentación oficial consultada el 25 de octubre de 2026. Los nombres de los menús pueden variar:</w:t>
      </w:r>
    </w:p>
    <w:p>
      <w:pPr>
        <w:spacing w:after="60"/>
      </w:pPr>
      <w:r>
        <w:rPr>
          <w:sz w:val="18"/>
        </w:rPr>
        <w:t>https://neon.com/docs/get-started/signing-up</w:t>
      </w:r>
    </w:p>
    <w:p>
      <w:pPr>
        <w:spacing w:after="60"/>
      </w:pPr>
      <w:r>
        <w:rPr>
          <w:sz w:val="18"/>
        </w:rPr>
        <w:t>https://neon.com/docs/connect/connect-from-any-app</w:t>
      </w:r>
    </w:p>
    <w:p>
      <w:pPr>
        <w:spacing w:after="60"/>
      </w:pPr>
      <w:r>
        <w:rPr>
          <w:sz w:val="18"/>
        </w:rPr>
        <w:t>https://vercel.com/docs/frameworks/backend/nestjs</w:t>
      </w:r>
    </w:p>
    <w:p>
      <w:pPr>
        <w:spacing w:after="60"/>
      </w:pPr>
      <w:r>
        <w:rPr>
          <w:sz w:val="18"/>
        </w:rPr>
        <w:t>https://vercel.com/docs/environment-variables</w:t>
      </w:r>
    </w:p>
    <w:p>
      <w:pPr>
        <w:spacing w:after="60"/>
      </w:pPr>
      <w:r>
        <w:rPr>
          <w:sz w:val="18"/>
        </w:rPr>
        <w:t>https://vercel.com/docs/deployment-protection</w:t>
      </w:r>
    </w:p>
    <w:p>
      <w:pPr>
        <w:spacing w:after="60"/>
      </w:pPr>
      <w:r>
        <w:rPr>
          <w:sz w:val="18"/>
        </w:rPr>
        <w:t>https://vercel.com/docs/cdn-security/encryption</w:t>
      </w:r>
    </w:p>
    <w:p>
      <w:r>
        <w:t>Comprobación final: despliegue Ready, interfaz visible, health conectado, acceso verificado, registro cerrado, secretos privados y restauración prevista. Esta guía prepara el proceso; no confirma que tus cuentas o servicios ya estén creados.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Guía preparada el 25 de octubre de 2026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DAYANEX   |   Guía de publicación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