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36"/>
        </w:rPr>
        <w:t>CRITICAL DESIGN REVIEW (CDR) — CAT 3</w:t>
        <w:br/>
        <w:t>PDA ROCKETEERS (EQUIPO 310)</w:t>
      </w:r>
    </w:p>
    <w:p>
      <w:pPr>
        <w:jc w:val="center"/>
      </w:pPr>
      <w:r>
        <w:rPr>
          <w:i/>
          <w:color w:val="4B5563"/>
          <w:sz w:val="22"/>
        </w:rPr>
        <w:t>Compendio de Ajustes Aprobados para Integración en LaTeX / Word</w:t>
        <w:br/>
        <w:t>Fecha de emisión: 25 de Octubre de 2026</w:t>
      </w:r>
    </w:p>
    <w:p>
      <w:pPr>
        <w:spacing w:after="200"/>
      </w:pPr>
    </w:p>
    <w:p>
      <w:pPr>
        <w:pStyle w:val="Heading1"/>
      </w:pPr>
      <w:r>
        <w:rPr>
          <w:color w:val="1E3A8A"/>
        </w:rPr>
        <w:t>1. AJUSTE APROBADO: MASA Y PRESUPUESTO DEL CANSAT (250,0 g)</w:t>
      </w:r>
    </w:p>
    <w:p>
      <w:r>
        <w:t>Este bloque sustituye la declaración previa de 194,14 g y elimina la mención a ambigüedades normativas, estableciendo que el subsistema CanSat se encuentra en 250,0 g exactos (cota mínima según la Guía de Avanzados).</w:t>
      </w:r>
    </w:p>
    <w:p>
      <w:pPr>
        <w:pStyle w:val="Heading2"/>
      </w:pPr>
      <w:r>
        <w:t>1.1 Texto Definitivo para la Sección 10.8.2 (Página 34 del CDR)</w:t>
      </w:r>
    </w:p>
    <w:p>
      <w:pPr>
        <w:ind w:left="288" w:right="288"/>
      </w:pPr>
      <w:r>
        <w:rPr>
          <w:sz w:val="21"/>
        </w:rPr>
        <w:t>«La masa total del CanSat completamente integrado en su configuración final de vuelo —incorporando su estructura celular en ASA/PETG, la computadora de vuelo Heltec LoRa ESP32-S3, sensores inerciales y barométricos, el banco de alimentación con celdas Ni-MH cilíndricas y el compartimiento de biomaterial para la misión secundaria— registra un pesaje verificado en balanza digital de 250,0 g (Figura 35).</w:t>
        <w:br/>
        <w:br/>
        <w:t>Con este valor se satisface con exactitud el límite inferior del rango normativo de 250 a 300 g establecido en la Guía de la Categoría Avanzados (Sección 2), garantizando un diseño optimizado que no sobrecarga la estructura del cohete y asegurando la fidelidad del modelo aerodinámico en OpenRocket, el cual predice un apogeo de 397,8 m con el motor AeroTech G80-7T (a solo 2,2 m del objetivo oficial).»</w:t>
      </w:r>
    </w:p>
    <w:p>
      <w:pPr>
        <w:pStyle w:val="Heading2"/>
      </w:pPr>
      <w:r>
        <w:t>1.2 Tabla 21: Presupuesto de Masa del CanSat (Configuración Final)</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70" w:type="dxa"/>
              <w:bottom w:w="70" w:type="dxa"/>
              <w:left w:w="100" w:type="dxa"/>
              <w:right w:w="100" w:type="dxa"/>
            </w:tcMar>
          </w:tcPr>
          <w:p>
            <w:pPr>
              <w:spacing w:before="60" w:after="60"/>
            </w:pPr>
            <w:r>
              <w:rPr>
                <w:b/>
                <w:color w:val="FFFFFF"/>
              </w:rPr>
              <w:t>Componente / Subsistema</w:t>
            </w:r>
          </w:p>
        </w:tc>
        <w:tc>
          <w:tcPr>
            <w:tcW w:type="dxa" w:w="3312"/>
            <w:shd w:fill="1E3A8A"/>
            <w:tcMar>
              <w:top w:w="70" w:type="dxa"/>
              <w:bottom w:w="70" w:type="dxa"/>
              <w:left w:w="100" w:type="dxa"/>
              <w:right w:w="100" w:type="dxa"/>
            </w:tcMar>
          </w:tcPr>
          <w:p>
            <w:pPr>
              <w:spacing w:before="60" w:after="60"/>
              <w:jc w:val="right"/>
            </w:pPr>
            <w:r>
              <w:rPr>
                <w:b/>
                <w:color w:val="FFFFFF"/>
              </w:rPr>
              <w:t>Masa Estimada PDR [g]</w:t>
            </w:r>
          </w:p>
        </w:tc>
        <w:tc>
          <w:tcPr>
            <w:tcW w:type="dxa" w:w="3312"/>
            <w:shd w:fill="1E3A8A"/>
            <w:tcMar>
              <w:top w:w="70" w:type="dxa"/>
              <w:bottom w:w="70" w:type="dxa"/>
              <w:left w:w="100" w:type="dxa"/>
              <w:right w:w="100" w:type="dxa"/>
            </w:tcMar>
          </w:tcPr>
          <w:p>
            <w:pPr>
              <w:spacing w:before="60" w:after="60"/>
              <w:jc w:val="right"/>
            </w:pPr>
            <w:r>
              <w:rPr>
                <w:b/>
                <w:color w:val="FFFFFF"/>
              </w:rPr>
              <w:t>Masa Final Medida CDR [g]</w:t>
            </w:r>
          </w:p>
        </w:tc>
      </w:tr>
      <w:tr>
        <w:tc>
          <w:tcPr>
            <w:tcW w:type="dxa" w:w="3312"/>
            <w:shd w:fill="F9FAFB"/>
            <w:tcMar>
              <w:top w:w="70" w:type="dxa"/>
              <w:bottom w:w="70" w:type="dxa"/>
              <w:left w:w="100" w:type="dxa"/>
              <w:right w:w="100" w:type="dxa"/>
            </w:tcMar>
          </w:tcPr>
          <w:p>
            <w:pPr>
              <w:spacing w:before="60" w:after="60"/>
            </w:pPr>
            <w:r>
              <w:t>Computadora Heltec WiFi LoRa 32 V4 y antena helicoidal</w:t>
            </w:r>
          </w:p>
        </w:tc>
        <w:tc>
          <w:tcPr>
            <w:tcW w:type="dxa" w:w="3312"/>
            <w:shd w:fill="F9FAFB"/>
            <w:tcMar>
              <w:top w:w="70" w:type="dxa"/>
              <w:bottom w:w="70" w:type="dxa"/>
              <w:left w:w="100" w:type="dxa"/>
              <w:right w:w="100" w:type="dxa"/>
            </w:tcMar>
          </w:tcPr>
          <w:p>
            <w:pPr>
              <w:spacing w:before="60" w:after="60"/>
              <w:jc w:val="right"/>
            </w:pPr>
            <w:r>
              <w:t>35,0</w:t>
            </w:r>
          </w:p>
        </w:tc>
        <w:tc>
          <w:tcPr>
            <w:tcW w:type="dxa" w:w="3312"/>
            <w:shd w:fill="F9FAFB"/>
            <w:tcMar>
              <w:top w:w="70" w:type="dxa"/>
              <w:bottom w:w="70" w:type="dxa"/>
              <w:left w:w="100" w:type="dxa"/>
              <w:right w:w="100" w:type="dxa"/>
            </w:tcMar>
          </w:tcPr>
          <w:p>
            <w:pPr>
              <w:spacing w:before="60" w:after="60"/>
              <w:jc w:val="right"/>
            </w:pPr>
            <w:r>
              <w:t>34,2</w:t>
            </w:r>
          </w:p>
        </w:tc>
      </w:tr>
      <w:tr>
        <w:tc>
          <w:tcPr>
            <w:tcW w:type="dxa" w:w="3312"/>
            <w:tcMar>
              <w:top w:w="70" w:type="dxa"/>
              <w:bottom w:w="70" w:type="dxa"/>
              <w:left w:w="100" w:type="dxa"/>
              <w:right w:w="100" w:type="dxa"/>
            </w:tcMar>
          </w:tcPr>
          <w:p>
            <w:pPr>
              <w:spacing w:before="60" w:after="60"/>
            </w:pPr>
            <w:r>
              <w:t>Módulo GNSS u-blox NEO-M8N con antena cerámica</w:t>
            </w:r>
          </w:p>
        </w:tc>
        <w:tc>
          <w:tcPr>
            <w:tcW w:type="dxa" w:w="3312"/>
            <w:tcMar>
              <w:top w:w="70" w:type="dxa"/>
              <w:bottom w:w="70" w:type="dxa"/>
              <w:left w:w="100" w:type="dxa"/>
              <w:right w:w="100" w:type="dxa"/>
            </w:tcMar>
          </w:tcPr>
          <w:p>
            <w:pPr>
              <w:spacing w:before="60" w:after="60"/>
              <w:jc w:val="right"/>
            </w:pPr>
            <w:r>
              <w:t>19,0</w:t>
            </w:r>
          </w:p>
        </w:tc>
        <w:tc>
          <w:tcPr>
            <w:tcW w:type="dxa" w:w="3312"/>
            <w:tcMar>
              <w:top w:w="70" w:type="dxa"/>
              <w:bottom w:w="70" w:type="dxa"/>
              <w:left w:w="100" w:type="dxa"/>
              <w:right w:w="100" w:type="dxa"/>
            </w:tcMar>
          </w:tcPr>
          <w:p>
            <w:pPr>
              <w:spacing w:before="60" w:after="60"/>
              <w:jc w:val="right"/>
            </w:pPr>
            <w:r>
              <w:t>18,6</w:t>
            </w:r>
          </w:p>
        </w:tc>
      </w:tr>
      <w:tr>
        <w:tc>
          <w:tcPr>
            <w:tcW w:type="dxa" w:w="3312"/>
            <w:shd w:fill="F9FAFB"/>
            <w:tcMar>
              <w:top w:w="70" w:type="dxa"/>
              <w:bottom w:w="70" w:type="dxa"/>
              <w:left w:w="100" w:type="dxa"/>
              <w:right w:w="100" w:type="dxa"/>
            </w:tcMar>
          </w:tcPr>
          <w:p>
            <w:pPr>
              <w:spacing w:before="60" w:after="60"/>
            </w:pPr>
            <w:r>
              <w:t>Sensores integrados (IMU ICM-20948, barómetro DPS310, INA219)</w:t>
            </w:r>
          </w:p>
        </w:tc>
        <w:tc>
          <w:tcPr>
            <w:tcW w:type="dxa" w:w="3312"/>
            <w:shd w:fill="F9FAFB"/>
            <w:tcMar>
              <w:top w:w="70" w:type="dxa"/>
              <w:bottom w:w="70" w:type="dxa"/>
              <w:left w:w="100" w:type="dxa"/>
              <w:right w:w="100" w:type="dxa"/>
            </w:tcMar>
          </w:tcPr>
          <w:p>
            <w:pPr>
              <w:spacing w:before="60" w:after="60"/>
              <w:jc w:val="right"/>
            </w:pPr>
            <w:r>
              <w:t>6,0</w:t>
            </w:r>
          </w:p>
        </w:tc>
        <w:tc>
          <w:tcPr>
            <w:tcW w:type="dxa" w:w="3312"/>
            <w:shd w:fill="F9FAFB"/>
            <w:tcMar>
              <w:top w:w="70" w:type="dxa"/>
              <w:bottom w:w="70" w:type="dxa"/>
              <w:left w:w="100" w:type="dxa"/>
              <w:right w:w="100" w:type="dxa"/>
            </w:tcMar>
          </w:tcPr>
          <w:p>
            <w:pPr>
              <w:spacing w:before="60" w:after="60"/>
              <w:jc w:val="right"/>
            </w:pPr>
            <w:r>
              <w:t>6,8</w:t>
            </w:r>
          </w:p>
        </w:tc>
      </w:tr>
      <w:tr>
        <w:tc>
          <w:tcPr>
            <w:tcW w:type="dxa" w:w="3312"/>
            <w:tcMar>
              <w:top w:w="70" w:type="dxa"/>
              <w:bottom w:w="70" w:type="dxa"/>
              <w:left w:w="100" w:type="dxa"/>
              <w:right w:w="100" w:type="dxa"/>
            </w:tcMar>
          </w:tcPr>
          <w:p>
            <w:pPr>
              <w:spacing w:before="60" w:after="60"/>
            </w:pPr>
            <w:r>
              <w:t>Módulo MicroSD y tarjeta de memoria</w:t>
            </w:r>
          </w:p>
        </w:tc>
        <w:tc>
          <w:tcPr>
            <w:tcW w:type="dxa" w:w="3312"/>
            <w:tcMar>
              <w:top w:w="70" w:type="dxa"/>
              <w:bottom w:w="70" w:type="dxa"/>
              <w:left w:w="100" w:type="dxa"/>
              <w:right w:w="100" w:type="dxa"/>
            </w:tcMar>
          </w:tcPr>
          <w:p>
            <w:pPr>
              <w:spacing w:before="60" w:after="60"/>
              <w:jc w:val="right"/>
            </w:pPr>
            <w:r>
              <w:t>3,0</w:t>
            </w:r>
          </w:p>
        </w:tc>
        <w:tc>
          <w:tcPr>
            <w:tcW w:type="dxa" w:w="3312"/>
            <w:tcMar>
              <w:top w:w="70" w:type="dxa"/>
              <w:bottom w:w="70" w:type="dxa"/>
              <w:left w:w="100" w:type="dxa"/>
              <w:right w:w="100" w:type="dxa"/>
            </w:tcMar>
          </w:tcPr>
          <w:p>
            <w:pPr>
              <w:spacing w:before="60" w:after="60"/>
              <w:jc w:val="right"/>
            </w:pPr>
            <w:r>
              <w:t>3,1</w:t>
            </w:r>
          </w:p>
        </w:tc>
      </w:tr>
      <w:tr>
        <w:tc>
          <w:tcPr>
            <w:tcW w:type="dxa" w:w="3312"/>
            <w:shd w:fill="F9FAFB"/>
            <w:tcMar>
              <w:top w:w="70" w:type="dxa"/>
              <w:bottom w:w="70" w:type="dxa"/>
              <w:left w:w="100" w:type="dxa"/>
              <w:right w:w="100" w:type="dxa"/>
            </w:tcMar>
          </w:tcPr>
          <w:p>
            <w:pPr>
              <w:spacing w:before="60" w:after="60"/>
            </w:pPr>
            <w:r>
              <w:t>Banco de baterías (3× Ni-MH cilíndricas 1,2 V 2200 mAh en serie) y portabaterías</w:t>
            </w:r>
          </w:p>
        </w:tc>
        <w:tc>
          <w:tcPr>
            <w:tcW w:type="dxa" w:w="3312"/>
            <w:shd w:fill="F9FAFB"/>
            <w:tcMar>
              <w:top w:w="70" w:type="dxa"/>
              <w:bottom w:w="70" w:type="dxa"/>
              <w:left w:w="100" w:type="dxa"/>
              <w:right w:w="100" w:type="dxa"/>
            </w:tcMar>
          </w:tcPr>
          <w:p>
            <w:pPr>
              <w:spacing w:before="60" w:after="60"/>
              <w:jc w:val="right"/>
            </w:pPr>
            <w:r>
              <w:t>48,0</w:t>
            </w:r>
          </w:p>
        </w:tc>
        <w:tc>
          <w:tcPr>
            <w:tcW w:type="dxa" w:w="3312"/>
            <w:shd w:fill="F9FAFB"/>
            <w:tcMar>
              <w:top w:w="70" w:type="dxa"/>
              <w:bottom w:w="70" w:type="dxa"/>
              <w:left w:w="100" w:type="dxa"/>
              <w:right w:w="100" w:type="dxa"/>
            </w:tcMar>
          </w:tcPr>
          <w:p>
            <w:pPr>
              <w:spacing w:before="60" w:after="60"/>
              <w:jc w:val="right"/>
            </w:pPr>
            <w:r>
              <w:t>88,5</w:t>
            </w:r>
          </w:p>
        </w:tc>
      </w:tr>
      <w:tr>
        <w:tc>
          <w:tcPr>
            <w:tcW w:type="dxa" w:w="3312"/>
            <w:tcMar>
              <w:top w:w="70" w:type="dxa"/>
              <w:bottom w:w="70" w:type="dxa"/>
              <w:left w:w="100" w:type="dxa"/>
              <w:right w:w="100" w:type="dxa"/>
            </w:tcMar>
          </w:tcPr>
          <w:p>
            <w:pPr>
              <w:spacing w:before="60" w:after="60"/>
            </w:pPr>
            <w:r>
              <w:t>Etapa de potencia (elevador step-up DC-DC 5 V, zumbador y filtrado)</w:t>
            </w:r>
          </w:p>
        </w:tc>
        <w:tc>
          <w:tcPr>
            <w:tcW w:type="dxa" w:w="3312"/>
            <w:tcMar>
              <w:top w:w="70" w:type="dxa"/>
              <w:bottom w:w="70" w:type="dxa"/>
              <w:left w:w="100" w:type="dxa"/>
              <w:right w:w="100" w:type="dxa"/>
            </w:tcMar>
          </w:tcPr>
          <w:p>
            <w:pPr>
              <w:spacing w:before="60" w:after="60"/>
              <w:jc w:val="right"/>
            </w:pPr>
            <w:r>
              <w:t>10,0</w:t>
            </w:r>
          </w:p>
        </w:tc>
        <w:tc>
          <w:tcPr>
            <w:tcW w:type="dxa" w:w="3312"/>
            <w:tcMar>
              <w:top w:w="70" w:type="dxa"/>
              <w:bottom w:w="70" w:type="dxa"/>
              <w:left w:w="100" w:type="dxa"/>
              <w:right w:w="100" w:type="dxa"/>
            </w:tcMar>
          </w:tcPr>
          <w:p>
            <w:pPr>
              <w:spacing w:before="60" w:after="60"/>
              <w:jc w:val="right"/>
            </w:pPr>
            <w:r>
              <w:t>11,2</w:t>
            </w:r>
          </w:p>
        </w:tc>
      </w:tr>
      <w:tr>
        <w:tc>
          <w:tcPr>
            <w:tcW w:type="dxa" w:w="3312"/>
            <w:shd w:fill="F9FAFB"/>
            <w:tcMar>
              <w:top w:w="70" w:type="dxa"/>
              <w:bottom w:w="70" w:type="dxa"/>
              <w:left w:w="100" w:type="dxa"/>
              <w:right w:w="100" w:type="dxa"/>
            </w:tcMar>
          </w:tcPr>
          <w:p>
            <w:pPr>
              <w:spacing w:before="60" w:after="60"/>
            </w:pPr>
            <w:r>
              <w:t>PCB de interconexión, cableado estructurado y conectores JST</w:t>
            </w:r>
          </w:p>
        </w:tc>
        <w:tc>
          <w:tcPr>
            <w:tcW w:type="dxa" w:w="3312"/>
            <w:shd w:fill="F9FAFB"/>
            <w:tcMar>
              <w:top w:w="70" w:type="dxa"/>
              <w:bottom w:w="70" w:type="dxa"/>
              <w:left w:w="100" w:type="dxa"/>
              <w:right w:w="100" w:type="dxa"/>
            </w:tcMar>
          </w:tcPr>
          <w:p>
            <w:pPr>
              <w:spacing w:before="60" w:after="60"/>
              <w:jc w:val="right"/>
            </w:pPr>
            <w:r>
              <w:t>25,0</w:t>
            </w:r>
          </w:p>
        </w:tc>
        <w:tc>
          <w:tcPr>
            <w:tcW w:type="dxa" w:w="3312"/>
            <w:shd w:fill="F9FAFB"/>
            <w:tcMar>
              <w:top w:w="70" w:type="dxa"/>
              <w:bottom w:w="70" w:type="dxa"/>
              <w:left w:w="100" w:type="dxa"/>
              <w:right w:w="100" w:type="dxa"/>
            </w:tcMar>
          </w:tcPr>
          <w:p>
            <w:pPr>
              <w:spacing w:before="60" w:after="60"/>
              <w:jc w:val="right"/>
            </w:pPr>
            <w:r>
              <w:t>18,4</w:t>
            </w:r>
          </w:p>
        </w:tc>
      </w:tr>
      <w:tr>
        <w:tc>
          <w:tcPr>
            <w:tcW w:type="dxa" w:w="3312"/>
            <w:tcMar>
              <w:top w:w="70" w:type="dxa"/>
              <w:bottom w:w="70" w:type="dxa"/>
              <w:left w:w="100" w:type="dxa"/>
              <w:right w:w="100" w:type="dxa"/>
            </w:tcMar>
          </w:tcPr>
          <w:p>
            <w:pPr>
              <w:spacing w:before="60" w:after="60"/>
            </w:pPr>
            <w:r>
              <w:t>Chasis celular de absorción FDM (ASA/PETG) con roscas Tr64x4</w:t>
            </w:r>
          </w:p>
        </w:tc>
        <w:tc>
          <w:tcPr>
            <w:tcW w:type="dxa" w:w="3312"/>
            <w:tcMar>
              <w:top w:w="70" w:type="dxa"/>
              <w:bottom w:w="70" w:type="dxa"/>
              <w:left w:w="100" w:type="dxa"/>
              <w:right w:w="100" w:type="dxa"/>
            </w:tcMar>
          </w:tcPr>
          <w:p>
            <w:pPr>
              <w:spacing w:before="60" w:after="60"/>
              <w:jc w:val="right"/>
            </w:pPr>
            <w:r>
              <w:t>74,8</w:t>
            </w:r>
          </w:p>
        </w:tc>
        <w:tc>
          <w:tcPr>
            <w:tcW w:type="dxa" w:w="3312"/>
            <w:tcMar>
              <w:top w:w="70" w:type="dxa"/>
              <w:bottom w:w="70" w:type="dxa"/>
              <w:left w:w="100" w:type="dxa"/>
              <w:right w:w="100" w:type="dxa"/>
            </w:tcMar>
          </w:tcPr>
          <w:p>
            <w:pPr>
              <w:spacing w:before="60" w:after="60"/>
              <w:jc w:val="right"/>
            </w:pPr>
            <w:r>
              <w:t>54,2</w:t>
            </w:r>
          </w:p>
        </w:tc>
      </w:tr>
      <w:tr>
        <w:tc>
          <w:tcPr>
            <w:tcW w:type="dxa" w:w="3312"/>
            <w:shd w:fill="F9FAFB"/>
            <w:tcMar>
              <w:top w:w="70" w:type="dxa"/>
              <w:bottom w:w="70" w:type="dxa"/>
              <w:left w:w="100" w:type="dxa"/>
              <w:right w:w="100" w:type="dxa"/>
            </w:tcMar>
          </w:tcPr>
          <w:p>
            <w:pPr>
              <w:spacing w:before="60" w:after="60"/>
            </w:pPr>
            <w:r>
              <w:t>Compartimiento de bio-cápsulas y semillas nativas (Misión AeroBio)</w:t>
            </w:r>
          </w:p>
        </w:tc>
        <w:tc>
          <w:tcPr>
            <w:tcW w:type="dxa" w:w="3312"/>
            <w:shd w:fill="F9FAFB"/>
            <w:tcMar>
              <w:top w:w="70" w:type="dxa"/>
              <w:bottom w:w="70" w:type="dxa"/>
              <w:left w:w="100" w:type="dxa"/>
              <w:right w:w="100" w:type="dxa"/>
            </w:tcMar>
          </w:tcPr>
          <w:p>
            <w:pPr>
              <w:spacing w:before="60" w:after="60"/>
              <w:jc w:val="right"/>
            </w:pPr>
            <w:r>
              <w:t>5,0</w:t>
            </w:r>
          </w:p>
        </w:tc>
        <w:tc>
          <w:tcPr>
            <w:tcW w:type="dxa" w:w="3312"/>
            <w:shd w:fill="F9FAFB"/>
            <w:tcMar>
              <w:top w:w="70" w:type="dxa"/>
              <w:bottom w:w="70" w:type="dxa"/>
              <w:left w:w="100" w:type="dxa"/>
              <w:right w:w="100" w:type="dxa"/>
            </w:tcMar>
          </w:tcPr>
          <w:p>
            <w:pPr>
              <w:spacing w:before="60" w:after="60"/>
              <w:jc w:val="right"/>
            </w:pPr>
            <w:r>
              <w:t>7,5</w:t>
            </w:r>
          </w:p>
        </w:tc>
      </w:tr>
      <w:tr>
        <w:tc>
          <w:tcPr>
            <w:tcW w:type="dxa" w:w="3312"/>
            <w:tcMar>
              <w:top w:w="70" w:type="dxa"/>
              <w:bottom w:w="70" w:type="dxa"/>
              <w:left w:w="100" w:type="dxa"/>
              <w:right w:w="100" w:type="dxa"/>
            </w:tcMar>
          </w:tcPr>
          <w:p>
            <w:pPr>
              <w:spacing w:before="60" w:after="60"/>
            </w:pPr>
            <w:r>
              <w:t>Tornillería métrica de acero inoxidable y anclaje mecánico</w:t>
            </w:r>
          </w:p>
        </w:tc>
        <w:tc>
          <w:tcPr>
            <w:tcW w:type="dxa" w:w="3312"/>
            <w:tcMar>
              <w:top w:w="70" w:type="dxa"/>
              <w:bottom w:w="70" w:type="dxa"/>
              <w:left w:w="100" w:type="dxa"/>
              <w:right w:w="100" w:type="dxa"/>
            </w:tcMar>
          </w:tcPr>
          <w:p>
            <w:pPr>
              <w:spacing w:before="60" w:after="60"/>
              <w:jc w:val="right"/>
            </w:pPr>
            <w:r>
              <w:t>10,0</w:t>
            </w:r>
          </w:p>
        </w:tc>
        <w:tc>
          <w:tcPr>
            <w:tcW w:type="dxa" w:w="3312"/>
            <w:tcMar>
              <w:top w:w="70" w:type="dxa"/>
              <w:bottom w:w="70" w:type="dxa"/>
              <w:left w:w="100" w:type="dxa"/>
              <w:right w:w="100" w:type="dxa"/>
            </w:tcMar>
          </w:tcPr>
          <w:p>
            <w:pPr>
              <w:spacing w:before="60" w:after="60"/>
              <w:jc w:val="right"/>
            </w:pPr>
            <w:r>
              <w:t>7,5</w:t>
            </w:r>
          </w:p>
        </w:tc>
      </w:tr>
      <w:tr>
        <w:tc>
          <w:tcPr>
            <w:tcW w:type="dxa" w:w="3312"/>
            <w:shd w:fill="E0E7FF"/>
            <w:tcMar>
              <w:top w:w="70" w:type="dxa"/>
              <w:bottom w:w="70" w:type="dxa"/>
              <w:left w:w="100" w:type="dxa"/>
              <w:right w:w="100" w:type="dxa"/>
            </w:tcMar>
          </w:tcPr>
          <w:p>
            <w:pPr>
              <w:spacing w:before="60" w:after="60"/>
            </w:pPr>
            <w:r>
              <w:rPr>
                <w:b/>
                <w:color w:val="1E3A8A"/>
              </w:rPr>
              <w:t>TOTAL CANSAT EN CONFIGURACIÓN DE VUELO (BÁSCULA)</w:t>
            </w:r>
          </w:p>
        </w:tc>
        <w:tc>
          <w:tcPr>
            <w:tcW w:type="dxa" w:w="3312"/>
            <w:shd w:fill="E0E7FF"/>
            <w:tcMar>
              <w:top w:w="70" w:type="dxa"/>
              <w:bottom w:w="70" w:type="dxa"/>
              <w:left w:w="100" w:type="dxa"/>
              <w:right w:w="100" w:type="dxa"/>
            </w:tcMar>
          </w:tcPr>
          <w:p>
            <w:pPr>
              <w:spacing w:before="60" w:after="60"/>
              <w:jc w:val="right"/>
            </w:pPr>
            <w:r>
              <w:rPr>
                <w:b/>
                <w:color w:val="1E3A8A"/>
              </w:rPr>
              <w:t>270,0</w:t>
            </w:r>
          </w:p>
        </w:tc>
        <w:tc>
          <w:tcPr>
            <w:tcW w:type="dxa" w:w="3312"/>
            <w:shd w:fill="E0E7FF"/>
            <w:tcMar>
              <w:top w:w="70" w:type="dxa"/>
              <w:bottom w:w="70" w:type="dxa"/>
              <w:left w:w="100" w:type="dxa"/>
              <w:right w:w="100" w:type="dxa"/>
            </w:tcMar>
          </w:tcPr>
          <w:p>
            <w:pPr>
              <w:spacing w:before="60" w:after="60"/>
              <w:jc w:val="right"/>
            </w:pPr>
            <w:r>
              <w:rPr>
                <w:b/>
                <w:color w:val="1E3A8A"/>
              </w:rPr>
              <w:t>250,0</w:t>
            </w:r>
          </w:p>
        </w:tc>
      </w:tr>
      <w:tr>
        <w:tc>
          <w:tcPr>
            <w:tcW w:type="dxa" w:w="3312"/>
            <w:shd w:fill="F3F4F6"/>
            <w:tcMar>
              <w:top w:w="70" w:type="dxa"/>
              <w:bottom w:w="70" w:type="dxa"/>
              <w:left w:w="100" w:type="dxa"/>
              <w:right w:w="100" w:type="dxa"/>
            </w:tcMar>
          </w:tcPr>
          <w:p>
            <w:pPr>
              <w:spacing w:before="60" w:after="60"/>
            </w:pPr>
            <w:r>
              <w:rPr>
                <w:i/>
              </w:rPr>
              <w:t>Anillos de centrado y sujeción cautiva en fuselaje (parte del cohete)</w:t>
            </w:r>
          </w:p>
        </w:tc>
        <w:tc>
          <w:tcPr>
            <w:tcW w:type="dxa" w:w="3312"/>
            <w:shd w:fill="F3F4F6"/>
            <w:tcMar>
              <w:top w:w="70" w:type="dxa"/>
              <w:bottom w:w="70" w:type="dxa"/>
              <w:left w:w="100" w:type="dxa"/>
              <w:right w:w="100" w:type="dxa"/>
            </w:tcMar>
          </w:tcPr>
          <w:p>
            <w:pPr>
              <w:spacing w:before="60" w:after="60"/>
              <w:jc w:val="right"/>
            </w:pPr>
            <w:r>
              <w:rPr>
                <w:i/>
              </w:rPr>
              <w:t>26,4</w:t>
            </w:r>
          </w:p>
        </w:tc>
        <w:tc>
          <w:tcPr>
            <w:tcW w:type="dxa" w:w="3312"/>
            <w:shd w:fill="F3F4F6"/>
            <w:tcMar>
              <w:top w:w="70" w:type="dxa"/>
              <w:bottom w:w="70" w:type="dxa"/>
              <w:left w:w="100" w:type="dxa"/>
              <w:right w:w="100" w:type="dxa"/>
            </w:tcMar>
          </w:tcPr>
          <w:p>
            <w:pPr>
              <w:spacing w:before="60" w:after="60"/>
              <w:jc w:val="right"/>
            </w:pPr>
            <w:r>
              <w:rPr>
                <w:i/>
              </w:rPr>
              <w:t>26,4</w:t>
            </w:r>
          </w:p>
        </w:tc>
      </w:tr>
    </w:tbl>
    <w:p>
      <w:pPr>
        <w:pStyle w:val="Heading2"/>
      </w:pPr>
      <w:r>
        <w:t>1.3 Ajustes en Tabla 2 y Pie de Figura 35</w:t>
      </w:r>
    </w:p>
    <w:p>
      <w:r>
        <w:rPr>
          <w:b/>
        </w:rPr>
        <w:t xml:space="preserve">• Tabla 2 (Pág. 6): </w:t>
      </w:r>
      <w:r>
        <w:rPr>
          <w:sz w:val="20"/>
        </w:rPr>
        <w:t xml:space="preserve">CanSat de 250 a 300 g -&gt; Valor de diseño: 250,0 g verificado en vuelo -&gt; Estado: </w:t>
      </w:r>
      <w:r>
        <w:rPr>
          <w:b/>
        </w:rPr>
        <w:t>Cumple</w:t>
      </w:r>
    </w:p>
    <w:p>
      <w:r>
        <w:rPr>
          <w:b/>
        </w:rPr>
        <w:t xml:space="preserve">• Pie de Figura 35 (Pág. 51): </w:t>
      </w:r>
      <w:r>
        <w:rPr>
          <w:sz w:val="20"/>
        </w:rPr>
        <w:t>Figura 35: CanSat ensamblado en configuración de vuelo sobre la báscula (250,0 g).</w:t>
      </w:r>
    </w:p>
    <w:p>
      <w:pPr>
        <w:pStyle w:val="Heading1"/>
      </w:pPr>
      <w:r>
        <w:rPr>
          <w:color w:val="1E3A8A"/>
        </w:rPr>
        <w:t>2. AJUSTE APROBADO: TABLA 25 - PRUEBA DE ESTABILIDAD (PÁGINA 52)</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70" w:type="dxa"/>
              <w:bottom w:w="70" w:type="dxa"/>
              <w:left w:w="100" w:type="dxa"/>
              <w:right w:w="100" w:type="dxa"/>
            </w:tcMar>
          </w:tcPr>
          <w:p>
            <w:pPr>
              <w:spacing w:before="60" w:after="60"/>
            </w:pPr>
            <w:r>
              <w:rPr>
                <w:b/>
                <w:color w:val="FFFFFF"/>
              </w:rPr>
              <w:t>Parámetro</w:t>
            </w:r>
          </w:p>
        </w:tc>
        <w:tc>
          <w:tcPr>
            <w:tcW w:type="dxa" w:w="2484"/>
            <w:shd w:fill="1E3A8A"/>
            <w:tcMar>
              <w:top w:w="70" w:type="dxa"/>
              <w:bottom w:w="70" w:type="dxa"/>
              <w:left w:w="100" w:type="dxa"/>
              <w:right w:w="100" w:type="dxa"/>
            </w:tcMar>
          </w:tcPr>
          <w:p>
            <w:pPr>
              <w:spacing w:before="60" w:after="60"/>
              <w:jc w:val="right"/>
            </w:pPr>
            <w:r>
              <w:rPr>
                <w:b/>
                <w:color w:val="FFFFFF"/>
              </w:rPr>
              <w:t>Simulado (OpenRocket)</w:t>
            </w:r>
          </w:p>
        </w:tc>
        <w:tc>
          <w:tcPr>
            <w:tcW w:type="dxa" w:w="2484"/>
            <w:shd w:fill="1E3A8A"/>
            <w:tcMar>
              <w:top w:w="70" w:type="dxa"/>
              <w:bottom w:w="70" w:type="dxa"/>
              <w:left w:w="100" w:type="dxa"/>
              <w:right w:w="100" w:type="dxa"/>
            </w:tcMar>
          </w:tcPr>
          <w:p>
            <w:pPr>
              <w:spacing w:before="60" w:after="60"/>
              <w:jc w:val="right"/>
            </w:pPr>
            <w:r>
              <w:rPr>
                <w:b/>
                <w:color w:val="FFFFFF"/>
              </w:rPr>
              <w:t>Medido en Taller (Banco)</w:t>
            </w:r>
          </w:p>
        </w:tc>
        <w:tc>
          <w:tcPr>
            <w:tcW w:type="dxa" w:w="2484"/>
            <w:shd w:fill="1E3A8A"/>
            <w:tcMar>
              <w:top w:w="70" w:type="dxa"/>
              <w:bottom w:w="70" w:type="dxa"/>
              <w:left w:w="100" w:type="dxa"/>
              <w:right w:w="100" w:type="dxa"/>
            </w:tcMar>
          </w:tcPr>
          <w:p>
            <w:pPr>
              <w:spacing w:before="60" w:after="60"/>
            </w:pPr>
            <w:r>
              <w:rPr>
                <w:b/>
                <w:color w:val="FFFFFF"/>
              </w:rPr>
              <w:t>Estado / Observación</w:t>
            </w:r>
          </w:p>
        </w:tc>
      </w:tr>
      <w:tr>
        <w:tc>
          <w:tcPr>
            <w:tcW w:type="dxa" w:w="2484"/>
            <w:shd w:fill="F9FAFB"/>
            <w:tcMar>
              <w:top w:w="70" w:type="dxa"/>
              <w:bottom w:w="70" w:type="dxa"/>
              <w:left w:w="100" w:type="dxa"/>
              <w:right w:w="100" w:type="dxa"/>
            </w:tcMar>
          </w:tcPr>
          <w:p>
            <w:pPr>
              <w:spacing w:before="60" w:after="60"/>
            </w:pPr>
            <w:r>
              <w:t>Masa total al despegue</w:t>
            </w:r>
          </w:p>
        </w:tc>
        <w:tc>
          <w:tcPr>
            <w:tcW w:type="dxa" w:w="2484"/>
            <w:shd w:fill="F9FAFB"/>
            <w:tcMar>
              <w:top w:w="70" w:type="dxa"/>
              <w:bottom w:w="70" w:type="dxa"/>
              <w:left w:w="100" w:type="dxa"/>
              <w:right w:w="100" w:type="dxa"/>
            </w:tcMar>
          </w:tcPr>
          <w:p>
            <w:pPr>
              <w:spacing w:before="60" w:after="60"/>
              <w:jc w:val="right"/>
            </w:pPr>
            <w:r>
              <w:t>896 g</w:t>
            </w:r>
          </w:p>
        </w:tc>
        <w:tc>
          <w:tcPr>
            <w:tcW w:type="dxa" w:w="2484"/>
            <w:shd w:fill="F9FAFB"/>
            <w:tcMar>
              <w:top w:w="70" w:type="dxa"/>
              <w:bottom w:w="70" w:type="dxa"/>
              <w:left w:w="100" w:type="dxa"/>
              <w:right w:w="100" w:type="dxa"/>
            </w:tcMar>
          </w:tcPr>
          <w:p>
            <w:pPr>
              <w:spacing w:before="60" w:after="60"/>
              <w:jc w:val="right"/>
            </w:pPr>
            <w:r>
              <w:t>896,0 g</w:t>
            </w:r>
          </w:p>
        </w:tc>
        <w:tc>
          <w:tcPr>
            <w:tcW w:type="dxa" w:w="2484"/>
            <w:shd w:fill="F9FAFB"/>
            <w:tcMar>
              <w:top w:w="70" w:type="dxa"/>
              <w:bottom w:w="70" w:type="dxa"/>
              <w:left w:w="100" w:type="dxa"/>
              <w:right w:w="100" w:type="dxa"/>
            </w:tcMar>
          </w:tcPr>
          <w:p>
            <w:pPr>
              <w:spacing w:before="60" w:after="60"/>
            </w:pPr>
            <w:r>
              <w:t>Cumple relación empuje/peso 10,7:1 (mínimo 5:1)</w:t>
            </w:r>
          </w:p>
        </w:tc>
      </w:tr>
      <w:tr>
        <w:tc>
          <w:tcPr>
            <w:tcW w:type="dxa" w:w="2484"/>
            <w:tcMar>
              <w:top w:w="70" w:type="dxa"/>
              <w:bottom w:w="70" w:type="dxa"/>
              <w:left w:w="100" w:type="dxa"/>
              <w:right w:w="100" w:type="dxa"/>
            </w:tcMar>
          </w:tcPr>
          <w:p>
            <w:pPr>
              <w:spacing w:before="60" w:after="60"/>
            </w:pPr>
            <w:r>
              <w:t>CG desde la punta (despegue)</w:t>
            </w:r>
          </w:p>
        </w:tc>
        <w:tc>
          <w:tcPr>
            <w:tcW w:type="dxa" w:w="2484"/>
            <w:tcMar>
              <w:top w:w="70" w:type="dxa"/>
              <w:bottom w:w="70" w:type="dxa"/>
              <w:left w:w="100" w:type="dxa"/>
              <w:right w:w="100" w:type="dxa"/>
            </w:tcMar>
          </w:tcPr>
          <w:p>
            <w:pPr>
              <w:spacing w:before="60" w:after="60"/>
              <w:jc w:val="right"/>
            </w:pPr>
            <w:r>
              <w:t>49,7 cm</w:t>
            </w:r>
          </w:p>
        </w:tc>
        <w:tc>
          <w:tcPr>
            <w:tcW w:type="dxa" w:w="2484"/>
            <w:tcMar>
              <w:top w:w="70" w:type="dxa"/>
              <w:bottom w:w="70" w:type="dxa"/>
              <w:left w:w="100" w:type="dxa"/>
              <w:right w:w="100" w:type="dxa"/>
            </w:tcMar>
          </w:tcPr>
          <w:p>
            <w:pPr>
              <w:spacing w:before="60" w:after="60"/>
              <w:jc w:val="right"/>
            </w:pPr>
            <w:r>
              <w:t>49,5 cm</w:t>
            </w:r>
          </w:p>
        </w:tc>
        <w:tc>
          <w:tcPr>
            <w:tcW w:type="dxa" w:w="2484"/>
            <w:tcMar>
              <w:top w:w="70" w:type="dxa"/>
              <w:bottom w:w="70" w:type="dxa"/>
              <w:left w:w="100" w:type="dxa"/>
              <w:right w:w="100" w:type="dxa"/>
            </w:tcMar>
          </w:tcPr>
          <w:p>
            <w:pPr>
              <w:spacing w:before="60" w:after="60"/>
            </w:pPr>
            <w:r>
              <w:t>Medido en apoyo de borde delgado; error &lt;0,5 %</w:t>
            </w:r>
          </w:p>
        </w:tc>
      </w:tr>
      <w:tr>
        <w:tc>
          <w:tcPr>
            <w:tcW w:type="dxa" w:w="2484"/>
            <w:shd w:fill="F9FAFB"/>
            <w:tcMar>
              <w:top w:w="70" w:type="dxa"/>
              <w:bottom w:w="70" w:type="dxa"/>
              <w:left w:w="100" w:type="dxa"/>
              <w:right w:w="100" w:type="dxa"/>
            </w:tcMar>
          </w:tcPr>
          <w:p>
            <w:pPr>
              <w:spacing w:before="60" w:after="60"/>
            </w:pPr>
            <w:r>
              <w:t>CP desde la punta (salida del riel)</w:t>
            </w:r>
          </w:p>
        </w:tc>
        <w:tc>
          <w:tcPr>
            <w:tcW w:type="dxa" w:w="2484"/>
            <w:shd w:fill="F9FAFB"/>
            <w:tcMar>
              <w:top w:w="70" w:type="dxa"/>
              <w:bottom w:w="70" w:type="dxa"/>
              <w:left w:w="100" w:type="dxa"/>
              <w:right w:w="100" w:type="dxa"/>
            </w:tcMar>
          </w:tcPr>
          <w:p>
            <w:pPr>
              <w:spacing w:before="60" w:after="60"/>
              <w:jc w:val="right"/>
            </w:pPr>
            <w:r>
              <w:t>68,1 cm</w:t>
            </w:r>
          </w:p>
        </w:tc>
        <w:tc>
          <w:tcPr>
            <w:tcW w:type="dxa" w:w="2484"/>
            <w:shd w:fill="F9FAFB"/>
            <w:tcMar>
              <w:top w:w="70" w:type="dxa"/>
              <w:bottom w:w="70" w:type="dxa"/>
              <w:left w:w="100" w:type="dxa"/>
              <w:right w:w="100" w:type="dxa"/>
            </w:tcMar>
          </w:tcPr>
          <w:p>
            <w:pPr>
              <w:spacing w:before="60" w:after="60"/>
              <w:jc w:val="right"/>
            </w:pPr>
            <w:r>
              <w:t>68,1 cm</w:t>
            </w:r>
          </w:p>
        </w:tc>
        <w:tc>
          <w:tcPr>
            <w:tcW w:type="dxa" w:w="2484"/>
            <w:shd w:fill="F9FAFB"/>
            <w:tcMar>
              <w:top w:w="70" w:type="dxa"/>
              <w:bottom w:w="70" w:type="dxa"/>
              <w:left w:w="100" w:type="dxa"/>
              <w:right w:w="100" w:type="dxa"/>
            </w:tcMar>
          </w:tcPr>
          <w:p>
            <w:pPr>
              <w:spacing w:before="60" w:after="60"/>
            </w:pPr>
            <w:r>
              <w:t>Posición geométrica Barrowman verificada</w:t>
            </w:r>
          </w:p>
        </w:tc>
      </w:tr>
      <w:tr>
        <w:tc>
          <w:tcPr>
            <w:tcW w:type="dxa" w:w="2484"/>
            <w:tcMar>
              <w:top w:w="70" w:type="dxa"/>
              <w:bottom w:w="70" w:type="dxa"/>
              <w:left w:w="100" w:type="dxa"/>
              <w:right w:w="100" w:type="dxa"/>
            </w:tcMar>
          </w:tcPr>
          <w:p>
            <w:pPr>
              <w:spacing w:before="60" w:after="60"/>
            </w:pPr>
            <w:r>
              <w:t>Margen estático en salida del riel</w:t>
            </w:r>
          </w:p>
        </w:tc>
        <w:tc>
          <w:tcPr>
            <w:tcW w:type="dxa" w:w="2484"/>
            <w:tcMar>
              <w:top w:w="70" w:type="dxa"/>
              <w:bottom w:w="70" w:type="dxa"/>
              <w:left w:w="100" w:type="dxa"/>
              <w:right w:w="100" w:type="dxa"/>
            </w:tcMar>
          </w:tcPr>
          <w:p>
            <w:pPr>
              <w:spacing w:before="60" w:after="60"/>
              <w:jc w:val="right"/>
            </w:pPr>
            <w:r>
              <w:t>1,80 cal</w:t>
            </w:r>
          </w:p>
        </w:tc>
        <w:tc>
          <w:tcPr>
            <w:tcW w:type="dxa" w:w="2484"/>
            <w:tcMar>
              <w:top w:w="70" w:type="dxa"/>
              <w:bottom w:w="70" w:type="dxa"/>
              <w:left w:w="100" w:type="dxa"/>
              <w:right w:w="100" w:type="dxa"/>
            </w:tcMar>
          </w:tcPr>
          <w:p>
            <w:pPr>
              <w:spacing w:before="60" w:after="60"/>
              <w:jc w:val="right"/>
            </w:pPr>
            <w:r>
              <w:t>1,82 cal</w:t>
            </w:r>
          </w:p>
        </w:tc>
        <w:tc>
          <w:tcPr>
            <w:tcW w:type="dxa" w:w="2484"/>
            <w:tcMar>
              <w:top w:w="70" w:type="dxa"/>
              <w:bottom w:w="70" w:type="dxa"/>
              <w:left w:w="100" w:type="dxa"/>
              <w:right w:w="100" w:type="dxa"/>
            </w:tcMar>
          </w:tcPr>
          <w:p>
            <w:pPr>
              <w:spacing w:before="60" w:after="60"/>
            </w:pPr>
            <w:r>
              <w:t>Estabilidad dinámica adecuada (V &gt; 55 km/h)</w:t>
            </w:r>
          </w:p>
        </w:tc>
      </w:tr>
      <w:tr>
        <w:tc>
          <w:tcPr>
            <w:tcW w:type="dxa" w:w="2484"/>
            <w:shd w:fill="F9FAFB"/>
            <w:tcMar>
              <w:top w:w="70" w:type="dxa"/>
              <w:bottom w:w="70" w:type="dxa"/>
              <w:left w:w="100" w:type="dxa"/>
              <w:right w:w="100" w:type="dxa"/>
            </w:tcMar>
          </w:tcPr>
          <w:p>
            <w:pPr>
              <w:spacing w:before="60" w:after="60"/>
            </w:pPr>
            <w:r>
              <w:t>Margen al fin de combustión (burnout)</w:t>
            </w:r>
          </w:p>
        </w:tc>
        <w:tc>
          <w:tcPr>
            <w:tcW w:type="dxa" w:w="2484"/>
            <w:shd w:fill="F9FAFB"/>
            <w:tcMar>
              <w:top w:w="70" w:type="dxa"/>
              <w:bottom w:w="70" w:type="dxa"/>
              <w:left w:w="100" w:type="dxa"/>
              <w:right w:w="100" w:type="dxa"/>
            </w:tcMar>
          </w:tcPr>
          <w:p>
            <w:pPr>
              <w:spacing w:before="60" w:after="60"/>
              <w:jc w:val="right"/>
            </w:pPr>
            <w:r>
              <w:t>2,20 cal</w:t>
            </w:r>
          </w:p>
        </w:tc>
        <w:tc>
          <w:tcPr>
            <w:tcW w:type="dxa" w:w="2484"/>
            <w:shd w:fill="F9FAFB"/>
            <w:tcMar>
              <w:top w:w="70" w:type="dxa"/>
              <w:bottom w:w="70" w:type="dxa"/>
              <w:left w:w="100" w:type="dxa"/>
              <w:right w:w="100" w:type="dxa"/>
            </w:tcMar>
          </w:tcPr>
          <w:p>
            <w:pPr>
              <w:spacing w:before="60" w:after="60"/>
              <w:jc w:val="right"/>
            </w:pPr>
            <w:r>
              <w:t>2,23 cal</w:t>
            </w:r>
          </w:p>
        </w:tc>
        <w:tc>
          <w:tcPr>
            <w:tcW w:type="dxa" w:w="2484"/>
            <w:shd w:fill="F9FAFB"/>
            <w:tcMar>
              <w:top w:w="70" w:type="dxa"/>
              <w:bottom w:w="70" w:type="dxa"/>
              <w:left w:w="100" w:type="dxa"/>
              <w:right w:w="100" w:type="dxa"/>
            </w:tcMar>
          </w:tcPr>
          <w:p>
            <w:pPr>
              <w:spacing w:before="60" w:after="60"/>
            </w:pPr>
            <w:r>
              <w:t>Cumple requisito normativo estricto ≥ 2,0 cal</w:t>
            </w:r>
          </w:p>
        </w:tc>
      </w:tr>
      <w:tr>
        <w:tc>
          <w:tcPr>
            <w:tcW w:type="dxa" w:w="2484"/>
            <w:tcMar>
              <w:top w:w="70" w:type="dxa"/>
              <w:bottom w:w="70" w:type="dxa"/>
              <w:left w:w="100" w:type="dxa"/>
              <w:right w:w="100" w:type="dxa"/>
            </w:tcMar>
          </w:tcPr>
          <w:p>
            <w:pPr>
              <w:spacing w:before="60" w:after="60"/>
            </w:pPr>
            <w:r>
              <w:t>Prueba dinámica de giro (swing test)</w:t>
            </w:r>
          </w:p>
        </w:tc>
        <w:tc>
          <w:tcPr>
            <w:tcW w:type="dxa" w:w="2484"/>
            <w:tcMar>
              <w:top w:w="70" w:type="dxa"/>
              <w:bottom w:w="70" w:type="dxa"/>
              <w:left w:w="100" w:type="dxa"/>
              <w:right w:w="100" w:type="dxa"/>
            </w:tcMar>
          </w:tcPr>
          <w:p>
            <w:pPr>
              <w:spacing w:before="60" w:after="60"/>
              <w:jc w:val="right"/>
            </w:pPr>
            <w:r>
              <w:t>—</w:t>
            </w:r>
          </w:p>
        </w:tc>
        <w:tc>
          <w:tcPr>
            <w:tcW w:type="dxa" w:w="2484"/>
            <w:tcMar>
              <w:top w:w="70" w:type="dxa"/>
              <w:bottom w:w="70" w:type="dxa"/>
              <w:left w:w="100" w:type="dxa"/>
              <w:right w:w="100" w:type="dxa"/>
            </w:tcMar>
          </w:tcPr>
          <w:p>
            <w:pPr>
              <w:spacing w:before="60" w:after="60"/>
              <w:jc w:val="right"/>
            </w:pPr>
            <w:r>
              <w:t>Realizada (Estable)</w:t>
            </w:r>
          </w:p>
        </w:tc>
        <w:tc>
          <w:tcPr>
            <w:tcW w:type="dxa" w:w="2484"/>
            <w:tcMar>
              <w:top w:w="70" w:type="dxa"/>
              <w:bottom w:w="70" w:type="dxa"/>
              <w:left w:w="100" w:type="dxa"/>
              <w:right w:w="100" w:type="dxa"/>
            </w:tcMar>
          </w:tcPr>
          <w:p>
            <w:pPr>
              <w:spacing w:before="60" w:after="60"/>
            </w:pPr>
            <w:r>
              <w:t>Vuelo estable alineado con la trayectoria</w:t>
            </w:r>
          </w:p>
        </w:tc>
      </w:tr>
    </w:tbl>
    <w:p>
      <w:pPr>
        <w:pStyle w:val="Heading1"/>
      </w:pPr>
      <w:r>
        <w:rPr>
          <w:color w:val="1E3A8A"/>
        </w:rPr>
        <w:t>3. AJUSTE APROBADO: TABLA 26 - PRUEBAS ESTRUCTURALES (PÁGINA 53)</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70" w:type="dxa"/>
              <w:bottom w:w="70" w:type="dxa"/>
              <w:left w:w="100" w:type="dxa"/>
              <w:right w:w="100" w:type="dxa"/>
            </w:tcMar>
          </w:tcPr>
          <w:p>
            <w:pPr>
              <w:spacing w:before="60" w:after="60"/>
            </w:pPr>
            <w:r>
              <w:rPr>
                <w:b/>
                <w:color w:val="FFFFFF"/>
              </w:rPr>
              <w:t>Prueba Estructural</w:t>
            </w:r>
          </w:p>
        </w:tc>
        <w:tc>
          <w:tcPr>
            <w:tcW w:type="dxa" w:w="3312"/>
            <w:shd w:fill="1E3A8A"/>
            <w:tcMar>
              <w:top w:w="70" w:type="dxa"/>
              <w:bottom w:w="70" w:type="dxa"/>
              <w:left w:w="100" w:type="dxa"/>
              <w:right w:w="100" w:type="dxa"/>
            </w:tcMar>
          </w:tcPr>
          <w:p>
            <w:pPr>
              <w:spacing w:before="60" w:after="60"/>
            </w:pPr>
            <w:r>
              <w:rPr>
                <w:b/>
                <w:color w:val="FFFFFF"/>
              </w:rPr>
              <w:t>Procedimiento y Criterio de Aceptación</w:t>
            </w:r>
          </w:p>
        </w:tc>
        <w:tc>
          <w:tcPr>
            <w:tcW w:type="dxa" w:w="3312"/>
            <w:shd w:fill="1E3A8A"/>
            <w:tcMar>
              <w:top w:w="70" w:type="dxa"/>
              <w:bottom w:w="70" w:type="dxa"/>
              <w:left w:w="100" w:type="dxa"/>
              <w:right w:w="100" w:type="dxa"/>
            </w:tcMar>
          </w:tcPr>
          <w:p>
            <w:pPr>
              <w:spacing w:before="60" w:after="60"/>
            </w:pPr>
            <w:r>
              <w:rPr>
                <w:b/>
                <w:color w:val="FFFFFF"/>
              </w:rPr>
              <w:t>Resultado Técnico</w:t>
            </w:r>
          </w:p>
        </w:tc>
      </w:tr>
      <w:tr>
        <w:tc>
          <w:tcPr>
            <w:tcW w:type="dxa" w:w="3312"/>
            <w:shd w:fill="F9FAFB"/>
            <w:tcMar>
              <w:top w:w="70" w:type="dxa"/>
              <w:bottom w:w="70" w:type="dxa"/>
              <w:left w:w="100" w:type="dxa"/>
              <w:right w:w="100" w:type="dxa"/>
            </w:tcMar>
          </w:tcPr>
          <w:p>
            <w:pPr>
              <w:spacing w:before="60" w:after="60"/>
            </w:pPr>
            <w:r>
              <w:t>Fijación de aletas Through-The-Wall (TTW)</w:t>
            </w:r>
          </w:p>
        </w:tc>
        <w:tc>
          <w:tcPr>
            <w:tcW w:type="dxa" w:w="3312"/>
            <w:shd w:fill="F9FAFB"/>
            <w:tcMar>
              <w:top w:w="70" w:type="dxa"/>
              <w:bottom w:w="70" w:type="dxa"/>
              <w:left w:w="100" w:type="dxa"/>
              <w:right w:w="100" w:type="dxa"/>
            </w:tcMar>
          </w:tcPr>
          <w:p>
            <w:pPr>
              <w:spacing w:before="60" w:after="60"/>
            </w:pPr>
            <w:r>
              <w:t>Aletas con pestañas que atraviesan el fuselaje y encajan directamente sobre el tubo portamotor de 29 mm y los anillos de centrado. Unión monolítica con resina epóxica estructural de alta resistencia en la raíz, filetes internos y externos. Carga lateral manual de 15 N en la punta de cada aleta.</w:t>
            </w:r>
          </w:p>
        </w:tc>
        <w:tc>
          <w:tcPr>
            <w:tcW w:type="dxa" w:w="3312"/>
            <w:shd w:fill="F9FAFB"/>
            <w:tcMar>
              <w:top w:w="70" w:type="dxa"/>
              <w:bottom w:w="70" w:type="dxa"/>
              <w:left w:w="100" w:type="dxa"/>
              <w:right w:w="100" w:type="dxa"/>
            </w:tcMar>
          </w:tcPr>
          <w:p>
            <w:pPr>
              <w:spacing w:before="60" w:after="60"/>
            </w:pPr>
            <w:r>
              <w:t>Aprobado. La fijación TTW y los filetes epóxicos generan un anclaje monolítico entre motor, anillos y fuselaje. Cero juego mecánico, sin delaminación ni microfisuras.</w:t>
            </w:r>
          </w:p>
        </w:tc>
      </w:tr>
      <w:tr>
        <w:tc>
          <w:tcPr>
            <w:tcW w:type="dxa" w:w="3312"/>
            <w:tcMar>
              <w:top w:w="70" w:type="dxa"/>
              <w:bottom w:w="70" w:type="dxa"/>
              <w:left w:w="100" w:type="dxa"/>
              <w:right w:w="100" w:type="dxa"/>
            </w:tcMar>
          </w:tcPr>
          <w:p>
            <w:pPr>
              <w:spacing w:before="60" w:after="60"/>
            </w:pPr>
            <w:r>
              <w:t>Alineación de aletas a 120°</w:t>
            </w:r>
          </w:p>
        </w:tc>
        <w:tc>
          <w:tcPr>
            <w:tcW w:type="dxa" w:w="3312"/>
            <w:tcMar>
              <w:top w:w="70" w:type="dxa"/>
              <w:bottom w:w="70" w:type="dxa"/>
              <w:left w:w="100" w:type="dxa"/>
              <w:right w:w="100" w:type="dxa"/>
            </w:tcMar>
          </w:tcPr>
          <w:p>
            <w:pPr>
              <w:spacing w:before="60" w:after="60"/>
            </w:pPr>
            <w:r>
              <w:t>Los anillos de centrado (Ø98,5 mm exterior / Ø31,0 mm interior) cuentan con ranuras mecánicas cortadas a 120° ± 0,5° exactos. Las pestañas de las aletas encajan rígidamente en dichas ranuras, asegurando la alineación radial por geometría física sin depender de plantillas manuales externas.</w:t>
            </w:r>
          </w:p>
        </w:tc>
        <w:tc>
          <w:tcPr>
            <w:tcW w:type="dxa" w:w="3312"/>
            <w:tcMar>
              <w:top w:w="70" w:type="dxa"/>
              <w:bottom w:w="70" w:type="dxa"/>
              <w:left w:w="100" w:type="dxa"/>
              <w:right w:w="100" w:type="dxa"/>
            </w:tcMar>
          </w:tcPr>
          <w:p>
            <w:pPr>
              <w:spacing w:before="60" w:after="60"/>
            </w:pPr>
            <w:r>
              <w:t>Aprobado. Alineación radial a 120° ± 0,3° garantizada mecánicamente por el ranurado CAD/corte. Paralelismo longitudinal respecto al eje del fuselaje verificado con escuadra de precisión.</w:t>
            </w:r>
          </w:p>
        </w:tc>
      </w:tr>
      <w:tr>
        <w:tc>
          <w:tcPr>
            <w:tcW w:type="dxa" w:w="3312"/>
            <w:shd w:fill="F9FAFB"/>
            <w:tcMar>
              <w:top w:w="70" w:type="dxa"/>
              <w:bottom w:w="70" w:type="dxa"/>
              <w:left w:w="100" w:type="dxa"/>
              <w:right w:w="100" w:type="dxa"/>
            </w:tcMar>
          </w:tcPr>
          <w:p>
            <w:pPr>
              <w:spacing w:before="60" w:after="60"/>
            </w:pPr>
            <w:r>
              <w:t>Integridad del fuselaje</w:t>
            </w:r>
          </w:p>
        </w:tc>
        <w:tc>
          <w:tcPr>
            <w:tcW w:type="dxa" w:w="3312"/>
            <w:shd w:fill="F9FAFB"/>
            <w:tcMar>
              <w:top w:w="70" w:type="dxa"/>
              <w:bottom w:w="70" w:type="dxa"/>
              <w:left w:w="100" w:type="dxa"/>
              <w:right w:w="100" w:type="dxa"/>
            </w:tcMar>
          </w:tcPr>
          <w:p>
            <w:pPr>
              <w:spacing w:before="60" w:after="60"/>
            </w:pPr>
            <w:r>
              <w:t>Inspección dimensional, concentricidad (Ø102 mm) y corte a escuadra de los tubos de cartón prensado (sección superior 240 mm, inferior 480 mm) bajo carga axial de 150 N.</w:t>
            </w:r>
          </w:p>
        </w:tc>
        <w:tc>
          <w:tcPr>
            <w:tcW w:type="dxa" w:w="3312"/>
            <w:shd w:fill="F9FAFB"/>
            <w:tcMar>
              <w:top w:w="70" w:type="dxa"/>
              <w:bottom w:w="70" w:type="dxa"/>
              <w:left w:w="100" w:type="dxa"/>
              <w:right w:w="100" w:type="dxa"/>
            </w:tcMar>
          </w:tcPr>
          <w:p>
            <w:pPr>
              <w:spacing w:before="60" w:after="60"/>
            </w:pPr>
            <w:r>
              <w:t>Aprobado. Tubos sin deformación, ovalización ni delaminación. Acoplamiento concéntrico y firme en la sección del acoplador.</w:t>
            </w:r>
          </w:p>
        </w:tc>
      </w:tr>
      <w:tr>
        <w:tc>
          <w:tcPr>
            <w:tcW w:type="dxa" w:w="3312"/>
            <w:tcMar>
              <w:top w:w="70" w:type="dxa"/>
              <w:bottom w:w="70" w:type="dxa"/>
              <w:left w:w="100" w:type="dxa"/>
              <w:right w:w="100" w:type="dxa"/>
            </w:tcMar>
          </w:tcPr>
          <w:p>
            <w:pPr>
              <w:spacing w:before="60" w:after="60"/>
            </w:pPr>
            <w:r>
              <w:t>Botones de riel (Rail Buttons)</w:t>
            </w:r>
          </w:p>
        </w:tc>
        <w:tc>
          <w:tcPr>
            <w:tcW w:type="dxa" w:w="3312"/>
            <w:tcMar>
              <w:top w:w="70" w:type="dxa"/>
              <w:bottom w:w="70" w:type="dxa"/>
              <w:left w:w="100" w:type="dxa"/>
              <w:right w:w="100" w:type="dxa"/>
            </w:tcMar>
          </w:tcPr>
          <w:p>
            <w:pPr>
              <w:spacing w:before="60" w:after="60"/>
            </w:pPr>
            <w:r>
              <w:t>Fijación directa con tornillos sin tuercas internas para evitar salientes en el interior del fuselaje: el botón trasero roscado directamente en el espesor macizo del anillo de centrado superior del motor, y el botón delantero anclado en la pared del fuselaje adyacente a la posición del Centro de Gravedad (CG). Verificación de alineación colineal.</w:t>
            </w:r>
          </w:p>
        </w:tc>
        <w:tc>
          <w:tcPr>
            <w:tcW w:type="dxa" w:w="3312"/>
            <w:tcMar>
              <w:top w:w="70" w:type="dxa"/>
              <w:bottom w:w="70" w:type="dxa"/>
              <w:left w:w="100" w:type="dxa"/>
              <w:right w:w="100" w:type="dxa"/>
            </w:tcMar>
          </w:tcPr>
          <w:p>
            <w:pPr>
              <w:spacing w:before="60" w:after="60"/>
            </w:pPr>
            <w:r>
              <w:t>Aprobado. Ambos botones firmemente fijados sin juego; interior del tubo 100 % libre de obstrucciones mecánicas. Alineación colineal verificada con regla metálica; dimensiones compatibles con el riel estándar CCCD.</w:t>
            </w:r>
          </w:p>
        </w:tc>
      </w:tr>
      <w:tr>
        <w:tc>
          <w:tcPr>
            <w:tcW w:type="dxa" w:w="3312"/>
            <w:shd w:fill="F9FAFB"/>
            <w:tcMar>
              <w:top w:w="70" w:type="dxa"/>
              <w:bottom w:w="70" w:type="dxa"/>
              <w:left w:w="100" w:type="dxa"/>
              <w:right w:w="100" w:type="dxa"/>
            </w:tcMar>
          </w:tcPr>
          <w:p>
            <w:pPr>
              <w:spacing w:before="60" w:after="60"/>
            </w:pPr>
            <w:r>
              <w:t>Retén mecánico del motor (DCP 3.2.9)</w:t>
            </w:r>
          </w:p>
        </w:tc>
        <w:tc>
          <w:tcPr>
            <w:tcW w:type="dxa" w:w="3312"/>
            <w:shd w:fill="F9FAFB"/>
            <w:tcMar>
              <w:top w:w="70" w:type="dxa"/>
              <w:bottom w:w="70" w:type="dxa"/>
              <w:left w:w="100" w:type="dxa"/>
              <w:right w:w="100" w:type="dxa"/>
            </w:tcMar>
          </w:tcPr>
          <w:p>
            <w:pPr>
              <w:spacing w:before="60" w:after="60"/>
            </w:pPr>
            <w:r>
              <w:t>Instalación de la tapa roscada de retención mecánica en ABS en la base del tubo portamotor de 29 mm. Tracción manual axial simulando el esfuerzo de retardo y eyección.</w:t>
            </w:r>
          </w:p>
        </w:tc>
        <w:tc>
          <w:tcPr>
            <w:tcW w:type="dxa" w:w="3312"/>
            <w:shd w:fill="F9FAFB"/>
            <w:tcMar>
              <w:top w:w="70" w:type="dxa"/>
              <w:bottom w:w="70" w:type="dxa"/>
              <w:left w:w="100" w:type="dxa"/>
              <w:right w:w="100" w:type="dxa"/>
            </w:tcMar>
          </w:tcPr>
          <w:p>
            <w:pPr>
              <w:spacing w:before="60" w:after="60"/>
            </w:pPr>
            <w:r>
              <w:t>Aprobado. Retención mecánica positiva bidireccional; desplazamiento axial nulo con el retén instalado.</w:t>
            </w:r>
          </w:p>
        </w:tc>
      </w:tr>
      <w:tr>
        <w:tc>
          <w:tcPr>
            <w:tcW w:type="dxa" w:w="3312"/>
            <w:tcMar>
              <w:top w:w="70" w:type="dxa"/>
              <w:bottom w:w="70" w:type="dxa"/>
              <w:left w:w="100" w:type="dxa"/>
              <w:right w:w="100" w:type="dxa"/>
            </w:tcMar>
          </w:tcPr>
          <w:p>
            <w:pPr>
              <w:spacing w:before="60" w:after="60"/>
            </w:pPr>
            <w:r>
              <w:t>Alojamiento y ventilación del altímetro</w:t>
            </w:r>
          </w:p>
        </w:tc>
        <w:tc>
          <w:tcPr>
            <w:tcW w:type="dxa" w:w="3312"/>
            <w:tcMar>
              <w:top w:w="70" w:type="dxa"/>
              <w:bottom w:w="70" w:type="dxa"/>
              <w:left w:w="100" w:type="dxa"/>
              <w:right w:w="100" w:type="dxa"/>
            </w:tcMar>
          </w:tcPr>
          <w:p>
            <w:pPr>
              <w:spacing w:before="60" w:after="60"/>
            </w:pPr>
            <w:r>
              <w:t>Alojamiento del altímetro Jolly Logic AltimeterOne encapsulado en espuma de poliuretano para amortiguación de choque, con orificios de ecualización despejados.</w:t>
            </w:r>
          </w:p>
        </w:tc>
        <w:tc>
          <w:tcPr>
            <w:tcW w:type="dxa" w:w="3312"/>
            <w:tcMar>
              <w:top w:w="70" w:type="dxa"/>
              <w:bottom w:w="70" w:type="dxa"/>
              <w:left w:w="100" w:type="dxa"/>
              <w:right w:w="100" w:type="dxa"/>
            </w:tcMar>
          </w:tcPr>
          <w:p>
            <w:pPr>
              <w:spacing w:before="60" w:after="60"/>
            </w:pPr>
            <w:r>
              <w:t>Aprobado. La espuma de poliuretano inmoviliza y aísla el altímetro de las vibraciones mecánicas. Orificio de ventilación estática de Ø2,5 mm verificado 100 % despejado.</w:t>
            </w:r>
          </w:p>
        </w:tc>
      </w:tr>
    </w:tbl>
    <w:p>
      <w:pPr>
        <w:pStyle w:val="Heading1"/>
      </w:pPr>
      <w:r>
        <w:rPr>
          <w:color w:val="1E3A8A"/>
        </w:rPr>
        <w:t>4. AJUSTE APROBADO: TABLA 27 - PRUEBAS DEL SISTEMA DE RECUPERACIÓN (PÁGINA 53)</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70" w:type="dxa"/>
              <w:bottom w:w="70" w:type="dxa"/>
              <w:left w:w="100" w:type="dxa"/>
              <w:right w:w="100" w:type="dxa"/>
            </w:tcMar>
          </w:tcPr>
          <w:p>
            <w:pPr>
              <w:spacing w:before="60" w:after="60"/>
            </w:pPr>
            <w:r>
              <w:rPr>
                <w:b/>
                <w:color w:val="FFFFFF"/>
              </w:rPr>
              <w:t>Prueba de Recuperación</w:t>
            </w:r>
          </w:p>
        </w:tc>
        <w:tc>
          <w:tcPr>
            <w:tcW w:type="dxa" w:w="3312"/>
            <w:shd w:fill="1E3A8A"/>
            <w:tcMar>
              <w:top w:w="70" w:type="dxa"/>
              <w:bottom w:w="70" w:type="dxa"/>
              <w:left w:w="100" w:type="dxa"/>
              <w:right w:w="100" w:type="dxa"/>
            </w:tcMar>
          </w:tcPr>
          <w:p>
            <w:pPr>
              <w:spacing w:before="60" w:after="60"/>
            </w:pPr>
            <w:r>
              <w:rPr>
                <w:b/>
                <w:color w:val="FFFFFF"/>
              </w:rPr>
              <w:t>Procedimiento y Criterio de Aceptación</w:t>
            </w:r>
          </w:p>
        </w:tc>
        <w:tc>
          <w:tcPr>
            <w:tcW w:type="dxa" w:w="3312"/>
            <w:shd w:fill="1E3A8A"/>
            <w:tcMar>
              <w:top w:w="70" w:type="dxa"/>
              <w:bottom w:w="70" w:type="dxa"/>
              <w:left w:w="100" w:type="dxa"/>
              <w:right w:w="100" w:type="dxa"/>
            </w:tcMar>
          </w:tcPr>
          <w:p>
            <w:pPr>
              <w:spacing w:before="60" w:after="60"/>
            </w:pPr>
            <w:r>
              <w:rPr>
                <w:b/>
                <w:color w:val="FFFFFF"/>
              </w:rPr>
              <w:t>Resultado Técnico</w:t>
            </w:r>
          </w:p>
        </w:tc>
      </w:tr>
      <w:tr>
        <w:tc>
          <w:tcPr>
            <w:tcW w:type="dxa" w:w="3312"/>
            <w:shd w:fill="F9FAFB"/>
            <w:tcMar>
              <w:top w:w="70" w:type="dxa"/>
              <w:bottom w:w="70" w:type="dxa"/>
              <w:left w:w="100" w:type="dxa"/>
              <w:right w:w="100" w:type="dxa"/>
            </w:tcMar>
          </w:tcPr>
          <w:p>
            <w:pPr>
              <w:spacing w:before="60" w:after="60"/>
            </w:pPr>
            <w:r>
              <w:t>Ajuste de la separación</w:t>
            </w:r>
          </w:p>
        </w:tc>
        <w:tc>
          <w:tcPr>
            <w:tcW w:type="dxa" w:w="3312"/>
            <w:shd w:fill="F9FAFB"/>
            <w:tcMar>
              <w:top w:w="70" w:type="dxa"/>
              <w:bottom w:w="70" w:type="dxa"/>
              <w:left w:w="100" w:type="dxa"/>
              <w:right w:w="100" w:type="dxa"/>
            </w:tcMar>
          </w:tcPr>
          <w:p>
            <w:pPr>
              <w:spacing w:before="60" w:after="60"/>
            </w:pPr>
            <w:r>
              <w:t>Con paracaídas, cordón y manta ignífuga empacados, la unión acoplador-tubo inferior no se desacopla por gravedad al sostener el cohete por la ojiva, pero se desaloja libremente ante tracción manual moderada (15 a 25 N) expulsando el paquete en menos de 2 s.</w:t>
            </w:r>
          </w:p>
        </w:tc>
        <w:tc>
          <w:tcPr>
            <w:tcW w:type="dxa" w:w="3312"/>
            <w:shd w:fill="F9FAFB"/>
            <w:tcMar>
              <w:top w:w="70" w:type="dxa"/>
              <w:bottom w:w="70" w:type="dxa"/>
              <w:left w:w="100" w:type="dxa"/>
              <w:right w:w="100" w:type="dxa"/>
            </w:tcMar>
          </w:tcPr>
          <w:p>
            <w:pPr>
              <w:spacing w:before="60" w:after="60"/>
            </w:pPr>
            <w:r>
              <w:t>Aprobado. La fricción calculada retiene el conjunto en reposo vertical sin holgura y se desacopla limpiamente ante tracción axial moderada, desalojando el paquete de recuperación en 1,2 s sin atascos.</w:t>
            </w:r>
          </w:p>
        </w:tc>
      </w:tr>
      <w:tr>
        <w:tc>
          <w:tcPr>
            <w:tcW w:type="dxa" w:w="3312"/>
            <w:tcMar>
              <w:top w:w="70" w:type="dxa"/>
              <w:bottom w:w="70" w:type="dxa"/>
              <w:left w:w="100" w:type="dxa"/>
              <w:right w:w="100" w:type="dxa"/>
            </w:tcMar>
          </w:tcPr>
          <w:p>
            <w:pPr>
              <w:spacing w:before="60" w:after="60"/>
            </w:pPr>
            <w:r>
              <w:t>Tracción estática de anclajes</w:t>
            </w:r>
          </w:p>
        </w:tc>
        <w:tc>
          <w:tcPr>
            <w:tcW w:type="dxa" w:w="3312"/>
            <w:tcMar>
              <w:top w:w="70" w:type="dxa"/>
              <w:bottom w:w="70" w:type="dxa"/>
              <w:left w:w="100" w:type="dxa"/>
              <w:right w:w="100" w:type="dxa"/>
            </w:tcMar>
          </w:tcPr>
          <w:p>
            <w:pPr>
              <w:spacing w:before="60" w:after="60"/>
            </w:pPr>
            <w:r>
              <w:t>Aplicación de tracción axial estática de 100 N durante 10 s entre el asa del acoplador (PETG-CF/ASA), el cáncamo del anillo superior y la gaza del paracaídas, simulando la sobrecarga dinámica de apertura (12 a 15 G).</w:t>
            </w:r>
          </w:p>
        </w:tc>
        <w:tc>
          <w:tcPr>
            <w:tcW w:type="dxa" w:w="3312"/>
            <w:tcMar>
              <w:top w:w="70" w:type="dxa"/>
              <w:bottom w:w="70" w:type="dxa"/>
              <w:left w:w="100" w:type="dxa"/>
              <w:right w:w="100" w:type="dxa"/>
            </w:tcMar>
          </w:tcPr>
          <w:p>
            <w:pPr>
              <w:spacing w:before="60" w:after="60"/>
            </w:pPr>
            <w:r>
              <w:t>Aprobado. El asa estructural del acoplador y los anclajes de Kevlar soportaron la tracción sostenida sin deformación plástica, elongación residual ni desgarro en los puntos de amarre.</w:t>
            </w:r>
          </w:p>
        </w:tc>
      </w:tr>
      <w:tr>
        <w:tc>
          <w:tcPr>
            <w:tcW w:type="dxa" w:w="3312"/>
            <w:shd w:fill="F9FAFB"/>
            <w:tcMar>
              <w:top w:w="70" w:type="dxa"/>
              <w:bottom w:w="70" w:type="dxa"/>
              <w:left w:w="100" w:type="dxa"/>
              <w:right w:w="100" w:type="dxa"/>
            </w:tcMar>
          </w:tcPr>
          <w:p>
            <w:pPr>
              <w:spacing w:before="60" w:after="60"/>
            </w:pPr>
            <w:r>
              <w:t>Longitud del cordón de choque</w:t>
            </w:r>
          </w:p>
        </w:tc>
        <w:tc>
          <w:tcPr>
            <w:tcW w:type="dxa" w:w="3312"/>
            <w:shd w:fill="F9FAFB"/>
            <w:tcMar>
              <w:top w:w="70" w:type="dxa"/>
              <w:bottom w:w="70" w:type="dxa"/>
              <w:left w:w="100" w:type="dxa"/>
              <w:right w:w="100" w:type="dxa"/>
            </w:tcMar>
          </w:tcPr>
          <w:p>
            <w:pPr>
              <w:spacing w:before="60" w:after="60"/>
            </w:pPr>
            <w:r>
              <w:t>Mínimo normativo según DCP §3.3 de 2 veces la longitud del vehículo (2 x 90 cm = 1,8 m). Verificación métrica del cordón de Kevlar plano.</w:t>
            </w:r>
          </w:p>
        </w:tc>
        <w:tc>
          <w:tcPr>
            <w:tcW w:type="dxa" w:w="3312"/>
            <w:shd w:fill="F9FAFB"/>
            <w:tcMar>
              <w:top w:w="70" w:type="dxa"/>
              <w:bottom w:w="70" w:type="dxa"/>
              <w:left w:w="100" w:type="dxa"/>
              <w:right w:w="100" w:type="dxa"/>
            </w:tcMar>
          </w:tcPr>
          <w:p>
            <w:pPr>
              <w:spacing w:before="60" w:after="60"/>
            </w:pPr>
            <w:r>
              <w:t>Aprobado. Cordón de 12 pies de fábrica (3,66 m) que tras la confección de gazas y nudos de anclaje en ambos extremos queda en 340 cm (3,40 m) útiles, alcanzando un factor de seguridad de 3,78x la longitud total del cohete.</w:t>
            </w:r>
          </w:p>
        </w:tc>
      </w:tr>
      <w:tr>
        <w:tc>
          <w:tcPr>
            <w:tcW w:type="dxa" w:w="3312"/>
            <w:tcMar>
              <w:top w:w="70" w:type="dxa"/>
              <w:bottom w:w="70" w:type="dxa"/>
              <w:left w:w="100" w:type="dxa"/>
              <w:right w:w="100" w:type="dxa"/>
            </w:tcMar>
          </w:tcPr>
          <w:p>
            <w:pPr>
              <w:spacing w:before="60" w:after="60"/>
            </w:pPr>
            <w:r>
              <w:t>Caída y velocidad terminal del paracaídas</w:t>
            </w:r>
          </w:p>
        </w:tc>
        <w:tc>
          <w:tcPr>
            <w:tcW w:type="dxa" w:w="3312"/>
            <w:tcMar>
              <w:top w:w="70" w:type="dxa"/>
              <w:bottom w:w="70" w:type="dxa"/>
              <w:left w:w="100" w:type="dxa"/>
              <w:right w:w="100" w:type="dxa"/>
            </w:tcMar>
          </w:tcPr>
          <w:p>
            <w:pPr>
              <w:spacing w:before="60" w:after="60"/>
            </w:pPr>
            <w:r>
              <w:t>Lanzamiento vertical desde 12 m de altura con masa inerte equivalente a la condición de descenso (824 g). Medición de velocidad terminal por cronometraje en tramo estacionario. Criterio: 6,0 a 7,5 m/s para no exceder los 400 m de radio.</w:t>
            </w:r>
          </w:p>
        </w:tc>
        <w:tc>
          <w:tcPr>
            <w:tcW w:type="dxa" w:w="3312"/>
            <w:tcMar>
              <w:top w:w="70" w:type="dxa"/>
              <w:bottom w:w="70" w:type="dxa"/>
              <w:left w:w="100" w:type="dxa"/>
              <w:right w:w="100" w:type="dxa"/>
            </w:tcMar>
          </w:tcPr>
          <w:p>
            <w:pPr>
              <w:spacing w:before="60" w:after="60"/>
            </w:pPr>
            <w:r>
              <w:t>Aprobado. Inflado simétrico del dosel de 70 cm en 1,1 s. Velocidad terminal promedio medida de 7,1 m/s (frente a 7,06 m/s simulados en OpenRocket, error &lt;1 %). Estabilidad pendular óptima gracias al orificio de derrame de 7 cm.</w:t>
            </w:r>
          </w:p>
        </w:tc>
      </w:tr>
      <w:tr>
        <w:tc>
          <w:tcPr>
            <w:tcW w:type="dxa" w:w="3312"/>
            <w:shd w:fill="F9FAFB"/>
            <w:tcMar>
              <w:top w:w="70" w:type="dxa"/>
              <w:bottom w:w="70" w:type="dxa"/>
              <w:left w:w="100" w:type="dxa"/>
              <w:right w:w="100" w:type="dxa"/>
            </w:tcMar>
          </w:tcPr>
          <w:p>
            <w:pPr>
              <w:spacing w:before="60" w:after="60"/>
            </w:pPr>
            <w:r>
              <w:t>Empaque y protección térmica ignífuga</w:t>
            </w:r>
          </w:p>
        </w:tc>
        <w:tc>
          <w:tcPr>
            <w:tcW w:type="dxa" w:w="3312"/>
            <w:shd w:fill="F9FAFB"/>
            <w:tcMar>
              <w:top w:w="70" w:type="dxa"/>
              <w:bottom w:w="70" w:type="dxa"/>
              <w:left w:w="100" w:type="dxa"/>
              <w:right w:w="100" w:type="dxa"/>
            </w:tcMar>
          </w:tcPr>
          <w:p>
            <w:pPr>
              <w:spacing w:before="60" w:after="60"/>
            </w:pPr>
            <w:r>
              <w:t>Plegado cilíndrico ordenado en rollo tipo «burrito», líneas de suspensión peinadas en Z sin estrangulamiento y barrera térmica protectora ante la eyección del motor G80-7T.</w:t>
            </w:r>
          </w:p>
        </w:tc>
        <w:tc>
          <w:tcPr>
            <w:tcW w:type="dxa" w:w="3312"/>
            <w:shd w:fill="F9FAFB"/>
            <w:tcMar>
              <w:top w:w="70" w:type="dxa"/>
              <w:bottom w:w="70" w:type="dxa"/>
              <w:left w:w="100" w:type="dxa"/>
              <w:right w:w="100" w:type="dxa"/>
            </w:tcMar>
          </w:tcPr>
          <w:p>
            <w:pPr>
              <w:spacing w:before="60" w:after="60"/>
            </w:pPr>
            <w:r>
              <w:t>Aprobado. Plegado cilíndrico fluido. Protección del paracaídas mediante manta de material ignífugo de 15 x 15 cm interpuesta que actúa como pistón bloqueador de gases, mientras que el cordón de Kevlar resiste térmicamente el fogonazo de eyección por su estabilidad intrínseca hasta 450 °C sin fundirse ni degradar su resistencia mecánica.</w:t>
            </w:r>
          </w:p>
        </w:tc>
      </w:tr>
    </w:tbl>
    <w:p>
      <w:pPr>
        <w:pStyle w:val="Heading2"/>
      </w:pPr>
      <w:r>
        <w:t>4.1 Código LaTeX Tabla 27 para Overleaf</w:t>
      </w:r>
    </w:p>
    <w:p>
      <w:pPr>
        <w:ind w:left="288"/>
      </w:pPr>
      <w:r>
        <w:rPr>
          <w:rFonts w:ascii="Consolas" w:hAnsi="Consolas"/>
          <w:sz w:val="17"/>
        </w:rPr>
        <w:t>\begin{table}[htbp]</w:t>
        <w:br/>
        <w:t>\centering</w:t>
        <w:br/>
        <w:t>\caption{Pruebas del sistema de recuperación del cohete Sideral}</w:t>
        <w:br/>
        <w:t>\label{tab:pruebas_recuperacion}</w:t>
        <w:br/>
        <w:t>\begin{tabularx}{\textwidth}{lXX}</w:t>
        <w:br/>
        <w:t>\hline</w:t>
        <w:br/>
        <w:t>\textbf{Prueba} &amp; \textbf{Procedimiento y criterio} &amp; \textbf{Resultado} \\ \hline</w:t>
        <w:br/>
        <w:t xml:space="preserve">Ajuste de la separación &amp; </w:t>
        <w:br/>
        <w:t xml:space="preserve">Con paracaídas y cordón empacados, la unión acoplador-tubo no se separa por gravedad propia al sostener de la ojiva, pero desaloja con tracción manual moderada (15--25~N) en menos de 2~s. &amp; </w:t>
        <w:br/>
        <w:t>\textbf{Aprobado.} Unión firme por fricción calculada; desacople suave en 1,2~s ante tracción axial sin atascos. \\ \hline</w:t>
        <w:br/>
        <w:t xml:space="preserve">Tracción de anclajes &amp; </w:t>
        <w:br/>
        <w:t xml:space="preserve">Asa del acoplador, cáncamo superior y unión del paracaídas sometidos a 100~N de tracción sostenida durante 10~s (choque estimado de 12--15~G). &amp; </w:t>
        <w:br/>
        <w:t>\textbf{Aprobado.} El anclaje de Kevlar y el asa del acoplador en PETG-CF resistieron la carga sin deformación plástica ni fisuras. \\ \hline</w:t>
        <w:br/>
        <w:t xml:space="preserve">Longitud del cordón &amp; </w:t>
        <w:br/>
        <w:t xml:space="preserve">Mínimo normativo de 2 veces la longitud del vehículo (1,8~m). Verificación métrica en taller de cinta de Kevlar plano. &amp; </w:t>
        <w:br/>
        <w:t>\textbf{Aprobado.} Cordón de 12 pies (3,66~m) con gazas terminales de amarre, dejando \textbf{340~cm (3,40~m)} útiles (factor $3,78\times$ longitud total), asegurando amortiguamiento elástico óptimo. \\ \hline</w:t>
        <w:br/>
        <w:t xml:space="preserve">Caída del paracaídas &amp; </w:t>
        <w:br/>
        <w:t xml:space="preserve">Soltar desde 12~m con masa equivalente de descenso (824~g). Velocidad de descenso requerida entre 6,0 y 7,5~m/s para radio de 400~m. &amp; </w:t>
        <w:br/>
        <w:t>\textbf{Aprobado.} Inflado completo en 1,1~s. Velocidad terminal medida de \textbf{7,1~m/s} (OpenRocket: 7,06~m/s, error $&lt;1\%$). \\ \hline</w:t>
        <w:br/>
        <w:t xml:space="preserve">Empaque y protección ignífuga &amp; </w:t>
        <w:br/>
        <w:t xml:space="preserve">Plegado en rollo ordenado sin torsión de líneas y barrera térmica protectora ante la eyección del motor G80-7T. &amp; </w:t>
        <w:br/>
        <w:t>\textbf{Aprobado.} Plegado cilíndrico fluido. Protección del paracaídas mediante manta de material ignífugo de $15 \times 15$~cm, y cordón de Kevlar plano autoextinguible con resistencia térmica intrínseca hasta 450~$^\circ$C. \\ \hline</w:t>
        <w:br/>
        <w:t>\end{tabularx}</w:t>
        <w:br/>
        <w:t>\end{table}</w:t>
      </w:r>
    </w:p>
    <w:p>
      <w:pPr>
        <w:pStyle w:val="Heading1"/>
      </w:pPr>
      <w:r>
        <w:rPr>
          <w:color w:val="1E3A8A"/>
        </w:rPr>
        <w:t>5. AJUSTE: TABLA 2 - FILA ACOPLADORES Y RETENCIÓN CON INSERTOS DE LATÓN (PÁG. 6)</w:t>
      </w:r>
    </w:p>
    <w:p>
      <w:r>
        <w:t>Justificación técnica de ingeniería para el acoplador: la sección inferior cuenta con 1 calibre completo (102 mm) de inserción deslizante para una eyección libre sin trabas, mientras que la sección superior se acopla a la bahía mediante fijación mecánica positiva con tornillos M3 roscados a insertos de latón moleteados termosellados en la pieza FDM, garantizando desmontabilidad e integridad estructural sin requerir 1 calibre deslizante en la zona fija.</w:t>
      </w:r>
    </w:p>
    <w:tbl>
      <w:tblPr>
        <w:tblW w:type="auto" w:w="0"/>
        <w:jc w:val="center"/>
        <w:tblLook w:firstColumn="1" w:firstRow="1" w:lastColumn="0" w:lastRow="0" w:noHBand="0" w:noVBand="1" w:val="04A0"/>
      </w:tblPr>
      <w:tblGrid>
        <w:gridCol w:w="4968"/>
        <w:gridCol w:w="4968"/>
      </w:tblGrid>
      <w:tr>
        <w:tc>
          <w:tcPr>
            <w:tcW w:type="dxa" w:w="4968"/>
            <w:shd w:fill="1E3A8A"/>
            <w:tcMar>
              <w:top w:w="70" w:type="dxa"/>
              <w:bottom w:w="70" w:type="dxa"/>
              <w:left w:w="100" w:type="dxa"/>
              <w:right w:w="100" w:type="dxa"/>
            </w:tcMar>
          </w:tcPr>
          <w:p>
            <w:pPr>
              <w:spacing w:before="60" w:after="60"/>
            </w:pPr>
            <w:r>
              <w:rPr>
                <w:b/>
                <w:color w:val="FFFFFF"/>
              </w:rPr>
              <w:t>Campo</w:t>
            </w:r>
          </w:p>
        </w:tc>
        <w:tc>
          <w:tcPr>
            <w:tcW w:type="dxa" w:w="4968"/>
            <w:shd w:fill="1E3A8A"/>
            <w:tcMar>
              <w:top w:w="70" w:type="dxa"/>
              <w:bottom w:w="70" w:type="dxa"/>
              <w:left w:w="100" w:type="dxa"/>
              <w:right w:w="100" w:type="dxa"/>
            </w:tcMar>
          </w:tcPr>
          <w:p>
            <w:pPr>
              <w:spacing w:before="60" w:after="60"/>
            </w:pPr>
            <w:r>
              <w:rPr>
                <w:b/>
                <w:color w:val="FFFFFF"/>
              </w:rPr>
              <w:t>Texto Definitivo para el Informe CDR</w:t>
            </w:r>
          </w:p>
        </w:tc>
      </w:tr>
      <w:tr>
        <w:tc>
          <w:tcPr>
            <w:tcW w:type="dxa" w:w="4968"/>
            <w:shd w:fill="F9FAFB"/>
            <w:tcMar>
              <w:top w:w="70" w:type="dxa"/>
              <w:bottom w:w="70" w:type="dxa"/>
              <w:left w:w="100" w:type="dxa"/>
              <w:right w:w="100" w:type="dxa"/>
            </w:tcMar>
          </w:tcPr>
          <w:p>
            <w:pPr>
              <w:spacing w:before="60" w:after="60"/>
            </w:pPr>
            <w:r>
              <w:rPr>
                <w:b/>
              </w:rPr>
              <w:t>Requerimiento</w:t>
            </w:r>
          </w:p>
        </w:tc>
        <w:tc>
          <w:tcPr>
            <w:tcW w:type="dxa" w:w="4968"/>
            <w:shd w:fill="F9FAFB"/>
            <w:tcMar>
              <w:top w:w="70" w:type="dxa"/>
              <w:bottom w:w="70" w:type="dxa"/>
              <w:left w:w="100" w:type="dxa"/>
              <w:right w:w="100" w:type="dxa"/>
            </w:tcMar>
          </w:tcPr>
          <w:p>
            <w:pPr>
              <w:spacing w:before="60" w:after="60"/>
            </w:pPr>
            <w:r>
              <w:t>Acopladores ≥ 1 calibre en el plano de separación (DCP 3.1)</w:t>
            </w:r>
          </w:p>
        </w:tc>
      </w:tr>
      <w:tr>
        <w:tc>
          <w:tcPr>
            <w:tcW w:type="dxa" w:w="4968"/>
            <w:tcMar>
              <w:top w:w="70" w:type="dxa"/>
              <w:bottom w:w="70" w:type="dxa"/>
              <w:left w:w="100" w:type="dxa"/>
              <w:right w:w="100" w:type="dxa"/>
            </w:tcMar>
          </w:tcPr>
          <w:p>
            <w:pPr>
              <w:spacing w:before="60" w:after="60"/>
            </w:pPr>
            <w:r>
              <w:rPr>
                <w:b/>
              </w:rPr>
              <w:t>Fuente</w:t>
            </w:r>
          </w:p>
        </w:tc>
        <w:tc>
          <w:tcPr>
            <w:tcW w:type="dxa" w:w="4968"/>
            <w:tcMar>
              <w:top w:w="70" w:type="dxa"/>
              <w:bottom w:w="70" w:type="dxa"/>
              <w:left w:w="100" w:type="dxa"/>
              <w:right w:w="100" w:type="dxa"/>
            </w:tcMar>
          </w:tcPr>
          <w:p>
            <w:pPr>
              <w:spacing w:before="60" w:after="60"/>
            </w:pPr>
            <w:r>
              <w:t>DCP Sección 3.1.2 [3]</w:t>
            </w:r>
          </w:p>
        </w:tc>
      </w:tr>
      <w:tr>
        <w:tc>
          <w:tcPr>
            <w:tcW w:type="dxa" w:w="4968"/>
            <w:shd w:fill="F9FAFB"/>
            <w:tcMar>
              <w:top w:w="70" w:type="dxa"/>
              <w:bottom w:w="70" w:type="dxa"/>
              <w:left w:w="100" w:type="dxa"/>
              <w:right w:w="100" w:type="dxa"/>
            </w:tcMar>
          </w:tcPr>
          <w:p>
            <w:pPr>
              <w:spacing w:before="60" w:after="60"/>
            </w:pPr>
            <w:r>
              <w:rPr>
                <w:b/>
              </w:rPr>
              <w:t>Valor de diseño</w:t>
            </w:r>
          </w:p>
        </w:tc>
        <w:tc>
          <w:tcPr>
            <w:tcW w:type="dxa" w:w="4968"/>
            <w:shd w:fill="F9FAFB"/>
            <w:tcMar>
              <w:top w:w="70" w:type="dxa"/>
              <w:bottom w:w="70" w:type="dxa"/>
              <w:left w:w="100" w:type="dxa"/>
              <w:right w:w="100" w:type="dxa"/>
            </w:tcMar>
          </w:tcPr>
          <w:p>
            <w:pPr>
              <w:spacing w:before="60" w:after="60"/>
            </w:pPr>
            <w:r>
              <w:t>Lado inferior (separación): 102 mm (1,0 cal) de inserción libre para deslizamiento axial fluido sin bloqueo. Lado superior (bahía aviónica): unión fija y rígida asegurada mediante tornillos radiales M3 de acero inoxidable roscados a insertos de latón moleteados termosellados en la pared de la pieza.</w:t>
            </w:r>
          </w:p>
        </w:tc>
      </w:tr>
      <w:tr>
        <w:tc>
          <w:tcPr>
            <w:tcW w:type="dxa" w:w="4968"/>
            <w:tcMar>
              <w:top w:w="70" w:type="dxa"/>
              <w:bottom w:w="70" w:type="dxa"/>
              <w:left w:w="100" w:type="dxa"/>
              <w:right w:w="100" w:type="dxa"/>
            </w:tcMar>
          </w:tcPr>
          <w:p>
            <w:pPr>
              <w:spacing w:before="60" w:after="60"/>
            </w:pPr>
            <w:r>
              <w:rPr>
                <w:b/>
              </w:rPr>
              <w:t>Verificación</w:t>
            </w:r>
          </w:p>
        </w:tc>
        <w:tc>
          <w:tcPr>
            <w:tcW w:type="dxa" w:w="4968"/>
            <w:tcMar>
              <w:top w:w="70" w:type="dxa"/>
              <w:bottom w:w="70" w:type="dxa"/>
              <w:left w:w="100" w:type="dxa"/>
              <w:right w:w="100" w:type="dxa"/>
            </w:tcMar>
          </w:tcPr>
          <w:p>
            <w:pPr>
              <w:spacing w:before="60" w:after="60"/>
            </w:pPr>
            <w:r>
              <w:t>Medición dimensional con pie de rey e inspección técnica de apriete mecánico</w:t>
            </w:r>
          </w:p>
        </w:tc>
      </w:tr>
      <w:tr>
        <w:tc>
          <w:tcPr>
            <w:tcW w:type="dxa" w:w="4968"/>
            <w:shd w:fill="ECFDF5"/>
            <w:tcMar>
              <w:top w:w="70" w:type="dxa"/>
              <w:bottom w:w="70" w:type="dxa"/>
              <w:left w:w="100" w:type="dxa"/>
              <w:right w:w="100" w:type="dxa"/>
            </w:tcMar>
          </w:tcPr>
          <w:p>
            <w:pPr>
              <w:spacing w:before="60" w:after="60"/>
            </w:pPr>
            <w:r>
              <w:rPr>
                <w:b/>
              </w:rPr>
              <w:t>Estado</w:t>
            </w:r>
          </w:p>
        </w:tc>
        <w:tc>
          <w:tcPr>
            <w:tcW w:type="dxa" w:w="4968"/>
            <w:shd w:fill="ECFDF5"/>
            <w:tcMar>
              <w:top w:w="70" w:type="dxa"/>
              <w:bottom w:w="70" w:type="dxa"/>
              <w:left w:w="100" w:type="dxa"/>
              <w:right w:w="100" w:type="dxa"/>
            </w:tcMar>
          </w:tcPr>
          <w:p>
            <w:pPr>
              <w:spacing w:before="60" w:after="60"/>
            </w:pPr>
            <w:r>
              <w:rPr>
                <w:b/>
                <w:color w:val="059669"/>
              </w:rPr>
              <w:t>Cumple</w:t>
            </w:r>
          </w:p>
        </w:tc>
      </w:tr>
    </w:tbl>
    <w:p>
      <w:pPr>
        <w:pStyle w:val="Heading2"/>
      </w:pPr>
      <w:r>
        <w:t>5.1 Código LaTeX Fila Tabla 2 para Overleaf</w:t>
      </w:r>
    </w:p>
    <w:p>
      <w:pPr>
        <w:ind w:left="288"/>
      </w:pPr>
      <w:r>
        <w:rPr>
          <w:rFonts w:ascii="Consolas" w:hAnsi="Consolas"/>
          <w:sz w:val="17"/>
        </w:rPr>
        <w:t>% Fila para Tabla 2 (Matriz de Cumplimiento)</w:t>
        <w:br/>
        <w:t xml:space="preserve">Acopladores en separación &amp; [3] &amp; </w:t>
        <w:br/>
        <w:t xml:space="preserve">Lado inferior: 102~mm (1,0~cal) de deslizamiento libre. Lado superior: unión fija atornillada con tornillos M3 e insertos de latón termosellados. &amp; </w:t>
        <w:br/>
        <w:t xml:space="preserve">Medición con pie de rey e inspección &amp; </w:t>
        <w:br/>
        <w:t>\textbf{Cumple} \\ \hline</w:t>
        <w:br/>
      </w:r>
    </w:p>
    <w:p>
      <w:pPr>
        <w:pStyle w:val="Heading1"/>
      </w:pPr>
      <w:r>
        <w:rPr>
          <w:color w:val="1E3A8A"/>
        </w:rPr>
        <w:t>6. AJUSTE: TABLA 2 - FILA VENTILACIÓN DEL FUSELAJE Y ALTÍMETRO (PÁG. 6)</w:t>
      </w:r>
    </w:p>
    <w:p>
      <w:r>
        <w:t>Definición y cierre de los orificios de ecualización barométrica para prevenir la sobrepresión interna durante el ascenso y garantizar lecturas precisas de presión estática en el altímetro Jolly Logic y en el barómetro DPS310 del CanSat.</w:t>
      </w:r>
    </w:p>
    <w:tbl>
      <w:tblPr>
        <w:tblW w:type="auto" w:w="0"/>
        <w:jc w:val="center"/>
        <w:tblLook w:firstColumn="1" w:firstRow="1" w:lastColumn="0" w:lastRow="0" w:noHBand="0" w:noVBand="1" w:val="04A0"/>
      </w:tblPr>
      <w:tblGrid>
        <w:gridCol w:w="4968"/>
        <w:gridCol w:w="4968"/>
      </w:tblGrid>
      <w:tr>
        <w:tc>
          <w:tcPr>
            <w:tcW w:type="dxa" w:w="4968"/>
            <w:shd w:fill="1E3A8A"/>
            <w:tcMar>
              <w:top w:w="70" w:type="dxa"/>
              <w:bottom w:w="70" w:type="dxa"/>
              <w:left w:w="100" w:type="dxa"/>
              <w:right w:w="100" w:type="dxa"/>
            </w:tcMar>
          </w:tcPr>
          <w:p>
            <w:pPr>
              <w:spacing w:before="60" w:after="60"/>
            </w:pPr>
            <w:r>
              <w:rPr>
                <w:b/>
                <w:color w:val="FFFFFF"/>
              </w:rPr>
              <w:t>Campo</w:t>
            </w:r>
          </w:p>
        </w:tc>
        <w:tc>
          <w:tcPr>
            <w:tcW w:type="dxa" w:w="4968"/>
            <w:shd w:fill="1E3A8A"/>
            <w:tcMar>
              <w:top w:w="70" w:type="dxa"/>
              <w:bottom w:w="70" w:type="dxa"/>
              <w:left w:w="100" w:type="dxa"/>
              <w:right w:w="100" w:type="dxa"/>
            </w:tcMar>
          </w:tcPr>
          <w:p>
            <w:pPr>
              <w:spacing w:before="60" w:after="60"/>
            </w:pPr>
            <w:r>
              <w:rPr>
                <w:b/>
                <w:color w:val="FFFFFF"/>
              </w:rPr>
              <w:t>Texto Definitivo para el Informe CDR</w:t>
            </w:r>
          </w:p>
        </w:tc>
      </w:tr>
      <w:tr>
        <w:tc>
          <w:tcPr>
            <w:tcW w:type="dxa" w:w="4968"/>
            <w:shd w:fill="F9FAFB"/>
            <w:tcMar>
              <w:top w:w="70" w:type="dxa"/>
              <w:bottom w:w="70" w:type="dxa"/>
              <w:left w:w="100" w:type="dxa"/>
              <w:right w:w="100" w:type="dxa"/>
            </w:tcMar>
          </w:tcPr>
          <w:p>
            <w:pPr>
              <w:spacing w:before="60" w:after="60"/>
            </w:pPr>
            <w:r>
              <w:rPr>
                <w:b/>
              </w:rPr>
              <w:t>Requerimiento</w:t>
            </w:r>
          </w:p>
        </w:tc>
        <w:tc>
          <w:tcPr>
            <w:tcW w:type="dxa" w:w="4968"/>
            <w:shd w:fill="F9FAFB"/>
            <w:tcMar>
              <w:top w:w="70" w:type="dxa"/>
              <w:bottom w:w="70" w:type="dxa"/>
              <w:left w:w="100" w:type="dxa"/>
              <w:right w:w="100" w:type="dxa"/>
            </w:tcMar>
          </w:tcPr>
          <w:p>
            <w:pPr>
              <w:spacing w:before="60" w:after="60"/>
            </w:pPr>
            <w:r>
              <w:t>Ventilación del fuselaje y del altímetro (DCP 3.2.8)</w:t>
            </w:r>
          </w:p>
        </w:tc>
      </w:tr>
      <w:tr>
        <w:tc>
          <w:tcPr>
            <w:tcW w:type="dxa" w:w="4968"/>
            <w:tcMar>
              <w:top w:w="70" w:type="dxa"/>
              <w:bottom w:w="70" w:type="dxa"/>
              <w:left w:w="100" w:type="dxa"/>
              <w:right w:w="100" w:type="dxa"/>
            </w:tcMar>
          </w:tcPr>
          <w:p>
            <w:pPr>
              <w:spacing w:before="60" w:after="60"/>
            </w:pPr>
            <w:r>
              <w:rPr>
                <w:b/>
              </w:rPr>
              <w:t>Fuente</w:t>
            </w:r>
          </w:p>
        </w:tc>
        <w:tc>
          <w:tcPr>
            <w:tcW w:type="dxa" w:w="4968"/>
            <w:tcMar>
              <w:top w:w="70" w:type="dxa"/>
              <w:bottom w:w="70" w:type="dxa"/>
              <w:left w:w="100" w:type="dxa"/>
              <w:right w:w="100" w:type="dxa"/>
            </w:tcMar>
          </w:tcPr>
          <w:p>
            <w:pPr>
              <w:spacing w:before="60" w:after="60"/>
            </w:pPr>
            <w:r>
              <w:t>DCP Sección 3.2.8 [3]</w:t>
            </w:r>
          </w:p>
        </w:tc>
      </w:tr>
      <w:tr>
        <w:tc>
          <w:tcPr>
            <w:tcW w:type="dxa" w:w="4968"/>
            <w:shd w:fill="F9FAFB"/>
            <w:tcMar>
              <w:top w:w="70" w:type="dxa"/>
              <w:bottom w:w="70" w:type="dxa"/>
              <w:left w:w="100" w:type="dxa"/>
              <w:right w:w="100" w:type="dxa"/>
            </w:tcMar>
          </w:tcPr>
          <w:p>
            <w:pPr>
              <w:spacing w:before="60" w:after="60"/>
            </w:pPr>
            <w:r>
              <w:rPr>
                <w:b/>
              </w:rPr>
              <w:t>Valor de diseño</w:t>
            </w:r>
          </w:p>
        </w:tc>
        <w:tc>
          <w:tcPr>
            <w:tcW w:type="dxa" w:w="4968"/>
            <w:shd w:fill="F9FAFB"/>
            <w:tcMar>
              <w:top w:w="70" w:type="dxa"/>
              <w:bottom w:w="70" w:type="dxa"/>
              <w:left w:w="100" w:type="dxa"/>
              <w:right w:w="100" w:type="dxa"/>
            </w:tcMar>
          </w:tcPr>
          <w:p>
            <w:pPr>
              <w:spacing w:before="60" w:after="60"/>
            </w:pPr>
            <w:r>
              <w:t>Orificio de ecualización estática de Ø2,5 mm perforado en la bahía del altímetro a 90° de la línea de botones de riel para evitar turbulencias, previniendo sobrepresión interna en ascenso y asegurando respuesta barométrica sin retardo.</w:t>
            </w:r>
          </w:p>
        </w:tc>
      </w:tr>
      <w:tr>
        <w:tc>
          <w:tcPr>
            <w:tcW w:type="dxa" w:w="4968"/>
            <w:tcMar>
              <w:top w:w="70" w:type="dxa"/>
              <w:bottom w:w="70" w:type="dxa"/>
              <w:left w:w="100" w:type="dxa"/>
              <w:right w:w="100" w:type="dxa"/>
            </w:tcMar>
          </w:tcPr>
          <w:p>
            <w:pPr>
              <w:spacing w:before="60" w:after="60"/>
            </w:pPr>
            <w:r>
              <w:rPr>
                <w:b/>
              </w:rPr>
              <w:t>Verificación</w:t>
            </w:r>
          </w:p>
        </w:tc>
        <w:tc>
          <w:tcPr>
            <w:tcW w:type="dxa" w:w="4968"/>
            <w:tcMar>
              <w:top w:w="70" w:type="dxa"/>
              <w:bottom w:w="70" w:type="dxa"/>
              <w:left w:w="100" w:type="dxa"/>
              <w:right w:w="100" w:type="dxa"/>
            </w:tcMar>
          </w:tcPr>
          <w:p>
            <w:pPr>
              <w:spacing w:before="60" w:after="60"/>
            </w:pPr>
            <w:r>
              <w:t>Inspección dimensional con galga/broca calibrada de Ø2,5 mm y verificación de paso despejado</w:t>
            </w:r>
          </w:p>
        </w:tc>
      </w:tr>
      <w:tr>
        <w:tc>
          <w:tcPr>
            <w:tcW w:type="dxa" w:w="4968"/>
            <w:shd w:fill="ECFDF5"/>
            <w:tcMar>
              <w:top w:w="70" w:type="dxa"/>
              <w:bottom w:w="70" w:type="dxa"/>
              <w:left w:w="100" w:type="dxa"/>
              <w:right w:w="100" w:type="dxa"/>
            </w:tcMar>
          </w:tcPr>
          <w:p>
            <w:pPr>
              <w:spacing w:before="60" w:after="60"/>
            </w:pPr>
            <w:r>
              <w:rPr>
                <w:b/>
              </w:rPr>
              <w:t>Estado</w:t>
            </w:r>
          </w:p>
        </w:tc>
        <w:tc>
          <w:tcPr>
            <w:tcW w:type="dxa" w:w="4968"/>
            <w:shd w:fill="ECFDF5"/>
            <w:tcMar>
              <w:top w:w="70" w:type="dxa"/>
              <w:bottom w:w="70" w:type="dxa"/>
              <w:left w:w="100" w:type="dxa"/>
              <w:right w:w="100" w:type="dxa"/>
            </w:tcMar>
          </w:tcPr>
          <w:p>
            <w:pPr>
              <w:spacing w:before="60" w:after="60"/>
            </w:pPr>
            <w:r>
              <w:rPr>
                <w:b/>
                <w:color w:val="059669"/>
              </w:rPr>
              <w:t>Cumple</w:t>
            </w:r>
          </w:p>
        </w:tc>
      </w:tr>
    </w:tbl>
    <w:p>
      <w:pPr>
        <w:pStyle w:val="Heading2"/>
      </w:pPr>
      <w:r>
        <w:t>6.1 Código LaTeX Fila Tabla 2 para Overleaf</w:t>
      </w:r>
    </w:p>
    <w:p>
      <w:pPr>
        <w:ind w:left="288"/>
      </w:pPr>
      <w:r>
        <w:rPr>
          <w:rFonts w:ascii="Consolas" w:hAnsi="Consolas"/>
          <w:sz w:val="17"/>
        </w:rPr>
        <w:t>% Fila para Tabla 2 (Ventilación del fuselaje y altímetro)</w:t>
        <w:br/>
        <w:t xml:space="preserve">Ventilación del fuselaje y altímetro &amp; [3] &amp; </w:t>
        <w:br/>
        <w:t xml:space="preserve">Orificio estático de $\varnothing 2,5$~mm a $90^\circ$ de los botones de riel; ecualización de presión sin vórtices dinámicos. &amp; </w:t>
        <w:br/>
        <w:t xml:space="preserve">Inspección dimensional ($\varnothing 2,5$~mm) &amp; </w:t>
        <w:br/>
        <w:t>\textbf{Cumple} \\ \hline</w:t>
        <w:br/>
      </w:r>
    </w:p>
    <w:p>
      <w:pPr>
        <w:pStyle w:val="Heading1"/>
      </w:pPr>
      <w:r>
        <w:rPr>
          <w:color w:val="1E3A8A"/>
        </w:rPr>
        <w:t>7. AJUSTE: TABLA 2 - FILA MARGEN DE ESTABILIDAD A 2,04 CALIBRES (PÁG. 5)</w:t>
      </w:r>
    </w:p>
    <w:p>
      <w:r>
        <w:t>Resultado de la calibración final en OpenRocket (Simulación Sideral.csv): al ubicar la masa del CanSat en 250,0 g en la sección delantera del fuselaje, el Centro de Gravedad (CG) se desplaza hacia proa, elevando el margen estático a 2,04 calibres desde la salida del riel. Esto garantiza el cumplimiento estricto del requisito de estabilidad (≥ 2,0 cal) en el 100 % de las fases del vuelo.</w:t>
      </w:r>
    </w:p>
    <w:tbl>
      <w:tblPr>
        <w:tblW w:type="auto" w:w="0"/>
        <w:jc w:val="center"/>
        <w:tblLook w:firstColumn="1" w:firstRow="1" w:lastColumn="0" w:lastRow="0" w:noHBand="0" w:noVBand="1" w:val="04A0"/>
      </w:tblPr>
      <w:tblGrid>
        <w:gridCol w:w="4968"/>
        <w:gridCol w:w="4968"/>
      </w:tblGrid>
      <w:tr>
        <w:tc>
          <w:tcPr>
            <w:tcW w:type="dxa" w:w="4968"/>
            <w:shd w:fill="1E3A8A"/>
            <w:tcMar>
              <w:top w:w="70" w:type="dxa"/>
              <w:bottom w:w="70" w:type="dxa"/>
              <w:left w:w="100" w:type="dxa"/>
              <w:right w:w="100" w:type="dxa"/>
            </w:tcMar>
          </w:tcPr>
          <w:p>
            <w:pPr>
              <w:spacing w:before="60" w:after="60"/>
            </w:pPr>
            <w:r>
              <w:rPr>
                <w:b/>
                <w:color w:val="FFFFFF"/>
              </w:rPr>
              <w:t>Campo</w:t>
            </w:r>
          </w:p>
        </w:tc>
        <w:tc>
          <w:tcPr>
            <w:tcW w:type="dxa" w:w="4968"/>
            <w:shd w:fill="1E3A8A"/>
            <w:tcMar>
              <w:top w:w="70" w:type="dxa"/>
              <w:bottom w:w="70" w:type="dxa"/>
              <w:left w:w="100" w:type="dxa"/>
              <w:right w:w="100" w:type="dxa"/>
            </w:tcMar>
          </w:tcPr>
          <w:p>
            <w:pPr>
              <w:spacing w:before="60" w:after="60"/>
            </w:pPr>
            <w:r>
              <w:rPr>
                <w:b/>
                <w:color w:val="FFFFFF"/>
              </w:rPr>
              <w:t>Texto Definitivo para el Informe CDR</w:t>
            </w:r>
          </w:p>
        </w:tc>
      </w:tr>
      <w:tr>
        <w:tc>
          <w:tcPr>
            <w:tcW w:type="dxa" w:w="4968"/>
            <w:shd w:fill="F9FAFB"/>
            <w:tcMar>
              <w:top w:w="70" w:type="dxa"/>
              <w:bottom w:w="70" w:type="dxa"/>
              <w:left w:w="100" w:type="dxa"/>
              <w:right w:w="100" w:type="dxa"/>
            </w:tcMar>
          </w:tcPr>
          <w:p>
            <w:pPr>
              <w:spacing w:before="60" w:after="60"/>
            </w:pPr>
            <w:r>
              <w:rPr>
                <w:b/>
              </w:rPr>
              <w:t>Requerimiento</w:t>
            </w:r>
          </w:p>
        </w:tc>
        <w:tc>
          <w:tcPr>
            <w:tcW w:type="dxa" w:w="4968"/>
            <w:shd w:fill="F9FAFB"/>
            <w:tcMar>
              <w:top w:w="70" w:type="dxa"/>
              <w:bottom w:w="70" w:type="dxa"/>
              <w:left w:w="100" w:type="dxa"/>
              <w:right w:w="100" w:type="dxa"/>
            </w:tcMar>
          </w:tcPr>
          <w:p>
            <w:pPr>
              <w:spacing w:before="60" w:after="60"/>
            </w:pPr>
            <w:r>
              <w:t>Margen de estabilidad ≥ 2,0 calibres (DCP 3.1.1 / NSRT 4.3)</w:t>
            </w:r>
          </w:p>
        </w:tc>
      </w:tr>
      <w:tr>
        <w:tc>
          <w:tcPr>
            <w:tcW w:type="dxa" w:w="4968"/>
            <w:tcMar>
              <w:top w:w="70" w:type="dxa"/>
              <w:bottom w:w="70" w:type="dxa"/>
              <w:left w:w="100" w:type="dxa"/>
              <w:right w:w="100" w:type="dxa"/>
            </w:tcMar>
          </w:tcPr>
          <w:p>
            <w:pPr>
              <w:spacing w:before="60" w:after="60"/>
            </w:pPr>
            <w:r>
              <w:rPr>
                <w:b/>
              </w:rPr>
              <w:t>Fuente</w:t>
            </w:r>
          </w:p>
        </w:tc>
        <w:tc>
          <w:tcPr>
            <w:tcW w:type="dxa" w:w="4968"/>
            <w:tcMar>
              <w:top w:w="70" w:type="dxa"/>
              <w:bottom w:w="70" w:type="dxa"/>
              <w:left w:w="100" w:type="dxa"/>
              <w:right w:w="100" w:type="dxa"/>
            </w:tcMar>
          </w:tcPr>
          <w:p>
            <w:pPr>
              <w:spacing w:before="60" w:after="60"/>
            </w:pPr>
            <w:r>
              <w:t>DCP Sección 3.1.1 [3] y NSRT Sección 4.3 [4]</w:t>
            </w:r>
          </w:p>
        </w:tc>
      </w:tr>
      <w:tr>
        <w:tc>
          <w:tcPr>
            <w:tcW w:type="dxa" w:w="4968"/>
            <w:shd w:fill="F9FAFB"/>
            <w:tcMar>
              <w:top w:w="70" w:type="dxa"/>
              <w:bottom w:w="70" w:type="dxa"/>
              <w:left w:w="100" w:type="dxa"/>
              <w:right w:w="100" w:type="dxa"/>
            </w:tcMar>
          </w:tcPr>
          <w:p>
            <w:pPr>
              <w:spacing w:before="60" w:after="60"/>
            </w:pPr>
            <w:r>
              <w:rPr>
                <w:b/>
              </w:rPr>
              <w:t>Valor de diseño</w:t>
            </w:r>
          </w:p>
        </w:tc>
        <w:tc>
          <w:tcPr>
            <w:tcW w:type="dxa" w:w="4968"/>
            <w:shd w:fill="F9FAFB"/>
            <w:tcMar>
              <w:top w:w="70" w:type="dxa"/>
              <w:bottom w:w="70" w:type="dxa"/>
              <w:left w:w="100" w:type="dxa"/>
              <w:right w:w="100" w:type="dxa"/>
            </w:tcMar>
          </w:tcPr>
          <w:p>
            <w:pPr>
              <w:spacing w:before="60" w:after="60"/>
            </w:pPr>
            <w:r>
              <w:t>Margen estático de 2,04 calibres en la salida de la guía de lanzamiento (con velocidad de salida segura de 61,6 km/h = 17,11 m/s), incrementándose continuamente durante el ascenso propulsado por el consumo de propelente en popa hasta superar los 2,3 calibres en burnout. Apogeo nominal de 390,9 m.</w:t>
            </w:r>
          </w:p>
        </w:tc>
      </w:tr>
      <w:tr>
        <w:tc>
          <w:tcPr>
            <w:tcW w:type="dxa" w:w="4968"/>
            <w:tcMar>
              <w:top w:w="70" w:type="dxa"/>
              <w:bottom w:w="70" w:type="dxa"/>
              <w:left w:w="100" w:type="dxa"/>
              <w:right w:w="100" w:type="dxa"/>
            </w:tcMar>
          </w:tcPr>
          <w:p>
            <w:pPr>
              <w:spacing w:before="60" w:after="60"/>
            </w:pPr>
            <w:r>
              <w:rPr>
                <w:b/>
              </w:rPr>
              <w:t>Verificación</w:t>
            </w:r>
          </w:p>
        </w:tc>
        <w:tc>
          <w:tcPr>
            <w:tcW w:type="dxa" w:w="4968"/>
            <w:tcMar>
              <w:top w:w="70" w:type="dxa"/>
              <w:bottom w:w="70" w:type="dxa"/>
              <w:left w:w="100" w:type="dxa"/>
              <w:right w:w="100" w:type="dxa"/>
            </w:tcMar>
          </w:tcPr>
          <w:p>
            <w:pPr>
              <w:spacing w:before="60" w:after="60"/>
            </w:pPr>
            <w:r>
              <w:t>Simulación numérica en OpenRocket (Simulación Sideral.csv) y verificación física de CG en banco</w:t>
            </w:r>
          </w:p>
        </w:tc>
      </w:tr>
      <w:tr>
        <w:tc>
          <w:tcPr>
            <w:tcW w:type="dxa" w:w="4968"/>
            <w:shd w:fill="ECFDF5"/>
            <w:tcMar>
              <w:top w:w="70" w:type="dxa"/>
              <w:bottom w:w="70" w:type="dxa"/>
              <w:left w:w="100" w:type="dxa"/>
              <w:right w:w="100" w:type="dxa"/>
            </w:tcMar>
          </w:tcPr>
          <w:p>
            <w:pPr>
              <w:spacing w:before="60" w:after="60"/>
            </w:pPr>
            <w:r>
              <w:rPr>
                <w:b/>
              </w:rPr>
              <w:t>Estado</w:t>
            </w:r>
          </w:p>
        </w:tc>
        <w:tc>
          <w:tcPr>
            <w:tcW w:type="dxa" w:w="4968"/>
            <w:shd w:fill="ECFDF5"/>
            <w:tcMar>
              <w:top w:w="70" w:type="dxa"/>
              <w:bottom w:w="70" w:type="dxa"/>
              <w:left w:w="100" w:type="dxa"/>
              <w:right w:w="100" w:type="dxa"/>
            </w:tcMar>
          </w:tcPr>
          <w:p>
            <w:pPr>
              <w:spacing w:before="60" w:after="60"/>
            </w:pPr>
            <w:r>
              <w:rPr>
                <w:b/>
                <w:color w:val="059669"/>
              </w:rPr>
              <w:t>Cumple</w:t>
            </w:r>
          </w:p>
        </w:tc>
      </w:tr>
    </w:tbl>
    <w:p>
      <w:pPr>
        <w:pStyle w:val="Heading2"/>
      </w:pPr>
      <w:r>
        <w:t>7.1 Código LaTeX Fila Tabla 2 para Overleaf</w:t>
      </w:r>
    </w:p>
    <w:p>
      <w:pPr>
        <w:ind w:left="288"/>
      </w:pPr>
      <w:r>
        <w:rPr>
          <w:rFonts w:ascii="Consolas" w:hAnsi="Consolas"/>
          <w:sz w:val="17"/>
        </w:rPr>
        <w:t>% Fila para Tabla 2 (Margen de estabilidad)</w:t>
        <w:br/>
        <w:t xml:space="preserve">Margen de estabilidad $\ge 2,0$~cal &amp; [3], [4], [28] &amp; </w:t>
        <w:br/>
        <w:t xml:space="preserve">2,04~cal en la salida del riel ($v_{\text{riel}} = 61,6$~km/h), aumentando durante el ascenso propulsado; apogeo a 390,9~m. &amp; </w:t>
        <w:br/>
        <w:t xml:space="preserve">OpenRocket (Simulación Sideral.csv) y medición de CG en banco &amp; </w:t>
        <w:br/>
        <w:t>\textbf{Cumple} \\ \hline</w:t>
        <w:br/>
      </w:r>
    </w:p>
    <w:p>
      <w:pPr>
        <w:pStyle w:val="Heading1"/>
      </w:pPr>
      <w:r>
        <w:rPr>
          <w:color w:val="1E3A8A"/>
        </w:rPr>
        <w:t>8. AJUSTE: TABLA 2 - FILA PROTECCIÓN TÉRMICA DE RECUPERACIÓN (PÁG. 6)</w:t>
      </w:r>
    </w:p>
    <w:tbl>
      <w:tblPr>
        <w:tblW w:type="auto" w:w="0"/>
        <w:jc w:val="center"/>
        <w:tblLook w:firstColumn="1" w:firstRow="1" w:lastColumn="0" w:lastRow="0" w:noHBand="0" w:noVBand="1" w:val="04A0"/>
      </w:tblPr>
      <w:tblGrid>
        <w:gridCol w:w="4968"/>
        <w:gridCol w:w="4968"/>
      </w:tblGrid>
      <w:tr>
        <w:tc>
          <w:tcPr>
            <w:tcW w:type="dxa" w:w="4968"/>
            <w:shd w:fill="1E3A8A"/>
            <w:tcMar>
              <w:top w:w="70" w:type="dxa"/>
              <w:bottom w:w="70" w:type="dxa"/>
              <w:left w:w="100" w:type="dxa"/>
              <w:right w:w="100" w:type="dxa"/>
            </w:tcMar>
          </w:tcPr>
          <w:p>
            <w:pPr>
              <w:spacing w:before="60" w:after="60"/>
            </w:pPr>
            <w:r>
              <w:rPr>
                <w:b/>
                <w:color w:val="FFFFFF"/>
              </w:rPr>
              <w:t>Campo</w:t>
            </w:r>
          </w:p>
        </w:tc>
        <w:tc>
          <w:tcPr>
            <w:tcW w:type="dxa" w:w="4968"/>
            <w:shd w:fill="1E3A8A"/>
            <w:tcMar>
              <w:top w:w="70" w:type="dxa"/>
              <w:bottom w:w="70" w:type="dxa"/>
              <w:left w:w="100" w:type="dxa"/>
              <w:right w:w="100" w:type="dxa"/>
            </w:tcMar>
          </w:tcPr>
          <w:p>
            <w:pPr>
              <w:spacing w:before="60" w:after="60"/>
            </w:pPr>
            <w:r>
              <w:rPr>
                <w:b/>
                <w:color w:val="FFFFFF"/>
              </w:rPr>
              <w:t>Texto Definitivo para el Informe CDR</w:t>
            </w:r>
          </w:p>
        </w:tc>
      </w:tr>
      <w:tr>
        <w:tc>
          <w:tcPr>
            <w:tcW w:type="dxa" w:w="4968"/>
            <w:shd w:fill="F9FAFB"/>
            <w:tcMar>
              <w:top w:w="70" w:type="dxa"/>
              <w:bottom w:w="70" w:type="dxa"/>
              <w:left w:w="100" w:type="dxa"/>
              <w:right w:w="100" w:type="dxa"/>
            </w:tcMar>
          </w:tcPr>
          <w:p>
            <w:pPr>
              <w:spacing w:before="60" w:after="60"/>
            </w:pPr>
            <w:r>
              <w:rPr>
                <w:b/>
              </w:rPr>
              <w:t>Requerimiento</w:t>
            </w:r>
          </w:p>
        </w:tc>
        <w:tc>
          <w:tcPr>
            <w:tcW w:type="dxa" w:w="4968"/>
            <w:shd w:fill="F9FAFB"/>
            <w:tcMar>
              <w:top w:w="70" w:type="dxa"/>
              <w:bottom w:w="70" w:type="dxa"/>
              <w:left w:w="100" w:type="dxa"/>
              <w:right w:w="100" w:type="dxa"/>
            </w:tcMar>
          </w:tcPr>
          <w:p>
            <w:pPr>
              <w:spacing w:before="60" w:after="60"/>
            </w:pPr>
            <w:r>
              <w:t>Protección térmica del cordón y del paracaídas (DCP 3.3)</w:t>
            </w:r>
          </w:p>
        </w:tc>
      </w:tr>
      <w:tr>
        <w:tc>
          <w:tcPr>
            <w:tcW w:type="dxa" w:w="4968"/>
            <w:tcMar>
              <w:top w:w="70" w:type="dxa"/>
              <w:bottom w:w="70" w:type="dxa"/>
              <w:left w:w="100" w:type="dxa"/>
              <w:right w:w="100" w:type="dxa"/>
            </w:tcMar>
          </w:tcPr>
          <w:p>
            <w:pPr>
              <w:spacing w:before="60" w:after="60"/>
            </w:pPr>
            <w:r>
              <w:rPr>
                <w:b/>
              </w:rPr>
              <w:t>Fuente</w:t>
            </w:r>
          </w:p>
        </w:tc>
        <w:tc>
          <w:tcPr>
            <w:tcW w:type="dxa" w:w="4968"/>
            <w:tcMar>
              <w:top w:w="70" w:type="dxa"/>
              <w:bottom w:w="70" w:type="dxa"/>
              <w:left w:w="100" w:type="dxa"/>
              <w:right w:w="100" w:type="dxa"/>
            </w:tcMar>
          </w:tcPr>
          <w:p>
            <w:pPr>
              <w:spacing w:before="60" w:after="60"/>
            </w:pPr>
            <w:r>
              <w:t>DCP Sección 3.3 [3]</w:t>
            </w:r>
          </w:p>
        </w:tc>
      </w:tr>
      <w:tr>
        <w:tc>
          <w:tcPr>
            <w:tcW w:type="dxa" w:w="4968"/>
            <w:shd w:fill="F9FAFB"/>
            <w:tcMar>
              <w:top w:w="70" w:type="dxa"/>
              <w:bottom w:w="70" w:type="dxa"/>
              <w:left w:w="100" w:type="dxa"/>
              <w:right w:w="100" w:type="dxa"/>
            </w:tcMar>
          </w:tcPr>
          <w:p>
            <w:pPr>
              <w:spacing w:before="60" w:after="60"/>
            </w:pPr>
            <w:r>
              <w:rPr>
                <w:b/>
              </w:rPr>
              <w:t>Valor de diseño</w:t>
            </w:r>
          </w:p>
        </w:tc>
        <w:tc>
          <w:tcPr>
            <w:tcW w:type="dxa" w:w="4968"/>
            <w:shd w:fill="F9FAFB"/>
            <w:tcMar>
              <w:top w:w="70" w:type="dxa"/>
              <w:bottom w:w="70" w:type="dxa"/>
              <w:left w:w="100" w:type="dxa"/>
              <w:right w:w="100" w:type="dxa"/>
            </w:tcMar>
          </w:tcPr>
          <w:p>
            <w:pPr>
              <w:spacing w:before="60" w:after="60"/>
            </w:pPr>
            <w:r>
              <w:t>Protección del paracaídas mediante manta ignífuga de fibra de vidrio de 15 x 15 cm interpuesta que actúa como pistón bloqueador de gases; protección del cordón asegurada por la resistencia térmica intrínseca del Kevlar estructural plano (autoextinguible hasta 450 °C sin fundirse).</w:t>
            </w:r>
          </w:p>
        </w:tc>
      </w:tr>
      <w:tr>
        <w:tc>
          <w:tcPr>
            <w:tcW w:type="dxa" w:w="4968"/>
            <w:tcMar>
              <w:top w:w="70" w:type="dxa"/>
              <w:bottom w:w="70" w:type="dxa"/>
              <w:left w:w="100" w:type="dxa"/>
              <w:right w:w="100" w:type="dxa"/>
            </w:tcMar>
          </w:tcPr>
          <w:p>
            <w:pPr>
              <w:spacing w:before="60" w:after="60"/>
            </w:pPr>
            <w:r>
              <w:rPr>
                <w:b/>
              </w:rPr>
              <w:t>Verificación</w:t>
            </w:r>
          </w:p>
        </w:tc>
        <w:tc>
          <w:tcPr>
            <w:tcW w:type="dxa" w:w="4968"/>
            <w:tcMar>
              <w:top w:w="70" w:type="dxa"/>
              <w:bottom w:w="70" w:type="dxa"/>
              <w:left w:w="100" w:type="dxa"/>
              <w:right w:w="100" w:type="dxa"/>
            </w:tcMar>
          </w:tcPr>
          <w:p>
            <w:pPr>
              <w:spacing w:before="60" w:after="60"/>
            </w:pPr>
            <w:r>
              <w:t>Inspección técnica de empaque en taller</w:t>
            </w:r>
          </w:p>
        </w:tc>
      </w:tr>
      <w:tr>
        <w:tc>
          <w:tcPr>
            <w:tcW w:type="dxa" w:w="4968"/>
            <w:shd w:fill="ECFDF5"/>
            <w:tcMar>
              <w:top w:w="70" w:type="dxa"/>
              <w:bottom w:w="70" w:type="dxa"/>
              <w:left w:w="100" w:type="dxa"/>
              <w:right w:w="100" w:type="dxa"/>
            </w:tcMar>
          </w:tcPr>
          <w:p>
            <w:pPr>
              <w:spacing w:before="60" w:after="60"/>
            </w:pPr>
            <w:r>
              <w:rPr>
                <w:b/>
              </w:rPr>
              <w:t>Estado</w:t>
            </w:r>
          </w:p>
        </w:tc>
        <w:tc>
          <w:tcPr>
            <w:tcW w:type="dxa" w:w="4968"/>
            <w:shd w:fill="ECFDF5"/>
            <w:tcMar>
              <w:top w:w="70" w:type="dxa"/>
              <w:bottom w:w="70" w:type="dxa"/>
              <w:left w:w="100" w:type="dxa"/>
              <w:right w:w="100" w:type="dxa"/>
            </w:tcMar>
          </w:tcPr>
          <w:p>
            <w:pPr>
              <w:spacing w:before="60" w:after="60"/>
            </w:pPr>
            <w:r>
              <w:rPr>
                <w:b/>
                <w:color w:val="059669"/>
              </w:rPr>
              <w:t>Cumple</w:t>
            </w:r>
          </w:p>
        </w:tc>
      </w:tr>
    </w:tbl>
    <w:p>
      <w:pPr>
        <w:pStyle w:val="Heading2"/>
      </w:pPr>
      <w:r>
        <w:t>8.1 Código LaTeX Fila Tabla 2 para Overleaf</w:t>
      </w:r>
    </w:p>
    <w:p>
      <w:pPr>
        <w:ind w:left="288"/>
      </w:pPr>
      <w:r>
        <w:rPr>
          <w:rFonts w:ascii="Consolas" w:hAnsi="Consolas"/>
          <w:sz w:val="17"/>
        </w:rPr>
        <w:t>% Fila para Tabla 2 (Protección térmica de recuperación)</w:t>
        <w:br/>
        <w:t xml:space="preserve">Protección térmica de recuperación &amp; [3] &amp; </w:t>
        <w:br/>
        <w:t xml:space="preserve">Manta ignífuga de $15 \times 15$~cm aislando el paracaídas y cordón plano de Kevlar con resistencia térmica intrínseca hasta 450~$^\circ$C. &amp; </w:t>
        <w:br/>
        <w:t xml:space="preserve">Inspección de empaque &amp; </w:t>
        <w:br/>
        <w:t>\textbf{Cumple} \\ \hline</w:t>
        <w:br/>
      </w:r>
    </w:p>
    <w:p>
      <w:pPr>
        <w:pStyle w:val="Heading1"/>
      </w:pPr>
      <w:r>
        <w:rPr>
          <w:color w:val="1E3A8A"/>
        </w:rPr>
        <w:t>9. AJUSTE: TABLA 2 - FILA ALTÍMETRO JOLLY LOGIC (PÁG. 7)</w:t>
      </w:r>
    </w:p>
    <w:tbl>
      <w:tblPr>
        <w:tblW w:type="auto" w:w="0"/>
        <w:jc w:val="center"/>
        <w:tblLook w:firstColumn="1" w:firstRow="1" w:lastColumn="0" w:lastRow="0" w:noHBand="0" w:noVBand="1" w:val="04A0"/>
      </w:tblPr>
      <w:tblGrid>
        <w:gridCol w:w="4968"/>
        <w:gridCol w:w="4968"/>
      </w:tblGrid>
      <w:tr>
        <w:tc>
          <w:tcPr>
            <w:tcW w:type="dxa" w:w="4968"/>
            <w:shd w:fill="1E3A8A"/>
            <w:tcMar>
              <w:top w:w="70" w:type="dxa"/>
              <w:bottom w:w="70" w:type="dxa"/>
              <w:left w:w="100" w:type="dxa"/>
              <w:right w:w="100" w:type="dxa"/>
            </w:tcMar>
          </w:tcPr>
          <w:p>
            <w:pPr>
              <w:spacing w:before="60" w:after="60"/>
            </w:pPr>
            <w:r>
              <w:rPr>
                <w:b/>
                <w:color w:val="FFFFFF"/>
              </w:rPr>
              <w:t>Campo</w:t>
            </w:r>
          </w:p>
        </w:tc>
        <w:tc>
          <w:tcPr>
            <w:tcW w:type="dxa" w:w="4968"/>
            <w:shd w:fill="1E3A8A"/>
            <w:tcMar>
              <w:top w:w="70" w:type="dxa"/>
              <w:bottom w:w="70" w:type="dxa"/>
              <w:left w:w="100" w:type="dxa"/>
              <w:right w:w="100" w:type="dxa"/>
            </w:tcMar>
          </w:tcPr>
          <w:p>
            <w:pPr>
              <w:spacing w:before="60" w:after="60"/>
            </w:pPr>
            <w:r>
              <w:rPr>
                <w:b/>
                <w:color w:val="FFFFFF"/>
              </w:rPr>
              <w:t>Texto Definitivo para el Informe CDR</w:t>
            </w:r>
          </w:p>
        </w:tc>
      </w:tr>
      <w:tr>
        <w:tc>
          <w:tcPr>
            <w:tcW w:type="dxa" w:w="4968"/>
            <w:shd w:fill="F9FAFB"/>
            <w:tcMar>
              <w:top w:w="70" w:type="dxa"/>
              <w:bottom w:w="70" w:type="dxa"/>
              <w:left w:w="100" w:type="dxa"/>
              <w:right w:w="100" w:type="dxa"/>
            </w:tcMar>
          </w:tcPr>
          <w:p>
            <w:pPr>
              <w:spacing w:before="60" w:after="60"/>
            </w:pPr>
            <w:r>
              <w:rPr>
                <w:b/>
              </w:rPr>
              <w:t>Requerimiento</w:t>
            </w:r>
          </w:p>
        </w:tc>
        <w:tc>
          <w:tcPr>
            <w:tcW w:type="dxa" w:w="4968"/>
            <w:shd w:fill="F9FAFB"/>
            <w:tcMar>
              <w:top w:w="70" w:type="dxa"/>
              <w:bottom w:w="70" w:type="dxa"/>
              <w:left w:w="100" w:type="dxa"/>
              <w:right w:w="100" w:type="dxa"/>
            </w:tcMar>
          </w:tcPr>
          <w:p>
            <w:pPr>
              <w:spacing w:before="60" w:after="60"/>
            </w:pPr>
            <w:r>
              <w:t>Altímetro Jolly Logic oficial (Guía Avanzados §4)</w:t>
            </w:r>
          </w:p>
        </w:tc>
      </w:tr>
      <w:tr>
        <w:tc>
          <w:tcPr>
            <w:tcW w:type="dxa" w:w="4968"/>
            <w:tcMar>
              <w:top w:w="70" w:type="dxa"/>
              <w:bottom w:w="70" w:type="dxa"/>
              <w:left w:w="100" w:type="dxa"/>
              <w:right w:w="100" w:type="dxa"/>
            </w:tcMar>
          </w:tcPr>
          <w:p>
            <w:pPr>
              <w:spacing w:before="60" w:after="60"/>
            </w:pPr>
            <w:r>
              <w:rPr>
                <w:b/>
              </w:rPr>
              <w:t>Fuente</w:t>
            </w:r>
          </w:p>
        </w:tc>
        <w:tc>
          <w:tcPr>
            <w:tcW w:type="dxa" w:w="4968"/>
            <w:tcMar>
              <w:top w:w="70" w:type="dxa"/>
              <w:bottom w:w="70" w:type="dxa"/>
              <w:left w:w="100" w:type="dxa"/>
              <w:right w:w="100" w:type="dxa"/>
            </w:tcMar>
          </w:tcPr>
          <w:p>
            <w:pPr>
              <w:spacing w:before="60" w:after="60"/>
            </w:pPr>
            <w:r>
              <w:t>Guía Categoría Avanzados [28]</w:t>
            </w:r>
          </w:p>
        </w:tc>
      </w:tr>
      <w:tr>
        <w:tc>
          <w:tcPr>
            <w:tcW w:type="dxa" w:w="4968"/>
            <w:shd w:fill="F9FAFB"/>
            <w:tcMar>
              <w:top w:w="70" w:type="dxa"/>
              <w:bottom w:w="70" w:type="dxa"/>
              <w:left w:w="100" w:type="dxa"/>
              <w:right w:w="100" w:type="dxa"/>
            </w:tcMar>
          </w:tcPr>
          <w:p>
            <w:pPr>
              <w:spacing w:before="60" w:after="60"/>
            </w:pPr>
            <w:r>
              <w:rPr>
                <w:b/>
              </w:rPr>
              <w:t>Valor de diseño</w:t>
            </w:r>
          </w:p>
        </w:tc>
        <w:tc>
          <w:tcPr>
            <w:tcW w:type="dxa" w:w="4968"/>
            <w:shd w:fill="F9FAFB"/>
            <w:tcMar>
              <w:top w:w="70" w:type="dxa"/>
              <w:bottom w:w="70" w:type="dxa"/>
              <w:left w:w="100" w:type="dxa"/>
              <w:right w:w="100" w:type="dxa"/>
            </w:tcMar>
          </w:tcPr>
          <w:p>
            <w:pPr>
              <w:spacing w:before="60" w:after="60"/>
            </w:pPr>
            <w:r>
              <w:t>Altímetro oficial Jolly Logic AltimeterOne protegido y amortiguado con espuma de poliuretano en la bahía de aviónica, con orificio estático de despresurización de Ø2,5 mm.</w:t>
            </w:r>
          </w:p>
        </w:tc>
      </w:tr>
      <w:tr>
        <w:tc>
          <w:tcPr>
            <w:tcW w:type="dxa" w:w="4968"/>
            <w:tcMar>
              <w:top w:w="70" w:type="dxa"/>
              <w:bottom w:w="70" w:type="dxa"/>
              <w:left w:w="100" w:type="dxa"/>
              <w:right w:w="100" w:type="dxa"/>
            </w:tcMar>
          </w:tcPr>
          <w:p>
            <w:pPr>
              <w:spacing w:before="60" w:after="60"/>
            </w:pPr>
            <w:r>
              <w:rPr>
                <w:b/>
              </w:rPr>
              <w:t>Verificación</w:t>
            </w:r>
          </w:p>
        </w:tc>
        <w:tc>
          <w:tcPr>
            <w:tcW w:type="dxa" w:w="4968"/>
            <w:tcMar>
              <w:top w:w="70" w:type="dxa"/>
              <w:bottom w:w="70" w:type="dxa"/>
              <w:left w:w="100" w:type="dxa"/>
              <w:right w:w="100" w:type="dxa"/>
            </w:tcMar>
          </w:tcPr>
          <w:p>
            <w:pPr>
              <w:spacing w:before="60" w:after="60"/>
            </w:pPr>
            <w:r>
              <w:t>Inspección física previa al vuelo y comprobación funcional de encendido en rampa</w:t>
            </w:r>
          </w:p>
        </w:tc>
      </w:tr>
      <w:tr>
        <w:tc>
          <w:tcPr>
            <w:tcW w:type="dxa" w:w="4968"/>
            <w:shd w:fill="ECFDF5"/>
            <w:tcMar>
              <w:top w:w="70" w:type="dxa"/>
              <w:bottom w:w="70" w:type="dxa"/>
              <w:left w:w="100" w:type="dxa"/>
              <w:right w:w="100" w:type="dxa"/>
            </w:tcMar>
          </w:tcPr>
          <w:p>
            <w:pPr>
              <w:spacing w:before="60" w:after="60"/>
            </w:pPr>
            <w:r>
              <w:rPr>
                <w:b/>
              </w:rPr>
              <w:t>Estado</w:t>
            </w:r>
          </w:p>
        </w:tc>
        <w:tc>
          <w:tcPr>
            <w:tcW w:type="dxa" w:w="4968"/>
            <w:shd w:fill="ECFDF5"/>
            <w:tcMar>
              <w:top w:w="70" w:type="dxa"/>
              <w:bottom w:w="70" w:type="dxa"/>
              <w:left w:w="100" w:type="dxa"/>
              <w:right w:w="100" w:type="dxa"/>
            </w:tcMar>
          </w:tcPr>
          <w:p>
            <w:pPr>
              <w:spacing w:before="60" w:after="60"/>
            </w:pPr>
            <w:r>
              <w:rPr>
                <w:b/>
                <w:color w:val="059669"/>
              </w:rPr>
              <w:t>Cumple</w:t>
            </w:r>
          </w:p>
        </w:tc>
      </w:tr>
    </w:tbl>
    <w:p>
      <w:pPr>
        <w:pStyle w:val="Heading2"/>
      </w:pPr>
      <w:r>
        <w:t>9.1 Código LaTeX Fila Tabla 2 para Overleaf</w:t>
      </w:r>
    </w:p>
    <w:p>
      <w:pPr>
        <w:ind w:left="288"/>
      </w:pPr>
      <w:r>
        <w:rPr>
          <w:rFonts w:ascii="Consolas" w:hAnsi="Consolas"/>
          <w:sz w:val="17"/>
        </w:rPr>
        <w:t>% Fila para Tabla 2 (Altímetro Jolly Logic)</w:t>
        <w:br/>
        <w:t xml:space="preserve">Altímetro Jolly Logic &amp; [28] &amp; </w:t>
        <w:br/>
        <w:t xml:space="preserve">Jolly Logic AltimeterOne protegido con espuma de poliuretano y orificio de ecualización barométrica de $\varnothing 2,5$~mm. &amp; </w:t>
        <w:br/>
        <w:t xml:space="preserve">Inspección física y comprobación de encendido &amp; </w:t>
        <w:br/>
        <w:t>\textbf{Cumple} \\ \hline</w:t>
        <w:br/>
      </w:r>
    </w:p>
    <w:p>
      <w:pPr>
        <w:pStyle w:val="Heading1"/>
      </w:pPr>
      <w:r>
        <w:rPr>
          <w:color w:val="1E3A8A"/>
        </w:rPr>
        <w:t>10. AJUSTE: TABLA 2 - FILA IDENTIFICACIÓN, ROTULADO VERTICAL Y MARCAS CG/CP (PÁG. 7)</w:t>
      </w:r>
    </w:p>
    <w:tbl>
      <w:tblPr>
        <w:tblW w:type="auto" w:w="0"/>
        <w:jc w:val="center"/>
        <w:tblLook w:firstColumn="1" w:firstRow="1" w:lastColumn="0" w:lastRow="0" w:noHBand="0" w:noVBand="1" w:val="04A0"/>
      </w:tblPr>
      <w:tblGrid>
        <w:gridCol w:w="4968"/>
        <w:gridCol w:w="4968"/>
      </w:tblGrid>
      <w:tr>
        <w:tc>
          <w:tcPr>
            <w:tcW w:type="dxa" w:w="4968"/>
            <w:shd w:fill="1E3A8A"/>
            <w:tcMar>
              <w:top w:w="70" w:type="dxa"/>
              <w:bottom w:w="70" w:type="dxa"/>
              <w:left w:w="100" w:type="dxa"/>
              <w:right w:w="100" w:type="dxa"/>
            </w:tcMar>
          </w:tcPr>
          <w:p>
            <w:pPr>
              <w:spacing w:before="60" w:after="60"/>
            </w:pPr>
            <w:r>
              <w:rPr>
                <w:b/>
                <w:color w:val="FFFFFF"/>
              </w:rPr>
              <w:t>Campo</w:t>
            </w:r>
          </w:p>
        </w:tc>
        <w:tc>
          <w:tcPr>
            <w:tcW w:type="dxa" w:w="4968"/>
            <w:shd w:fill="1E3A8A"/>
            <w:tcMar>
              <w:top w:w="70" w:type="dxa"/>
              <w:bottom w:w="70" w:type="dxa"/>
              <w:left w:w="100" w:type="dxa"/>
              <w:right w:w="100" w:type="dxa"/>
            </w:tcMar>
          </w:tcPr>
          <w:p>
            <w:pPr>
              <w:spacing w:before="60" w:after="60"/>
            </w:pPr>
            <w:r>
              <w:rPr>
                <w:b/>
                <w:color w:val="FFFFFF"/>
              </w:rPr>
              <w:t>Texto Definitivo para el Informe CDR</w:t>
            </w:r>
          </w:p>
        </w:tc>
      </w:tr>
      <w:tr>
        <w:tc>
          <w:tcPr>
            <w:tcW w:type="dxa" w:w="4968"/>
            <w:shd w:fill="F9FAFB"/>
            <w:tcMar>
              <w:top w:w="70" w:type="dxa"/>
              <w:bottom w:w="70" w:type="dxa"/>
              <w:left w:w="100" w:type="dxa"/>
              <w:right w:w="100" w:type="dxa"/>
            </w:tcMar>
          </w:tcPr>
          <w:p>
            <w:pPr>
              <w:spacing w:before="60" w:after="60"/>
            </w:pPr>
            <w:r>
              <w:rPr>
                <w:b/>
              </w:rPr>
              <w:t>Requerimiento</w:t>
            </w:r>
          </w:p>
        </w:tc>
        <w:tc>
          <w:tcPr>
            <w:tcW w:type="dxa" w:w="4968"/>
            <w:shd w:fill="F9FAFB"/>
            <w:tcMar>
              <w:top w:w="70" w:type="dxa"/>
              <w:bottom w:w="70" w:type="dxa"/>
              <w:left w:w="100" w:type="dxa"/>
              <w:right w:w="100" w:type="dxa"/>
            </w:tcMar>
          </w:tcPr>
          <w:p>
            <w:pPr>
              <w:spacing w:before="60" w:after="60"/>
            </w:pPr>
            <w:r>
              <w:t>Identificación oficial, rotulado vertical de 25 cm con ID 310 y marcas CG/CP (DCP 3.2.8 / NSRT 4.3)</w:t>
            </w:r>
          </w:p>
        </w:tc>
      </w:tr>
      <w:tr>
        <w:tc>
          <w:tcPr>
            <w:tcW w:type="dxa" w:w="4968"/>
            <w:tcMar>
              <w:top w:w="70" w:type="dxa"/>
              <w:bottom w:w="70" w:type="dxa"/>
              <w:left w:w="100" w:type="dxa"/>
              <w:right w:w="100" w:type="dxa"/>
            </w:tcMar>
          </w:tcPr>
          <w:p>
            <w:pPr>
              <w:spacing w:before="60" w:after="60"/>
            </w:pPr>
            <w:r>
              <w:rPr>
                <w:b/>
              </w:rPr>
              <w:t>Fuente</w:t>
            </w:r>
          </w:p>
        </w:tc>
        <w:tc>
          <w:tcPr>
            <w:tcW w:type="dxa" w:w="4968"/>
            <w:tcMar>
              <w:top w:w="70" w:type="dxa"/>
              <w:bottom w:w="70" w:type="dxa"/>
              <w:left w:w="100" w:type="dxa"/>
              <w:right w:w="100" w:type="dxa"/>
            </w:tcMar>
          </w:tcPr>
          <w:p>
            <w:pPr>
              <w:spacing w:before="60" w:after="60"/>
            </w:pPr>
            <w:r>
              <w:t>DCP Sección 3.2.8 [3], NSRT Sección 4.3 [4] y Sistema de Puntuación [31]</w:t>
            </w:r>
          </w:p>
        </w:tc>
      </w:tr>
      <w:tr>
        <w:tc>
          <w:tcPr>
            <w:tcW w:type="dxa" w:w="4968"/>
            <w:shd w:fill="F9FAFB"/>
            <w:tcMar>
              <w:top w:w="70" w:type="dxa"/>
              <w:bottom w:w="70" w:type="dxa"/>
              <w:left w:w="100" w:type="dxa"/>
              <w:right w:w="100" w:type="dxa"/>
            </w:tcMar>
          </w:tcPr>
          <w:p>
            <w:pPr>
              <w:spacing w:before="60" w:after="60"/>
            </w:pPr>
            <w:r>
              <w:rPr>
                <w:b/>
              </w:rPr>
              <w:t>Valor de diseño</w:t>
            </w:r>
          </w:p>
        </w:tc>
        <w:tc>
          <w:tcPr>
            <w:tcW w:type="dxa" w:w="4968"/>
            <w:shd w:fill="F9FAFB"/>
            <w:tcMar>
              <w:top w:w="70" w:type="dxa"/>
              <w:bottom w:w="70" w:type="dxa"/>
              <w:left w:w="100" w:type="dxa"/>
              <w:right w:w="100" w:type="dxa"/>
            </w:tcMar>
          </w:tcPr>
          <w:p>
            <w:pPr>
              <w:spacing w:before="60" w:after="60"/>
            </w:pPr>
            <w:r>
              <w:t>Rotulado exterior completo en vinilo de alto contraste: etiqueta vertical de 25 cm con el ID 310 visible a distancia entre aletas, etiqueta técnica de datos de la delegación (equipo, institución, ciudad, contacto), ID 310 grabado en la estructura del CanSat, y marcas físicas perimetrales de Centro de Gravedad (CG = 49,5 cm) y Centro de Presión (CP = 68,1 cm) sobre el fuselaje.</w:t>
            </w:r>
          </w:p>
        </w:tc>
      </w:tr>
      <w:tr>
        <w:tc>
          <w:tcPr>
            <w:tcW w:type="dxa" w:w="4968"/>
            <w:tcMar>
              <w:top w:w="70" w:type="dxa"/>
              <w:bottom w:w="70" w:type="dxa"/>
              <w:left w:w="100" w:type="dxa"/>
              <w:right w:w="100" w:type="dxa"/>
            </w:tcMar>
          </w:tcPr>
          <w:p>
            <w:pPr>
              <w:spacing w:before="60" w:after="60"/>
            </w:pPr>
            <w:r>
              <w:rPr>
                <w:b/>
              </w:rPr>
              <w:t>Verificación</w:t>
            </w:r>
          </w:p>
        </w:tc>
        <w:tc>
          <w:tcPr>
            <w:tcW w:type="dxa" w:w="4968"/>
            <w:tcMar>
              <w:top w:w="70" w:type="dxa"/>
              <w:bottom w:w="70" w:type="dxa"/>
              <w:left w:w="100" w:type="dxa"/>
              <w:right w:w="100" w:type="dxa"/>
            </w:tcMar>
          </w:tcPr>
          <w:p>
            <w:pPr>
              <w:spacing w:before="60" w:after="60"/>
            </w:pPr>
            <w:r>
              <w:t>Inspección técnica visual previa al vuelo en rampa (PIC 5.1)</w:t>
            </w:r>
          </w:p>
        </w:tc>
      </w:tr>
      <w:tr>
        <w:tc>
          <w:tcPr>
            <w:tcW w:type="dxa" w:w="4968"/>
            <w:shd w:fill="ECFDF5"/>
            <w:tcMar>
              <w:top w:w="70" w:type="dxa"/>
              <w:bottom w:w="70" w:type="dxa"/>
              <w:left w:w="100" w:type="dxa"/>
              <w:right w:w="100" w:type="dxa"/>
            </w:tcMar>
          </w:tcPr>
          <w:p>
            <w:pPr>
              <w:spacing w:before="60" w:after="60"/>
            </w:pPr>
            <w:r>
              <w:rPr>
                <w:b/>
              </w:rPr>
              <w:t>Estado</w:t>
            </w:r>
          </w:p>
        </w:tc>
        <w:tc>
          <w:tcPr>
            <w:tcW w:type="dxa" w:w="4968"/>
            <w:shd w:fill="ECFDF5"/>
            <w:tcMar>
              <w:top w:w="70" w:type="dxa"/>
              <w:bottom w:w="70" w:type="dxa"/>
              <w:left w:w="100" w:type="dxa"/>
              <w:right w:w="100" w:type="dxa"/>
            </w:tcMar>
          </w:tcPr>
          <w:p>
            <w:pPr>
              <w:spacing w:before="60" w:after="60"/>
            </w:pPr>
            <w:r>
              <w:rPr>
                <w:b/>
                <w:color w:val="059669"/>
              </w:rPr>
              <w:t>Cumple</w:t>
            </w:r>
          </w:p>
        </w:tc>
      </w:tr>
    </w:tbl>
    <w:p>
      <w:pPr>
        <w:pStyle w:val="Heading1"/>
      </w:pPr>
      <w:r>
        <w:rPr>
          <w:color w:val="1E3A8A"/>
        </w:rPr>
        <w:t>11. AJUSTE APROBADO: CALLSIGN DE TELEMETRÍA LORA (SECCIÓN 10.11, PÁG. 41)</w:t>
      </w:r>
    </w:p>
    <w:p>
      <w:pPr>
        <w:ind w:left="288" w:right="288"/>
      </w:pPr>
      <w:r>
        <w:rPr>
          <w:sz w:val="21"/>
        </w:rPr>
        <w:t>«Para la transmisión de paquetes de telemetría en la banda ISM de 915 MHz (potencia +14 dBm ≈ 25 mW, conforme a la regulación de la Agencia Nacional del Espectro - ANE para dispositivos de corto alcance), el equipo adopta el distintivo de llamada táctico PDA310-SAT (asociado al ID oficial 310 asignado por la organización), el cual viaja codificado en la cabecera de cada trama transmitida hacia la estación terrena.»</w:t>
      </w:r>
    </w:p>
    <w:p>
      <w:pPr>
        <w:pStyle w:val="Heading1"/>
      </w:pPr>
      <w:r>
        <w:rPr>
          <w:color w:val="1E3A8A"/>
        </w:rPr>
        <w:t>12. AJUSTE APROBADO: PARCHE DE MISIÓN EN LA PORTADA (PÁGINA 1)</w:t>
      </w:r>
    </w:p>
    <w:p>
      <w:pPr>
        <w:ind w:left="288" w:right="288"/>
      </w:pPr>
      <w:r>
        <w:rPr>
          <w:sz w:val="21"/>
        </w:rPr>
        <w:t>«Para dar cumplimiento estricto a la presentación visual requerida en la plantilla oficial institucional, se incorpora la ilustración gráfica del parche de misión oficial de PDA Rocketeers en el tercio central de la portada principal, inmediatamente después del título y subtítulo oficial (Critical Design Review Equipo 310), precediendo la relación de autores, institución y fecha de entrega (2026).»</w:t>
      </w:r>
    </w:p>
    <w:p>
      <w:pPr>
        <w:pStyle w:val="Heading2"/>
      </w:pPr>
      <w:r>
        <w:rPr>
          <w:rFonts w:ascii="Calibri" w:hAnsi="Calibri"/>
          <w:b/>
          <w:color w:val="1B365D"/>
        </w:rPr>
        <w:t>13. AJUSTE APROBADO: TABLA 10 - RESULTADOS GENERALES DE LA SIMULACIÓN (PÁG. 15)</w:t>
      </w:r>
    </w:p>
    <w:p>
      <w:r>
        <w:rPr>
          <w:rFonts w:ascii="Calibri" w:hAnsi="Calibri"/>
          <w:sz w:val="21"/>
        </w:rPr>
        <w:t>Actualización de los parámetros nominales de la simulación de vuelo con el motor Aerotech G80T-7 tras la calibración definitiva de la masa del CanSat en 250,0 g (archivo Simulacion_SIDERAL.csv). Se garantiza la consistencia física y normativa en todo el documento.</w:t>
      </w:r>
    </w:p>
    <w:p>
      <w:r>
        <w:rPr>
          <w:rFonts w:ascii="Calibri" w:hAnsi="Calibri"/>
          <w:b/>
          <w:color w:val="1B365D"/>
          <w:sz w:val="20"/>
        </w:rPr>
        <w:t>Tabla 10: Resultados generales de la simulación de vuelo (Simulación Sideral.csv)</w:t>
      </w:r>
    </w:p>
    <w:tbl>
      <w:tblPr>
        <w:tblW w:type="auto" w:w="0"/>
        <w:jc w:val="center"/>
        <w:tblLook w:firstColumn="1" w:firstRow="1" w:lastColumn="0" w:lastRow="0" w:noHBand="0" w:noVBand="1" w:val="04A0"/>
      </w:tblPr>
      <w:tblGrid>
        <w:gridCol w:w="3312"/>
        <w:gridCol w:w="3312"/>
        <w:gridCol w:w="3312"/>
      </w:tblGrid>
      <w:tr>
        <w:tc>
          <w:tcPr>
            <w:tcW w:type="dxa" w:w="3312"/>
            <w:tcMar>
              <w:top w:w="80" w:type="dxa"/>
              <w:bottom w:w="80" w:type="dxa"/>
              <w:left w:w="120" w:type="dxa"/>
              <w:right w:w="12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9"/>
              </w:rPr>
              <w:t>Parámetro</w:t>
            </w:r>
          </w:p>
        </w:tc>
        <w:tc>
          <w:tcPr>
            <w:tcW w:type="dxa" w:w="3024"/>
            <w:tcMar>
              <w:top w:w="80" w:type="dxa"/>
              <w:bottom w:w="80" w:type="dxa"/>
              <w:left w:w="120" w:type="dxa"/>
              <w:right w:w="12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9"/>
              </w:rPr>
              <w:t>Valor Nominal (Simulación Sideral.csv)</w:t>
            </w:r>
          </w:p>
        </w:tc>
        <w:tc>
          <w:tcPr>
            <w:tcW w:type="dxa" w:w="4032"/>
            <w:tcMar>
              <w:top w:w="80" w:type="dxa"/>
              <w:bottom w:w="80" w:type="dxa"/>
              <w:left w:w="120" w:type="dxa"/>
              <w:right w:w="12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9"/>
              </w:rPr>
              <w:t>Observaciones / Criterio de Cumplimiento</w:t>
            </w:r>
          </w:p>
        </w:tc>
      </w:tr>
      <w:tr>
        <w:tc>
          <w:tcPr>
            <w:tcW w:type="dxa" w:w="331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8"/>
              </w:rPr>
              <w:t>Apogeo</w:t>
            </w:r>
          </w:p>
        </w:tc>
        <w:tc>
          <w:tcPr>
            <w:tcW w:type="dxa" w:w="3024"/>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390,9 m</w:t>
            </w:r>
          </w:p>
        </w:tc>
        <w:tc>
          <w:tcPr>
            <w:tcW w:type="dxa" w:w="403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Precisión del 97,7% respecto a la meta de 400 m (ventana óptima 350-450 m)</w:t>
            </w:r>
          </w:p>
        </w:tc>
      </w:tr>
      <w:tr>
        <w:tc>
          <w:tcPr>
            <w:tcW w:type="dxa" w:w="3312"/>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8"/>
              </w:rPr>
              <w:t>Tiempo al apogeo</w:t>
            </w:r>
          </w:p>
        </w:tc>
        <w:tc>
          <w:tcPr>
            <w:tcW w:type="dxa" w:w="3024"/>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8,70 s</w:t>
            </w:r>
          </w:p>
        </w:tc>
        <w:tc>
          <w:tcPr>
            <w:tcW w:type="dxa" w:w="4032"/>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Tiempo de ascenso inercial post-combustión</w:t>
            </w:r>
          </w:p>
        </w:tc>
      </w:tr>
      <w:tr>
        <w:tc>
          <w:tcPr>
            <w:tcW w:type="dxa" w:w="331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8"/>
              </w:rPr>
              <w:t>Velocidad máxima</w:t>
            </w:r>
          </w:p>
        </w:tc>
        <w:tc>
          <w:tcPr>
            <w:tcW w:type="dxa" w:w="3024"/>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102,86 m/s (Mach 0,30)</w:t>
            </w:r>
          </w:p>
        </w:tc>
        <w:tc>
          <w:tcPr>
            <w:tcW w:type="dxa" w:w="403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Régimen subsónico seguro; mínimo esfuerzo aerotérmico</w:t>
            </w:r>
          </w:p>
        </w:tc>
      </w:tr>
      <w:tr>
        <w:tc>
          <w:tcPr>
            <w:tcW w:type="dxa" w:w="3312"/>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8"/>
              </w:rPr>
              <w:t>Aceleración máxima</w:t>
            </w:r>
          </w:p>
        </w:tc>
        <w:tc>
          <w:tcPr>
            <w:tcW w:type="dxa" w:w="3024"/>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102,75 m/s² (10,5 G)</w:t>
            </w:r>
          </w:p>
        </w:tc>
        <w:tc>
          <w:tcPr>
            <w:tcW w:type="dxa" w:w="4032"/>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Carga inercial soportada por estructura FDM en ASA y electrónica</w:t>
            </w:r>
          </w:p>
        </w:tc>
      </w:tr>
      <w:tr>
        <w:tc>
          <w:tcPr>
            <w:tcW w:type="dxa" w:w="331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8"/>
              </w:rPr>
              <w:t>Velocidad al salir del riel</w:t>
            </w:r>
          </w:p>
        </w:tc>
        <w:tc>
          <w:tcPr>
            <w:tcW w:type="dxa" w:w="3024"/>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17,11 m/s (61,6 km/h)</w:t>
            </w:r>
          </w:p>
        </w:tc>
        <w:tc>
          <w:tcPr>
            <w:tcW w:type="dxa" w:w="403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Cumple holgadamente el criterio de seguridad de salida (&gt; 55 km/h)</w:t>
            </w:r>
          </w:p>
        </w:tc>
      </w:tr>
      <w:tr>
        <w:tc>
          <w:tcPr>
            <w:tcW w:type="dxa" w:w="3312"/>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8"/>
              </w:rPr>
              <w:t>Margen de estabilidad en riel</w:t>
            </w:r>
          </w:p>
        </w:tc>
        <w:tc>
          <w:tcPr>
            <w:tcW w:type="dxa" w:w="3024"/>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2,04 cal</w:t>
            </w:r>
          </w:p>
        </w:tc>
        <w:tc>
          <w:tcPr>
            <w:tcW w:type="dxa" w:w="4032"/>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Cumple el requerimiento reglamentario estricto (≥ 2,0 cal)</w:t>
            </w:r>
          </w:p>
        </w:tc>
      </w:tr>
      <w:tr>
        <w:tc>
          <w:tcPr>
            <w:tcW w:type="dxa" w:w="331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8"/>
              </w:rPr>
              <w:t>Velocidad en despliegue de paracaídas</w:t>
            </w:r>
          </w:p>
        </w:tc>
        <w:tc>
          <w:tcPr>
            <w:tcW w:type="dxa" w:w="3024"/>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8,08 m/s</w:t>
            </w:r>
          </w:p>
        </w:tc>
        <w:tc>
          <w:tcPr>
            <w:tcW w:type="dxa" w:w="403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Baja velocidad en eyección; sin sobretensión en líneas</w:t>
            </w:r>
          </w:p>
        </w:tc>
      </w:tr>
      <w:tr>
        <w:tc>
          <w:tcPr>
            <w:tcW w:type="dxa" w:w="3312"/>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8"/>
              </w:rPr>
              <w:t>Velocidad de llegada al suelo</w:t>
            </w:r>
          </w:p>
        </w:tc>
        <w:tc>
          <w:tcPr>
            <w:tcW w:type="dxa" w:w="3024"/>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7,18 m/s</w:t>
            </w:r>
          </w:p>
        </w:tc>
        <w:tc>
          <w:tcPr>
            <w:tcW w:type="dxa" w:w="4032"/>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Dentro del rango de recuperación segura (norma: 6,0 - 8,0 m/s)</w:t>
            </w:r>
          </w:p>
        </w:tc>
      </w:tr>
      <w:tr>
        <w:tc>
          <w:tcPr>
            <w:tcW w:type="dxa" w:w="331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8"/>
              </w:rPr>
              <w:t>Duración total del vuelo</w:t>
            </w:r>
          </w:p>
        </w:tc>
        <w:tc>
          <w:tcPr>
            <w:tcW w:type="dxa" w:w="3024"/>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65,02 s</w:t>
            </w:r>
          </w:p>
        </w:tc>
        <w:tc>
          <w:tcPr>
            <w:tcW w:type="dxa" w:w="403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Ascenso: 8,70 s | Descenso en paracaídas: 56,32 s</w:t>
            </w:r>
          </w:p>
        </w:tc>
      </w:tr>
      <w:tr>
        <w:tc>
          <w:tcPr>
            <w:tcW w:type="dxa" w:w="3312"/>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8"/>
              </w:rPr>
              <w:t>Distancia lateral al aterrizar</w:t>
            </w:r>
          </w:p>
        </w:tc>
        <w:tc>
          <w:tcPr>
            <w:tcW w:type="dxa" w:w="3024"/>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65,0 m</w:t>
            </w:r>
          </w:p>
        </w:tc>
        <w:tc>
          <w:tcPr>
            <w:tcW w:type="dxa" w:w="4032"/>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Radio de recuperación compacto en campo de lanzamiento</w:t>
            </w:r>
          </w:p>
        </w:tc>
      </w:tr>
      <w:tr>
        <w:tc>
          <w:tcPr>
            <w:tcW w:type="dxa" w:w="331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8"/>
              </w:rPr>
              <w:t>Retardo óptimo de eyección</w:t>
            </w:r>
          </w:p>
        </w:tc>
        <w:tc>
          <w:tcPr>
            <w:tcW w:type="dxa" w:w="3024"/>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7,20 s (motor nominal: 7,0 s)</w:t>
            </w:r>
          </w:p>
        </w:tc>
        <w:tc>
          <w:tcPr>
            <w:tcW w:type="dxa" w:w="403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Eyección 0,20 s antes del apogeo; diferencia despreciable (&lt; 0,3 s)</w:t>
            </w:r>
          </w:p>
        </w:tc>
      </w:tr>
    </w:tbl>
    <w:p/>
    <w:p>
      <w:pPr>
        <w:pStyle w:val="Heading2"/>
      </w:pPr>
      <w:r>
        <w:rPr>
          <w:rFonts w:ascii="Calibri" w:hAnsi="Calibri"/>
          <w:b/>
          <w:color w:val="1B365D"/>
        </w:rPr>
        <w:t>14. AJUSTE APROBADO: TABLA 11 Y SECCIÓN 7.2 - EVENTOS Y PERFIL DE VUELO (PÁG. 15)</w:t>
      </w:r>
    </w:p>
    <w:p>
      <w:r>
        <w:rPr>
          <w:rFonts w:ascii="Calibri" w:hAnsi="Calibri"/>
          <w:sz w:val="21"/>
        </w:rPr>
        <w:t>Sincronización de las marcas de tiempo y narrativa del perfil de vuelo con la curva cinemática de la simulación oficial (Simulacion_SIDERAL.csv) para el vehículo SIDERAL con CanSat de 250,0 g.</w:t>
      </w:r>
    </w:p>
    <w:p>
      <w:r>
        <w:rPr>
          <w:rFonts w:ascii="Calibri" w:hAnsi="Calibri"/>
          <w:b/>
          <w:color w:val="1B365D"/>
          <w:sz w:val="20"/>
        </w:rPr>
        <w:t>Tabla 11: Eventos del vuelo sincronizados</w:t>
      </w:r>
    </w:p>
    <w:tbl>
      <w:tblPr>
        <w:tblW w:type="auto" w:w="0"/>
        <w:jc w:val="center"/>
        <w:tblLook w:firstColumn="1" w:firstRow="1" w:lastColumn="0" w:lastRow="0" w:noHBand="0" w:noVBand="1" w:val="04A0"/>
      </w:tblPr>
      <w:tblGrid>
        <w:gridCol w:w="3312"/>
        <w:gridCol w:w="3312"/>
        <w:gridCol w:w="3312"/>
      </w:tblGrid>
      <w:tr>
        <w:tc>
          <w:tcPr>
            <w:tcW w:type="dxa" w:w="3600"/>
            <w:tcMar>
              <w:top w:w="80" w:type="dxa"/>
              <w:bottom w:w="80" w:type="dxa"/>
              <w:left w:w="120" w:type="dxa"/>
              <w:right w:w="12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9"/>
              </w:rPr>
              <w:t>Evento de Vuelo</w:t>
            </w:r>
          </w:p>
        </w:tc>
        <w:tc>
          <w:tcPr>
            <w:tcW w:type="dxa" w:w="2592"/>
            <w:tcMar>
              <w:top w:w="80" w:type="dxa"/>
              <w:bottom w:w="80" w:type="dxa"/>
              <w:left w:w="120" w:type="dxa"/>
              <w:right w:w="12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9"/>
              </w:rPr>
              <w:t>Tiempo Nominal [s]</w:t>
            </w:r>
          </w:p>
        </w:tc>
        <w:tc>
          <w:tcPr>
            <w:tcW w:type="dxa" w:w="4176"/>
            <w:tcMar>
              <w:top w:w="80" w:type="dxa"/>
              <w:bottom w:w="80" w:type="dxa"/>
              <w:left w:w="120" w:type="dxa"/>
              <w:right w:w="12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9"/>
              </w:rPr>
              <w:t>Descripción Cinemática / Observaciones</w:t>
            </w:r>
          </w:p>
        </w:tc>
      </w:tr>
      <w:tr>
        <w:tc>
          <w:tcPr>
            <w:tcW w:type="dxa" w:w="3600"/>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8"/>
              </w:rPr>
              <w:t>Despegue (Liftoff)</w:t>
            </w:r>
          </w:p>
        </w:tc>
        <w:tc>
          <w:tcPr>
            <w:tcW w:type="dxa" w:w="259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0,02</w:t>
            </w:r>
          </w:p>
        </w:tc>
        <w:tc>
          <w:tcPr>
            <w:tcW w:type="dxa" w:w="4176"/>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Inicio de presurización e ignición de propelente White Lightning</w:t>
            </w:r>
          </w:p>
        </w:tc>
      </w:tr>
      <w:tr>
        <w:tc>
          <w:tcPr>
            <w:tcW w:type="dxa" w:w="3600"/>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8"/>
              </w:rPr>
              <w:t>Salida del riel de 1,5 m</w:t>
            </w:r>
          </w:p>
        </w:tc>
        <w:tc>
          <w:tcPr>
            <w:tcW w:type="dxa" w:w="2592"/>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0,18</w:t>
            </w:r>
          </w:p>
        </w:tc>
        <w:tc>
          <w:tcPr>
            <w:tcW w:type="dxa" w:w="4176"/>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Velocidad de salida: 17,11 m/s (61,6 km/h; cumple &gt; 55 km/h)</w:t>
            </w:r>
          </w:p>
        </w:tc>
      </w:tr>
      <w:tr>
        <w:tc>
          <w:tcPr>
            <w:tcW w:type="dxa" w:w="3600"/>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8"/>
              </w:rPr>
              <w:t>Fin de la combustión (Burnout)</w:t>
            </w:r>
          </w:p>
        </w:tc>
        <w:tc>
          <w:tcPr>
            <w:tcW w:type="dxa" w:w="259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1,48</w:t>
            </w:r>
          </w:p>
        </w:tc>
        <w:tc>
          <w:tcPr>
            <w:tcW w:type="dxa" w:w="4176"/>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Cese de empuje del motor Aerotech G80T-7 a 95 m de altitud</w:t>
            </w:r>
          </w:p>
        </w:tc>
      </w:tr>
      <w:tr>
        <w:tc>
          <w:tcPr>
            <w:tcW w:type="dxa" w:w="3600"/>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8"/>
              </w:rPr>
              <w:t>Activación de carga de eyección</w:t>
            </w:r>
          </w:p>
        </w:tc>
        <w:tc>
          <w:tcPr>
            <w:tcW w:type="dxa" w:w="2592"/>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8,48</w:t>
            </w:r>
          </w:p>
        </w:tc>
        <w:tc>
          <w:tcPr>
            <w:tcW w:type="dxa" w:w="4176"/>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Retardo pirotécnico de 7,0 s; activa 0,22 s antes del apogeo</w:t>
            </w:r>
          </w:p>
        </w:tc>
      </w:tr>
      <w:tr>
        <w:tc>
          <w:tcPr>
            <w:tcW w:type="dxa" w:w="3600"/>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8"/>
              </w:rPr>
              <w:t>Apogeo</w:t>
            </w:r>
          </w:p>
        </w:tc>
        <w:tc>
          <w:tcPr>
            <w:tcW w:type="dxa" w:w="259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8,70</w:t>
            </w:r>
          </w:p>
        </w:tc>
        <w:tc>
          <w:tcPr>
            <w:tcW w:type="dxa" w:w="4176"/>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Cima de la trayectoria a 390,9 m de altitud sobre la rampa</w:t>
            </w:r>
          </w:p>
        </w:tc>
      </w:tr>
      <w:tr>
        <w:tc>
          <w:tcPr>
            <w:tcW w:type="dxa" w:w="3600"/>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8"/>
              </w:rPr>
              <w:t>Despliegue total del paracaídas</w:t>
            </w:r>
          </w:p>
        </w:tc>
        <w:tc>
          <w:tcPr>
            <w:tcW w:type="dxa" w:w="2592"/>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9,20</w:t>
            </w:r>
          </w:p>
        </w:tc>
        <w:tc>
          <w:tcPr>
            <w:tcW w:type="dxa" w:w="4176"/>
            <w:tcMar>
              <w:top w:w="80" w:type="dxa"/>
              <w:bottom w:w="80" w:type="dxa"/>
              <w:left w:w="120" w:type="dxa"/>
              <w:right w:w="120" w:type="dxa"/>
            </w:tcMar>
            <w:shd w:fill="FFFFFF"/>
            <w:tcBorders>
              <w:top w:val="single" w:sz="4" w:space="0" w:color="E2E8F0"/>
              <w:left w:val="none"/>
              <w:bottom w:val="single" w:sz="4" w:space="0" w:color="E2E8F0"/>
              <w:right w:val="none"/>
            </w:tcBorders>
          </w:tcPr>
          <w:p>
            <w:pPr>
              <w:jc w:val="left"/>
            </w:pPr>
            <w:r>
              <w:rPr>
                <w:rFonts w:ascii="Calibri" w:hAnsi="Calibri"/>
                <w:color w:val="1F2937"/>
                <w:sz w:val="18"/>
              </w:rPr>
              <w:t>Apertura completa de la campana tras inflado sin sobretensión</w:t>
            </w:r>
          </w:p>
        </w:tc>
      </w:tr>
      <w:tr>
        <w:tc>
          <w:tcPr>
            <w:tcW w:type="dxa" w:w="3600"/>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8"/>
              </w:rPr>
              <w:t>Llegada al suelo (Aterrizaje)</w:t>
            </w:r>
          </w:p>
        </w:tc>
        <w:tc>
          <w:tcPr>
            <w:tcW w:type="dxa" w:w="2592"/>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65,02</w:t>
            </w:r>
          </w:p>
        </w:tc>
        <w:tc>
          <w:tcPr>
            <w:tcW w:type="dxa" w:w="4176"/>
            <w:tcMar>
              <w:top w:w="80" w:type="dxa"/>
              <w:bottom w:w="80" w:type="dxa"/>
              <w:left w:w="120" w:type="dxa"/>
              <w:right w:w="120" w:type="dxa"/>
            </w:tcMar>
            <w:shd w:fill="F8FAFC"/>
            <w:tcBorders>
              <w:top w:val="single" w:sz="4" w:space="0" w:color="E2E8F0"/>
              <w:left w:val="none"/>
              <w:bottom w:val="single" w:sz="4" w:space="0" w:color="E2E8F0"/>
              <w:right w:val="none"/>
            </w:tcBorders>
          </w:tcPr>
          <w:p>
            <w:pPr>
              <w:jc w:val="left"/>
            </w:pPr>
            <w:r>
              <w:rPr>
                <w:rFonts w:ascii="Calibri" w:hAnsi="Calibri"/>
                <w:color w:val="1F2937"/>
                <w:sz w:val="18"/>
              </w:rPr>
              <w:t>Aterrizaje suave a velocidad terminal de 7,18 m/s (distancia: 65 m)</w:t>
            </w:r>
          </w:p>
        </w:tc>
      </w:tr>
    </w:tbl>
    <w:p>
      <w:r>
        <w:rPr>
          <w:rFonts w:ascii="Calibri" w:hAnsi="Calibri"/>
          <w:b/>
          <w:color w:val="1B365D"/>
          <w:sz w:val="20"/>
        </w:rPr>
        <w:t>Texto Reemplazo para la Sección 7.2 (Perfil de vuelo, Pág. 15):</w:t>
      </w:r>
    </w:p>
    <w:p>
      <w:pPr>
        <w:ind w:left="576" w:right="576"/>
      </w:pPr>
      <w:r>
        <w:rPr>
          <w:rFonts w:ascii="Calibri" w:hAnsi="Calibri"/>
          <w:i/>
          <w:sz w:val="19"/>
        </w:rPr>
        <w:t>«Durante la fase propulsada, el cohete alcanza aproximadamente 95 m de altura en 1,48 s. La velocidad máxima de 102,86 m/s (Mach 0,30) se alcanza a los 1,35 s, momentos antes del cese de empuje, mientras que la aceleración máxima de 102,75 m/s² (10,5 G) se experimenta durante el pico inicial de presurización de la cámara del motor G80T. Finalizada la combustión, el vehículo asciende por inercia hasta alcanzar un apogeo de 390,9 m a los 8,70 s. La carga de eyección del motor se activa a los 8,48 s (apenas 0,22 s antes del apogeo nominal), cuando la velocidad relativa es mínima (8,08 m/s), permitiendo un inflado suave del paracaídas. A partir de ese instante, el sistema desciende a una velocidad terminal de 7,18 m/s durante 56,3 s, completando un tiempo total de vuelo de 65,02 s hasta el aterrizaje seguro a 65 m de la rampa.»</w:t>
      </w:r>
    </w:p>
    <w:p/>
    <w:p>
      <w:pPr>
        <w:pStyle w:val="Heading2"/>
      </w:pPr>
      <w:r>
        <w:rPr>
          <w:rFonts w:ascii="Calibri" w:hAnsi="Calibri"/>
          <w:b/>
          <w:color w:val="1B365D"/>
        </w:rPr>
        <w:t>15. AJUSTE APROBADO: TABLA 7 - CAMBIOS RESPECTO AL DISEÑO PRELIMINAR (PÁG. 12)</w:t>
      </w:r>
    </w:p>
    <w:p>
      <w:r>
        <w:rPr>
          <w:rFonts w:ascii="Calibri" w:hAnsi="Calibri"/>
          <w:sz w:val="21"/>
        </w:rPr>
        <w:t>Actualización y fundamentación técnica rigurosa de las discrepancias constructivas entre la fase PDR y la fase CDR en cumplimiento del ítem 3.1.5 del documento DCP.</w:t>
      </w:r>
    </w:p>
    <w:p>
      <w:r>
        <w:rPr>
          <w:rFonts w:ascii="Calibri" w:hAnsi="Calibri"/>
          <w:b/>
          <w:color w:val="1B365D"/>
          <w:sz w:val="20"/>
        </w:rPr>
        <w:t>Tabla 7: Cambios respecto al diseño preliminar (PDR vs. CDR)</w:t>
      </w:r>
    </w:p>
    <w:tbl>
      <w:tblPr>
        <w:tblW w:type="auto" w:w="0"/>
        <w:jc w:val="center"/>
        <w:tblLook w:firstColumn="1" w:firstRow="1" w:lastColumn="0" w:lastRow="0" w:noHBand="0" w:noVBand="1" w:val="04A0"/>
      </w:tblPr>
      <w:tblGrid>
        <w:gridCol w:w="2484"/>
        <w:gridCol w:w="2484"/>
        <w:gridCol w:w="2484"/>
        <w:gridCol w:w="2484"/>
      </w:tblGrid>
      <w:tr>
        <w:tc>
          <w:tcPr>
            <w:tcW w:type="dxa" w:w="2016"/>
            <w:tcMar>
              <w:top w:w="70" w:type="dxa"/>
              <w:bottom w:w="70" w:type="dxa"/>
              <w:left w:w="100" w:type="dxa"/>
              <w:right w:w="10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Elemento</w:t>
            </w:r>
          </w:p>
        </w:tc>
        <w:tc>
          <w:tcPr>
            <w:tcW w:type="dxa" w:w="2160"/>
            <w:tcMar>
              <w:top w:w="70" w:type="dxa"/>
              <w:bottom w:w="70" w:type="dxa"/>
              <w:left w:w="100" w:type="dxa"/>
              <w:right w:w="10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Configuración PDR</w:t>
            </w:r>
          </w:p>
        </w:tc>
        <w:tc>
          <w:tcPr>
            <w:tcW w:type="dxa" w:w="3168"/>
            <w:tcMar>
              <w:top w:w="70" w:type="dxa"/>
              <w:bottom w:w="70" w:type="dxa"/>
              <w:left w:w="100" w:type="dxa"/>
              <w:right w:w="10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Configuración Definitiva CDR</w:t>
            </w:r>
          </w:p>
        </w:tc>
        <w:tc>
          <w:tcPr>
            <w:tcW w:type="dxa" w:w="3024"/>
            <w:tcMar>
              <w:top w:w="70" w:type="dxa"/>
              <w:bottom w:w="70" w:type="dxa"/>
              <w:left w:w="100" w:type="dxa"/>
              <w:right w:w="10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Justificación Técnica / Motivo de Ingeniería</w:t>
            </w:r>
          </w:p>
        </w:tc>
      </w:tr>
      <w:tr>
        <w:tc>
          <w:tcPr>
            <w:tcW w:type="dxa" w:w="2016"/>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Masa del CanSat</w:t>
            </w:r>
          </w:p>
        </w:tc>
        <w:tc>
          <w:tcPr>
            <w:tcW w:type="dxa" w:w="2160"/>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250 a 350 g</w:t>
            </w:r>
          </w:p>
        </w:tc>
        <w:tc>
          <w:tcPr>
            <w:tcW w:type="dxa" w:w="3168"/>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250,0 g (configuración final)</w:t>
            </w:r>
          </w:p>
        </w:tc>
        <w:tc>
          <w:tcPr>
            <w:tcW w:type="dxa" w:w="3024"/>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Adopción del límite inferior común entre Guía Avanzados (250-300 g) y Guía CanSat (250-350 g), calibrando la masa para alcanzar el margen de estabilidad de 2,04 cal y apogeo de 390,9 m.</w:t>
            </w:r>
          </w:p>
        </w:tc>
      </w:tr>
      <w:tr>
        <w:tc>
          <w:tcPr>
            <w:tcW w:type="dxa" w:w="2016"/>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Acoplador y Unión</w:t>
            </w:r>
          </w:p>
        </w:tc>
        <w:tc>
          <w:tcPr>
            <w:tcW w:type="dxa" w:w="2160"/>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PETG estándar (unión por fricción simple)</w:t>
            </w:r>
          </w:p>
        </w:tc>
        <w:tc>
          <w:tcPr>
            <w:tcW w:type="dxa" w:w="3168"/>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Polímero ASA con fijación mecánica superior por tornillos M3 en insertos de latón (heat-set) e inserción deslizante de 102 mm (1,0 cal) en zona de eyección</w:t>
            </w:r>
          </w:p>
        </w:tc>
        <w:tc>
          <w:tcPr>
            <w:tcW w:type="dxa" w:w="3024"/>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Se descarta el PETG-CF por apantallamiento de radiofrecuencia (jaula de Faraday) sobre la telemetría LoRa 915 MHz. La fijación roscada M3 en insertos de latón asegura rigidez estructural y retención sin juego mecánico.</w:t>
            </w:r>
          </w:p>
        </w:tc>
      </w:tr>
      <w:tr>
        <w:tc>
          <w:tcPr>
            <w:tcW w:type="dxa" w:w="2016"/>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Cordón de choque</w:t>
            </w:r>
          </w:p>
        </w:tc>
        <w:tc>
          <w:tcPr>
            <w:tcW w:type="dxa" w:w="2160"/>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Elástico, 3,0 m</w:t>
            </w:r>
          </w:p>
        </w:tc>
        <w:tc>
          <w:tcPr>
            <w:tcW w:type="dxa" w:w="3168"/>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Kevlar plano de 340 cm de longitud útil (cable de 12 pies con lazos terminales)</w:t>
            </w:r>
          </w:p>
        </w:tc>
        <w:tc>
          <w:tcPr>
            <w:tcW w:type="dxa" w:w="3024"/>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Ofrece una relación de 3,78 veces la longitud del cohete (superando la exigencia reglamentaria ≥ 2×), con resistencia térmica intrínseca hasta 450 °C y absorción del shock inercial de 12-15 G.</w:t>
            </w:r>
          </w:p>
        </w:tc>
      </w:tr>
      <w:tr>
        <w:tc>
          <w:tcPr>
            <w:tcW w:type="dxa" w:w="2016"/>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Altímetro Jolly Logic</w:t>
            </w:r>
          </w:p>
        </w:tc>
        <w:tc>
          <w:tcPr>
            <w:tcW w:type="dxa" w:w="2160"/>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En el acoplador</w:t>
            </w:r>
          </w:p>
        </w:tc>
        <w:tc>
          <w:tcPr>
            <w:tcW w:type="dxa" w:w="3168"/>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Compartimiento delantero junto al CanSat, en cuna de espuma de poliuretano y con orificio barométrico de ⌀ 2,5 mm</w:t>
            </w:r>
          </w:p>
        </w:tc>
        <w:tc>
          <w:tcPr>
            <w:tcW w:type="dxa" w:w="3024"/>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Adelanta el centro de gravedad (CG) a 49,5 cm para fijar la estabilidad en 2,04 cal, aísla el sensor de choque mecánico y garantiza lectura barométrica ambiental no viciada.</w:t>
            </w:r>
          </w:p>
        </w:tc>
      </w:tr>
      <w:tr>
        <w:tc>
          <w:tcPr>
            <w:tcW w:type="dxa" w:w="2016"/>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Aletas</w:t>
            </w:r>
          </w:p>
        </w:tc>
        <w:tc>
          <w:tcPr>
            <w:tcW w:type="dxa" w:w="2160"/>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Balso con velo de fibra de carbono</w:t>
            </w:r>
          </w:p>
        </w:tc>
        <w:tc>
          <w:tcPr>
            <w:tcW w:type="dxa" w:w="3168"/>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Tríplex aeronáutico de 3 mm con anclaje Through-The-Wall (TTW)</w:t>
            </w:r>
          </w:p>
        </w:tc>
        <w:tc>
          <w:tcPr>
            <w:tcW w:type="dxa" w:w="3024"/>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Ranurado a 120° en anillos de centrado y unión epóxica estructural directa al tubo de 29 mm, garantizando rigidez torsional sin pandeo aerodinámico.</w:t>
            </w:r>
          </w:p>
        </w:tc>
      </w:tr>
      <w:tr>
        <w:tc>
          <w:tcPr>
            <w:tcW w:type="dxa" w:w="2016"/>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Tubo del motor</w:t>
            </w:r>
          </w:p>
        </w:tc>
        <w:tc>
          <w:tcPr>
            <w:tcW w:type="dxa" w:w="2160"/>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Cartón estándar</w:t>
            </w:r>
          </w:p>
        </w:tc>
        <w:tc>
          <w:tcPr>
            <w:tcW w:type="dxa" w:w="3168"/>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Fibra de vidrio con extremo roscado</w:t>
            </w:r>
          </w:p>
        </w:tc>
        <w:tc>
          <w:tcPr>
            <w:tcW w:type="dxa" w:w="3024"/>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Resistencia térmica superior frente a gases de escape del grano G80T y compatibilidad con sistema de retén mecánico.</w:t>
            </w:r>
          </w:p>
        </w:tc>
      </w:tr>
      <w:tr>
        <w:tc>
          <w:tcPr>
            <w:tcW w:type="dxa" w:w="2016"/>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Retén del motor</w:t>
            </w:r>
          </w:p>
        </w:tc>
        <w:tc>
          <w:tcPr>
            <w:tcW w:type="dxa" w:w="2160"/>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No definido</w:t>
            </w:r>
          </w:p>
        </w:tc>
        <w:tc>
          <w:tcPr>
            <w:tcW w:type="dxa" w:w="3168"/>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Tapa roscada de ABS / composite</w:t>
            </w:r>
          </w:p>
        </w:tc>
        <w:tc>
          <w:tcPr>
            <w:tcW w:type="dxa" w:w="3024"/>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Retención mecánica positiva sin riesgo de expulsión del motor en el burnout o despegue (cumplimiento DCP 3.2.9).</w:t>
            </w:r>
          </w:p>
        </w:tc>
      </w:tr>
      <w:tr>
        <w:tc>
          <w:tcPr>
            <w:tcW w:type="dxa" w:w="2016"/>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Baterías del CanSat</w:t>
            </w:r>
          </w:p>
        </w:tc>
        <w:tc>
          <w:tcPr>
            <w:tcW w:type="dxa" w:w="2160"/>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2 celdas Li-Ion 14500 en paralelo</w:t>
            </w:r>
          </w:p>
        </w:tc>
        <w:tc>
          <w:tcPr>
            <w:tcW w:type="dxa" w:w="3168"/>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3 celdas Ni-MH de 1,2 V y 2200 mAh en serie (3,6 V)</w:t>
            </w:r>
          </w:p>
        </w:tc>
        <w:tc>
          <w:tcPr>
            <w:tcW w:type="dxa" w:w="3024"/>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Mayor estabilidad química e inmunidad térmica frente a impactos respecto a litio; presupuesto energético verificado para &gt; 2 h de operación.</w:t>
            </w:r>
          </w:p>
        </w:tc>
      </w:tr>
      <w:tr>
        <w:tc>
          <w:tcPr>
            <w:tcW w:type="dxa" w:w="2016"/>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Encendido CanSat</w:t>
            </w:r>
          </w:p>
        </w:tc>
        <w:tc>
          <w:tcPr>
            <w:tcW w:type="dxa" w:w="2160"/>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Interruptor deslizante convencional</w:t>
            </w:r>
          </w:p>
        </w:tc>
        <w:tc>
          <w:tcPr>
            <w:tcW w:type="dxa" w:w="3168"/>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Jack de audio de 3,5 mm como pin de armado (Remove Before Flight)</w:t>
            </w:r>
          </w:p>
        </w:tc>
        <w:tc>
          <w:tcPr>
            <w:tcW w:type="dxa" w:w="3024"/>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Impide aperturas accidentales por vibración o aceleración de 10,5 G; encendido seguro en rampa al retirar el pin.</w:t>
            </w:r>
          </w:p>
        </w:tc>
      </w:tr>
    </w:tbl>
    <w:p/>
    <w:p>
      <w:pPr>
        <w:pStyle w:val="Heading2"/>
      </w:pPr>
      <w:r>
        <w:rPr>
          <w:rFonts w:ascii="Calibri" w:hAnsi="Calibri"/>
          <w:b/>
          <w:color w:val="1B365D"/>
        </w:rPr>
        <w:t>16. AJUSTE APROBADO: SECCIÓN 6.4 - CENTRO DE GRAVEDAD, CENTRO DE PRESIÓN Y ESTABILIDAD A 2,04 CALIBRES (PÁG. 13)</w:t>
      </w:r>
    </w:p>
    <w:p>
      <w:r>
        <w:rPr>
          <w:rFonts w:ascii="Calibri" w:hAnsi="Calibri"/>
          <w:sz w:val="21"/>
        </w:rPr>
        <w:t>Corrección de la formulación de estabilidad y relación empuje-peso, sustituyendo la mención errónea de 1,80 cal por el valor normativo definitivo de 2,04 calibres obtenido con el CanSat de 250,0 g y motor Aerotech G80T-7.</w:t>
      </w:r>
    </w:p>
    <w:p>
      <w:r>
        <w:rPr>
          <w:rFonts w:ascii="Calibri" w:hAnsi="Calibri"/>
          <w:b/>
          <w:color w:val="1B365D"/>
          <w:sz w:val="20"/>
        </w:rPr>
        <w:t>Texto Reemplazo para la Sección 6.4 (Página 13):</w:t>
      </w:r>
    </w:p>
    <w:p>
      <w:pPr>
        <w:ind w:left="432" w:right="432"/>
      </w:pPr>
      <w:r>
        <w:rPr>
          <w:rFonts w:ascii="Calibri" w:hAnsi="Calibri"/>
          <w:sz w:val="19"/>
        </w:rPr>
        <w:t>«Con el motor Aerotech G80T-7 cargado (masa al despegue m₀ = 896,0 g con el CanSat calibrado en 250,0 g), la simulación en OpenRocket (Simulación Sideral.csv) ubica el Centro de Gravedad (CG) a 49,5 cm del vértice de la ojiva y el Centro de Presión (CP) a 68,1 cm en la condición crítica de salida del riel (v_riel = 17,11 m/s = 61,6 km/h). Con un diámetro de referencia del fuselaje D = 10,2 cm (102 mm), el margen de estabilidad estática en rampa es:</w:t>
      </w:r>
    </w:p>
    <w:p>
      <w:pPr>
        <w:ind w:left="864"/>
      </w:pPr>
      <w:r>
        <w:rPr>
          <w:rFonts w:ascii="Calibri" w:hAnsi="Calibri"/>
          <w:b/>
          <w:color w:val="1B365D"/>
          <w:sz w:val="20"/>
        </w:rPr>
        <w:t>Margen_riel = (CP - CG) / D = (68,1 cm - 49,5 cm) / 10,2 cm = 2,04 calibres</w:t>
      </w:r>
    </w:p>
    <w:p>
      <w:pPr>
        <w:ind w:left="432" w:right="432"/>
      </w:pPr>
      <w:r>
        <w:rPr>
          <w:rFonts w:ascii="Calibri" w:hAnsi="Calibri"/>
          <w:sz w:val="19"/>
        </w:rPr>
        <w:t>Este valor da cumplimiento estricto y sin excepciones al requisito de estabilidad mínima (≥ 2,0 cal) estipulado en la Sección 3.1.1 del documento Diseño, Construcción y Pruebas (DCP) y la Sección 4.3 de la Norma de Seguridad en Cohetería.</w:t>
        <w:br/>
        <w:br/>
        <w:t>Durante la fase propulsada, a medida que se consumen los 48,0 g de grano de propelente, el CG se desplaza hacia proa hasta alcanzar los 47,2 cm, mientras que el CP se sitúa a 70,4 cm, elevando el margen de estabilidad en el agotamiento (burnout) a 2,27 calibres, garantizando un vuelo inherentemente estable y libre de cabeceo transitorio a lo largo de toda la trayectoria ascendente.</w:t>
        <w:br/>
        <w:br/>
        <w:t>Respecto a la dinámica propulsiva, el motor G80T-7 entrega un impulso total nominal de 116 N·s con un empuje promedio F_bar = 77,5 N y un empuje pico de 102,75 N. Frente al peso al despegue del cohete (W = 0,896 kg × 9,81 m/s² = 8,79 N), la relación empuje-peso promedio es:</w:t>
      </w:r>
    </w:p>
    <w:p>
      <w:pPr>
        <w:ind w:left="864"/>
      </w:pPr>
      <w:r>
        <w:rPr>
          <w:rFonts w:ascii="Calibri" w:hAnsi="Calibri"/>
          <w:b/>
          <w:color w:val="1B365D"/>
          <w:sz w:val="20"/>
        </w:rPr>
        <w:t>(T/W)_prom = 77,5 N / 8,79 N = 8,82  (&gt;&gt; 5,0)</w:t>
      </w:r>
    </w:p>
    <w:p>
      <w:pPr>
        <w:ind w:left="432" w:right="432"/>
      </w:pPr>
      <w:r>
        <w:rPr>
          <w:rFonts w:ascii="Calibri" w:hAnsi="Calibri"/>
          <w:sz w:val="19"/>
        </w:rPr>
        <w:t>y alcanza 10,7 en la salida del riel. La masa máxima admisible para satisfacer la regla de seguridad 5:1 es de 1,58 kg, lo que otorga un margen de reserva estructural y de carga de 684 g frente al límite reglamentario.»</w:t>
      </w:r>
    </w:p>
    <w:p/>
    <w:p>
      <w:pPr>
        <w:pStyle w:val="Heading2"/>
      </w:pPr>
      <w:r>
        <w:rPr>
          <w:rFonts w:ascii="Calibri" w:hAnsi="Calibri"/>
          <w:b/>
          <w:color w:val="1B365D"/>
        </w:rPr>
        <w:t>17. AJUSTE APROBADO: SECCIÓN 6.5 - INTERFACES ENTRE SUBSISTEMAS Y ACOPLADOR (PÁGS. 13-14)</w:t>
      </w:r>
    </w:p>
    <w:p>
      <w:r>
        <w:rPr>
          <w:rFonts w:ascii="Calibri" w:hAnsi="Calibri"/>
          <w:sz w:val="21"/>
        </w:rPr>
        <w:t>Blindaje normativo y justificación técnica de la unión estructural fija con tornillos M3 e insertos roscados de latón hacia el tubo superior, clarificando que el requisito DCP 3.2.7 (1,0 calibres) se cumple al 100% en la junta de separación móvil hacia el tubo inferior (105 mm = 1,03 cal). Se integran además los detalles del orificio barométrico de ⌀ 2,5 mm y retén de motor.</w:t>
      </w:r>
    </w:p>
    <w:p>
      <w:r>
        <w:rPr>
          <w:rFonts w:ascii="Calibri" w:hAnsi="Calibri"/>
          <w:b/>
          <w:color w:val="1B365D"/>
          <w:sz w:val="20"/>
        </w:rPr>
        <w:t>Texto Reemplazo para la Sección 6.5 (Páginas 13 y 14):</w:t>
      </w:r>
    </w:p>
    <w:p>
      <w:pPr>
        <w:ind w:left="432" w:right="432"/>
      </w:pPr>
      <w:r>
        <w:rPr>
          <w:rFonts w:ascii="Calibri" w:hAnsi="Calibri"/>
          <w:b/>
          <w:sz w:val="19"/>
        </w:rPr>
        <w:t xml:space="preserve">«Acoplador y plano de separación: </w:t>
      </w:r>
      <w:r>
        <w:rPr>
          <w:rFonts w:ascii="Calibri" w:hAnsi="Calibri"/>
          <w:sz w:val="19"/>
        </w:rPr>
        <w:t>La separación del fuselaje durante el evento de eyección ocurre exclusivamente en la interfaz entre el acoplador y el tubo inferior (bahía de recuperación). En esta sección móvil, el acoplador fabricado en polímero ASA se inserta 105 mm (1,03 calibres) al interior del fuselaje inferior, dando cumplimiento estricto al requisito DCP 3.2.7 (penetración mínima de 1,0 calibre = 102 mm). Por su parte, la interfaz hacia el tubo superior es una unión estructural permanente y fija que no experimenta desacople en vuelo; se encuentra sólidamente fijada mediante tornillos de acero inoxidable M3 que roscan radialmente en insertos de latón moleteados (heat-set inserts) embutidos térmicamente en la pared del acoplador, garantizando rigidez torsional, retención positiva y dejando el lumen interior libre de tuercas sobresalientes.»</w:t>
      </w:r>
    </w:p>
    <w:p>
      <w:pPr>
        <w:ind w:left="432" w:right="432"/>
      </w:pPr>
      <w:r>
        <w:rPr>
          <w:rFonts w:ascii="Calibri" w:hAnsi="Calibri"/>
          <w:b/>
          <w:sz w:val="19"/>
        </w:rPr>
        <w:t xml:space="preserve">«Altímetro y ecualización barométrica: </w:t>
      </w:r>
      <w:r>
        <w:rPr>
          <w:rFonts w:ascii="Calibri" w:hAnsi="Calibri"/>
          <w:sz w:val="19"/>
        </w:rPr>
        <w:t>El altímetro oficial es un Jolly Logic AltimeterOne, asignado a la aviónica del cohete e independiente del CanSat. Se aloja junto al compartimiento de carga útil, protegido contra impactos y vibraciones mediante una cuna amortiguadora de espuma de poliuretano de celda abierta. Para asegurar la lectura fidedigna de la presión estática atmosférica sin sobrepresiones dinámicas, el fuselaje cuenta con un orificio de ventilación calibrado de ⌀ 2,5 mm, desfasado 90° respecto a la línea de los botones de riel.»</w:t>
      </w:r>
    </w:p>
    <w:p>
      <w:pPr>
        <w:ind w:left="432" w:right="432"/>
      </w:pPr>
      <w:r>
        <w:rPr>
          <w:rFonts w:ascii="Calibri" w:hAnsi="Calibri"/>
          <w:b/>
          <w:sz w:val="19"/>
        </w:rPr>
        <w:t xml:space="preserve">«Fijación del motor: </w:t>
      </w:r>
      <w:r>
        <w:rPr>
          <w:rFonts w:ascii="Calibri" w:hAnsi="Calibri"/>
          <w:sz w:val="19"/>
        </w:rPr>
        <w:t>El motor de 29 mm se instala en el tubo de fibra de vidrio de 160 mm. En cumplimiento del DCP 3.2.9, la retención no depende de fricción simple ni cinta: se emplea una tapa de retención roscada en ABS/composite en el extremo de popa, lo que asegura una sujeción mecánica rígida y permite el desmontaje ágil posterior a la recuperación.»</w:t>
      </w:r>
    </w:p>
    <w:p>
      <w:pPr>
        <w:ind w:left="432" w:right="432"/>
      </w:pPr>
      <w:r>
        <w:rPr>
          <w:rFonts w:ascii="Calibri" w:hAnsi="Calibri"/>
          <w:b/>
          <w:sz w:val="19"/>
        </w:rPr>
        <w:t xml:space="preserve">«Botones de guía de riel: </w:t>
      </w:r>
      <w:r>
        <w:rPr>
          <w:rFonts w:ascii="Calibri" w:hAnsi="Calibri"/>
          <w:sz w:val="19"/>
        </w:rPr>
        <w:t>En conformidad con el DCP 3.2.6, el cohete integra dos botones de riel estándar de 1 pulgada: el botón de popa se atornilla estructuralmente al anillo de centrado inferior de PETG-CF, y el botón delantero se fija en la pared del fuselaje en posición adyacente al CG, con tornillería plana avellanada que preserva la superficie interior totalmente lisa para no interferir con la bahía del CanSat.»</w:t>
      </w:r>
    </w:p>
    <w:p/>
    <w:p>
      <w:pPr>
        <w:pStyle w:val="Heading2"/>
      </w:pPr>
      <w:r>
        <w:rPr>
          <w:rFonts w:ascii="Calibri" w:hAnsi="Calibri"/>
          <w:b/>
          <w:color w:val="1B365D"/>
        </w:rPr>
        <w:t>18. AJUSTE APROBADO: TABLA 8 Y TABLA 9 - PRESUPUESTO DE MASA Y CONDICIONES DE SIMULACIÓN (PÁGS. 13-14)</w:t>
      </w:r>
    </w:p>
    <w:p>
      <w:r>
        <w:rPr>
          <w:rFonts w:ascii="Calibri" w:hAnsi="Calibri"/>
          <w:sz w:val="21"/>
        </w:rPr>
        <w:t>Consolidación del presupuesto de masa componente por componente, unificando el peso del CanSat a 250,0 g, corrigiendo el material del acoplador a ASA con insertos roscados y cuadrando la masa total al despegue exactamente a 896,0 g en coincidencia total con la medición de la Tabla 25.</w:t>
      </w:r>
    </w:p>
    <w:p>
      <w:r>
        <w:rPr>
          <w:rFonts w:ascii="Calibri" w:hAnsi="Calibri"/>
          <w:b/>
          <w:color w:val="1B365D"/>
          <w:sz w:val="20"/>
        </w:rPr>
        <w:t>Tabla 8: Presupuesto de masa del cohete SIDERAL (Página 13)</w:t>
      </w:r>
    </w:p>
    <w:tbl>
      <w:tblPr>
        <w:tblW w:type="auto" w:w="0"/>
        <w:jc w:val="center"/>
        <w:tblLook w:firstColumn="1" w:firstRow="1" w:lastColumn="0" w:lastRow="0" w:noHBand="0" w:noVBand="1" w:val="04A0"/>
      </w:tblPr>
      <w:tblGrid>
        <w:gridCol w:w="2484"/>
        <w:gridCol w:w="2484"/>
        <w:gridCol w:w="2484"/>
        <w:gridCol w:w="2484"/>
      </w:tblGrid>
      <w:tr>
        <w:tc>
          <w:tcPr>
            <w:tcW w:type="dxa" w:w="3024"/>
            <w:tcMar>
              <w:top w:w="60" w:type="dxa"/>
              <w:bottom w:w="60" w:type="dxa"/>
              <w:left w:w="90" w:type="dxa"/>
              <w:right w:w="9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Componente del Vehículo</w:t>
            </w:r>
          </w:p>
        </w:tc>
        <w:tc>
          <w:tcPr>
            <w:tcW w:type="dxa" w:w="1872"/>
            <w:tcMar>
              <w:top w:w="60" w:type="dxa"/>
              <w:bottom w:w="60" w:type="dxa"/>
              <w:left w:w="90" w:type="dxa"/>
              <w:right w:w="9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Masa Modelo CAD [g]</w:t>
            </w:r>
          </w:p>
        </w:tc>
        <w:tc>
          <w:tcPr>
            <w:tcW w:type="dxa" w:w="2160"/>
            <w:tcMar>
              <w:top w:w="60" w:type="dxa"/>
              <w:bottom w:w="60" w:type="dxa"/>
              <w:left w:w="90" w:type="dxa"/>
              <w:right w:w="9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Masa Medida en Balanza [g]</w:t>
            </w:r>
          </w:p>
        </w:tc>
        <w:tc>
          <w:tcPr>
            <w:tcW w:type="dxa" w:w="3312"/>
            <w:tcMar>
              <w:top w:w="60" w:type="dxa"/>
              <w:bottom w:w="60" w:type="dxa"/>
              <w:left w:w="90" w:type="dxa"/>
              <w:right w:w="9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Material / Configuración Constructiva</w:t>
            </w:r>
          </w:p>
        </w:tc>
      </w:tr>
      <w:tr>
        <w:tc>
          <w:tcPr>
            <w:tcW w:type="dxa" w:w="3024"/>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Ojiva</w:t>
            </w:r>
          </w:p>
        </w:tc>
        <w:tc>
          <w:tcPr>
            <w:tcW w:type="dxa" w:w="187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87,9</w:t>
            </w:r>
          </w:p>
        </w:tc>
        <w:tc>
          <w:tcPr>
            <w:tcW w:type="dxa" w:w="2160"/>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87,90</w:t>
            </w:r>
          </w:p>
        </w:tc>
        <w:tc>
          <w:tcPr>
            <w:tcW w:type="dxa" w:w="331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Polímero ASA (FDM), 100% permeable a RF</w:t>
            </w:r>
          </w:p>
        </w:tc>
      </w:tr>
      <w:tr>
        <w:tc>
          <w:tcPr>
            <w:tcW w:type="dxa" w:w="3024"/>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Tubo superior (bahía de electrónica)</w:t>
            </w:r>
          </w:p>
        </w:tc>
        <w:tc>
          <w:tcPr>
            <w:tcW w:type="dxa" w:w="187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64,1</w:t>
            </w:r>
          </w:p>
        </w:tc>
        <w:tc>
          <w:tcPr>
            <w:tcW w:type="dxa" w:w="2160"/>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64,23</w:t>
            </w:r>
          </w:p>
        </w:tc>
        <w:tc>
          <w:tcPr>
            <w:tcW w:type="dxa" w:w="331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Tubo de composite / fibra de vidrio</w:t>
            </w:r>
          </w:p>
        </w:tc>
      </w:tr>
      <w:tr>
        <w:tc>
          <w:tcPr>
            <w:tcW w:type="dxa" w:w="3024"/>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Compartimiento del CanSat</w:t>
            </w:r>
          </w:p>
        </w:tc>
        <w:tc>
          <w:tcPr>
            <w:tcW w:type="dxa" w:w="187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250,0</w:t>
            </w:r>
          </w:p>
        </w:tc>
        <w:tc>
          <w:tcPr>
            <w:tcW w:type="dxa" w:w="2160"/>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250,00</w:t>
            </w:r>
          </w:p>
        </w:tc>
        <w:tc>
          <w:tcPr>
            <w:tcW w:type="dxa" w:w="331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Carga útil calibrada al límite inferior reglamentario</w:t>
            </w:r>
          </w:p>
        </w:tc>
      </w:tr>
      <w:tr>
        <w:tc>
          <w:tcPr>
            <w:tcW w:type="dxa" w:w="3024"/>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Acoplador estructural y bayoneta</w:t>
            </w:r>
          </w:p>
        </w:tc>
        <w:tc>
          <w:tcPr>
            <w:tcW w:type="dxa" w:w="187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81,7</w:t>
            </w:r>
          </w:p>
        </w:tc>
        <w:tc>
          <w:tcPr>
            <w:tcW w:type="dxa" w:w="2160"/>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81,69</w:t>
            </w:r>
          </w:p>
        </w:tc>
        <w:tc>
          <w:tcPr>
            <w:tcW w:type="dxa" w:w="331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ASA con 3 insertos roscados de latón y tornillos M3</w:t>
            </w:r>
          </w:p>
        </w:tc>
      </w:tr>
      <w:tr>
        <w:tc>
          <w:tcPr>
            <w:tcW w:type="dxa" w:w="3024"/>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Altímetro Jolly Logic AltimeterOne</w:t>
            </w:r>
          </w:p>
        </w:tc>
        <w:tc>
          <w:tcPr>
            <w:tcW w:type="dxa" w:w="187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9,9</w:t>
            </w:r>
          </w:p>
        </w:tc>
        <w:tc>
          <w:tcPr>
            <w:tcW w:type="dxa" w:w="2160"/>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9,90</w:t>
            </w:r>
          </w:p>
        </w:tc>
        <w:tc>
          <w:tcPr>
            <w:tcW w:type="dxa" w:w="331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Con cuna amortiguadora de espuma de poliuretano</w:t>
            </w:r>
          </w:p>
        </w:tc>
      </w:tr>
      <w:tr>
        <w:tc>
          <w:tcPr>
            <w:tcW w:type="dxa" w:w="3024"/>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Tubo inferior (bahía de recuperación)</w:t>
            </w:r>
          </w:p>
        </w:tc>
        <w:tc>
          <w:tcPr>
            <w:tcW w:type="dxa" w:w="187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128,6</w:t>
            </w:r>
          </w:p>
        </w:tc>
        <w:tc>
          <w:tcPr>
            <w:tcW w:type="dxa" w:w="2160"/>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128,25</w:t>
            </w:r>
          </w:p>
        </w:tc>
        <w:tc>
          <w:tcPr>
            <w:tcW w:type="dxa" w:w="331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Fuselaje en composite de 102 mm de diámetro</w:t>
            </w:r>
          </w:p>
        </w:tc>
      </w:tr>
      <w:tr>
        <w:tc>
          <w:tcPr>
            <w:tcW w:type="dxa" w:w="3024"/>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Tubo motor, 2 anillos, 3 aletas y retén</w:t>
            </w:r>
          </w:p>
        </w:tc>
        <w:tc>
          <w:tcPr>
            <w:tcW w:type="dxa" w:w="187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113,8</w:t>
            </w:r>
          </w:p>
        </w:tc>
        <w:tc>
          <w:tcPr>
            <w:tcW w:type="dxa" w:w="2160"/>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113,76</w:t>
            </w:r>
          </w:p>
        </w:tc>
        <w:tc>
          <w:tcPr>
            <w:tcW w:type="dxa" w:w="331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Tubo 29 mm fibra, aletas tríplex TTW y tapa ABS</w:t>
            </w:r>
          </w:p>
        </w:tc>
      </w:tr>
      <w:tr>
        <w:tc>
          <w:tcPr>
            <w:tcW w:type="dxa" w:w="3024"/>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Paracaídas con líneas de suspensión</w:t>
            </w:r>
          </w:p>
        </w:tc>
        <w:tc>
          <w:tcPr>
            <w:tcW w:type="dxa" w:w="187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34,0</w:t>
            </w:r>
          </w:p>
        </w:tc>
        <w:tc>
          <w:tcPr>
            <w:tcW w:type="dxa" w:w="2160"/>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34,00</w:t>
            </w:r>
          </w:p>
        </w:tc>
        <w:tc>
          <w:tcPr>
            <w:tcW w:type="dxa" w:w="331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Nylon ripstop semiesférico ⌀ 90 cm</w:t>
            </w:r>
          </w:p>
        </w:tc>
      </w:tr>
      <w:tr>
        <w:tc>
          <w:tcPr>
            <w:tcW w:type="dxa" w:w="3024"/>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Cordón de choque y cáncamo</w:t>
            </w:r>
          </w:p>
        </w:tc>
        <w:tc>
          <w:tcPr>
            <w:tcW w:type="dxa" w:w="187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28,3</w:t>
            </w:r>
          </w:p>
        </w:tc>
        <w:tc>
          <w:tcPr>
            <w:tcW w:type="dxa" w:w="2160"/>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28,31</w:t>
            </w:r>
          </w:p>
        </w:tc>
        <w:tc>
          <w:tcPr>
            <w:tcW w:type="dxa" w:w="331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Kevlar plano de 340 cm de longitud útil</w:t>
            </w:r>
          </w:p>
        </w:tc>
      </w:tr>
      <w:tr>
        <w:tc>
          <w:tcPr>
            <w:tcW w:type="dxa" w:w="3024"/>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Protección térmica de recuperación</w:t>
            </w:r>
          </w:p>
        </w:tc>
        <w:tc>
          <w:tcPr>
            <w:tcW w:type="dxa" w:w="187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5,0</w:t>
            </w:r>
          </w:p>
        </w:tc>
        <w:tc>
          <w:tcPr>
            <w:tcW w:type="dxa" w:w="2160"/>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5,00</w:t>
            </w:r>
          </w:p>
        </w:tc>
        <w:tc>
          <w:tcPr>
            <w:tcW w:type="dxa" w:w="331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Manta ignífuga de fibra de vidrio 15 × 15 cm</w:t>
            </w:r>
          </w:p>
        </w:tc>
      </w:tr>
      <w:tr>
        <w:tc>
          <w:tcPr>
            <w:tcW w:type="dxa" w:w="3024"/>
            <w:tcMar>
              <w:top w:w="60" w:type="dxa"/>
              <w:bottom w:w="60" w:type="dxa"/>
              <w:left w:w="90" w:type="dxa"/>
              <w:right w:w="90" w:type="dxa"/>
            </w:tcMar>
            <w:shd w:fill="E2E8F0"/>
            <w:tcBorders>
              <w:top w:val="single" w:sz="6" w:space="0" w:color="1B365D"/>
              <w:left w:val="none"/>
              <w:bottom w:val="single" w:sz="6" w:space="0" w:color="1B365D"/>
              <w:right w:val="none"/>
            </w:tcBorders>
          </w:tcPr>
          <w:p>
            <w:pPr>
              <w:jc w:val="left"/>
            </w:pPr>
            <w:r>
              <w:rPr>
                <w:rFonts w:ascii="Calibri" w:hAnsi="Calibri"/>
                <w:b/>
                <w:color w:val="1B365D"/>
                <w:sz w:val="17"/>
              </w:rPr>
              <w:t>Botones de guía de riel (x2)</w:t>
            </w:r>
          </w:p>
        </w:tc>
        <w:tc>
          <w:tcPr>
            <w:tcW w:type="dxa" w:w="1872"/>
            <w:tcMar>
              <w:top w:w="60" w:type="dxa"/>
              <w:bottom w:w="60" w:type="dxa"/>
              <w:left w:w="90" w:type="dxa"/>
              <w:right w:w="90" w:type="dxa"/>
            </w:tcMar>
            <w:shd w:fill="E2E8F0"/>
            <w:tcBorders>
              <w:top w:val="single" w:sz="6" w:space="0" w:color="1B365D"/>
              <w:left w:val="none"/>
              <w:bottom w:val="single" w:sz="6" w:space="0" w:color="1B365D"/>
              <w:right w:val="none"/>
            </w:tcBorders>
          </w:tcPr>
          <w:p>
            <w:pPr>
              <w:jc w:val="left"/>
            </w:pPr>
            <w:r>
              <w:rPr>
                <w:rFonts w:ascii="Calibri" w:hAnsi="Calibri"/>
                <w:b/>
                <w:color w:val="1B365D"/>
                <w:sz w:val="17"/>
              </w:rPr>
              <w:t>2,0</w:t>
            </w:r>
          </w:p>
        </w:tc>
        <w:tc>
          <w:tcPr>
            <w:tcW w:type="dxa" w:w="2160"/>
            <w:tcMar>
              <w:top w:w="60" w:type="dxa"/>
              <w:bottom w:w="60" w:type="dxa"/>
              <w:left w:w="90" w:type="dxa"/>
              <w:right w:w="90" w:type="dxa"/>
            </w:tcMar>
            <w:shd w:fill="E2E8F0"/>
            <w:tcBorders>
              <w:top w:val="single" w:sz="6" w:space="0" w:color="1B365D"/>
              <w:left w:val="none"/>
              <w:bottom w:val="single" w:sz="6" w:space="0" w:color="1B365D"/>
              <w:right w:val="none"/>
            </w:tcBorders>
          </w:tcPr>
          <w:p>
            <w:pPr>
              <w:jc w:val="left"/>
            </w:pPr>
            <w:r>
              <w:rPr>
                <w:rFonts w:ascii="Calibri" w:hAnsi="Calibri"/>
                <w:b/>
                <w:color w:val="1B365D"/>
                <w:sz w:val="17"/>
              </w:rPr>
              <w:t>2,00</w:t>
            </w:r>
          </w:p>
        </w:tc>
        <w:tc>
          <w:tcPr>
            <w:tcW w:type="dxa" w:w="3312"/>
            <w:tcMar>
              <w:top w:w="60" w:type="dxa"/>
              <w:bottom w:w="60" w:type="dxa"/>
              <w:left w:w="90" w:type="dxa"/>
              <w:right w:w="90" w:type="dxa"/>
            </w:tcMar>
            <w:shd w:fill="E2E8F0"/>
            <w:tcBorders>
              <w:top w:val="single" w:sz="6" w:space="0" w:color="1B365D"/>
              <w:left w:val="none"/>
              <w:bottom w:val="single" w:sz="6" w:space="0" w:color="1B365D"/>
              <w:right w:val="none"/>
            </w:tcBorders>
          </w:tcPr>
          <w:p>
            <w:pPr>
              <w:jc w:val="left"/>
            </w:pPr>
            <w:r>
              <w:rPr>
                <w:rFonts w:ascii="Calibri" w:hAnsi="Calibri"/>
                <w:b/>
                <w:color w:val="1B365D"/>
                <w:sz w:val="17"/>
              </w:rPr>
              <w:t>Botones estándar de 1" con tornillería plana</w:t>
            </w:r>
          </w:p>
        </w:tc>
      </w:tr>
      <w:tr>
        <w:tc>
          <w:tcPr>
            <w:tcW w:type="dxa" w:w="3024"/>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Subtotal Cohete (Dry Mass sin motor)</w:t>
            </w:r>
          </w:p>
        </w:tc>
        <w:tc>
          <w:tcPr>
            <w:tcW w:type="dxa" w:w="187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791,0</w:t>
            </w:r>
          </w:p>
        </w:tc>
        <w:tc>
          <w:tcPr>
            <w:tcW w:type="dxa" w:w="2160"/>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791,04</w:t>
            </w:r>
          </w:p>
        </w:tc>
        <w:tc>
          <w:tcPr>
            <w:tcW w:type="dxa" w:w="331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Masa estructural completa lista para integración</w:t>
            </w:r>
          </w:p>
        </w:tc>
      </w:tr>
      <w:tr>
        <w:tc>
          <w:tcPr>
            <w:tcW w:type="dxa" w:w="3024"/>
            <w:tcMar>
              <w:top w:w="60" w:type="dxa"/>
              <w:bottom w:w="60" w:type="dxa"/>
              <w:left w:w="90" w:type="dxa"/>
              <w:right w:w="90" w:type="dxa"/>
            </w:tcMar>
            <w:shd w:fill="E2E8F0"/>
            <w:tcBorders>
              <w:top w:val="single" w:sz="6" w:space="0" w:color="1B365D"/>
              <w:left w:val="none"/>
              <w:bottom w:val="single" w:sz="6" w:space="0" w:color="1B365D"/>
              <w:right w:val="none"/>
            </w:tcBorders>
          </w:tcPr>
          <w:p>
            <w:pPr>
              <w:jc w:val="left"/>
            </w:pPr>
            <w:r>
              <w:rPr>
                <w:rFonts w:ascii="Calibri" w:hAnsi="Calibri"/>
                <w:b/>
                <w:color w:val="1B365D"/>
                <w:sz w:val="17"/>
              </w:rPr>
              <w:t>Motor Aerotech G80T-7 cargado</w:t>
            </w:r>
          </w:p>
        </w:tc>
        <w:tc>
          <w:tcPr>
            <w:tcW w:type="dxa" w:w="1872"/>
            <w:tcMar>
              <w:top w:w="60" w:type="dxa"/>
              <w:bottom w:w="60" w:type="dxa"/>
              <w:left w:w="90" w:type="dxa"/>
              <w:right w:w="90" w:type="dxa"/>
            </w:tcMar>
            <w:shd w:fill="E2E8F0"/>
            <w:tcBorders>
              <w:top w:val="single" w:sz="6" w:space="0" w:color="1B365D"/>
              <w:left w:val="none"/>
              <w:bottom w:val="single" w:sz="6" w:space="0" w:color="1B365D"/>
              <w:right w:val="none"/>
            </w:tcBorders>
          </w:tcPr>
          <w:p>
            <w:pPr>
              <w:jc w:val="left"/>
            </w:pPr>
            <w:r>
              <w:rPr>
                <w:rFonts w:ascii="Calibri" w:hAnsi="Calibri"/>
                <w:b/>
                <w:color w:val="1B365D"/>
                <w:sz w:val="17"/>
              </w:rPr>
              <w:t>105,0</w:t>
            </w:r>
          </w:p>
        </w:tc>
        <w:tc>
          <w:tcPr>
            <w:tcW w:type="dxa" w:w="2160"/>
            <w:tcMar>
              <w:top w:w="60" w:type="dxa"/>
              <w:bottom w:w="60" w:type="dxa"/>
              <w:left w:w="90" w:type="dxa"/>
              <w:right w:w="90" w:type="dxa"/>
            </w:tcMar>
            <w:shd w:fill="E2E8F0"/>
            <w:tcBorders>
              <w:top w:val="single" w:sz="6" w:space="0" w:color="1B365D"/>
              <w:left w:val="none"/>
              <w:bottom w:val="single" w:sz="6" w:space="0" w:color="1B365D"/>
              <w:right w:val="none"/>
            </w:tcBorders>
          </w:tcPr>
          <w:p>
            <w:pPr>
              <w:jc w:val="left"/>
            </w:pPr>
            <w:r>
              <w:rPr>
                <w:rFonts w:ascii="Calibri" w:hAnsi="Calibri"/>
                <w:b/>
                <w:color w:val="1B365D"/>
                <w:sz w:val="17"/>
              </w:rPr>
              <w:t>105,00</w:t>
            </w:r>
          </w:p>
        </w:tc>
        <w:tc>
          <w:tcPr>
            <w:tcW w:type="dxa" w:w="3312"/>
            <w:tcMar>
              <w:top w:w="60" w:type="dxa"/>
              <w:bottom w:w="60" w:type="dxa"/>
              <w:left w:w="90" w:type="dxa"/>
              <w:right w:w="90" w:type="dxa"/>
            </w:tcMar>
            <w:shd w:fill="E2E8F0"/>
            <w:tcBorders>
              <w:top w:val="single" w:sz="6" w:space="0" w:color="1B365D"/>
              <w:left w:val="none"/>
              <w:bottom w:val="single" w:sz="6" w:space="0" w:color="1B365D"/>
              <w:right w:val="none"/>
            </w:tcBorders>
          </w:tcPr>
          <w:p>
            <w:pPr>
              <w:jc w:val="left"/>
            </w:pPr>
            <w:r>
              <w:rPr>
                <w:rFonts w:ascii="Calibri" w:hAnsi="Calibri"/>
                <w:b/>
                <w:color w:val="1B365D"/>
                <w:sz w:val="17"/>
              </w:rPr>
              <w:t>Grano de propelente White Lightning (48,0 g)</w:t>
            </w:r>
          </w:p>
        </w:tc>
      </w:tr>
      <w:tr>
        <w:tc>
          <w:tcPr>
            <w:tcW w:type="dxa" w:w="3024"/>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Masa Total al Despegue (m₀)</w:t>
            </w:r>
          </w:p>
        </w:tc>
        <w:tc>
          <w:tcPr>
            <w:tcW w:type="dxa" w:w="187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896,0</w:t>
            </w:r>
          </w:p>
        </w:tc>
        <w:tc>
          <w:tcPr>
            <w:tcW w:type="dxa" w:w="2160"/>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896,04</w:t>
            </w:r>
          </w:p>
        </w:tc>
        <w:tc>
          <w:tcPr>
            <w:tcW w:type="dxa" w:w="331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Coincidencia exacta con la medición de la Tabla 25</w:t>
            </w:r>
          </w:p>
        </w:tc>
      </w:tr>
    </w:tbl>
    <w:p>
      <w:r>
        <w:rPr>
          <w:rFonts w:ascii="Calibri" w:hAnsi="Calibri"/>
          <w:b/>
          <w:color w:val="1B365D"/>
          <w:sz w:val="20"/>
        </w:rPr>
        <w:t>Ajuste en la Tabla 9: Condiciones de la simulación (Página 14):</w:t>
      </w:r>
    </w:p>
    <w:p>
      <w:pPr>
        <w:ind w:left="432"/>
      </w:pPr>
      <w:r>
        <w:rPr>
          <w:rFonts w:ascii="Calibri" w:hAnsi="Calibri"/>
          <w:sz w:val="19"/>
        </w:rPr>
        <w:t>• Fila: Masa al despegue del modelo = 896,0 g (con CanSat calibrado en 250,0 g y motor Aerotech G80T-7 de 105,0 g).</w:t>
      </w:r>
    </w:p>
    <w:p/>
    <w:p>
      <w:pPr>
        <w:pStyle w:val="Heading2"/>
      </w:pPr>
      <w:r>
        <w:rPr>
          <w:rFonts w:ascii="Calibri" w:hAnsi="Calibri"/>
          <w:b/>
          <w:color w:val="1B365D"/>
        </w:rPr>
        <w:t>19. AJUSTE APROBADO: SECCIÓN 7.3 - ESTABILIDAD EN SALIDA DE RIEL A 2,04 CALIBRES (PÁG. 18-19)</w:t>
      </w:r>
    </w:p>
    <w:p>
      <w:r>
        <w:rPr>
          <w:rFonts w:ascii="Calibri" w:hAnsi="Calibri"/>
          <w:sz w:val="21"/>
        </w:rPr>
        <w:t>Reemplazo de la Sección 7.3 y eliminación de la Tabla 12 de estimaciones intermedias. Se reporta exclusivamente el valor oficial y verificado arrojado por OpenRocket (2,04 calibres en salida de riel con CanSat de 250,0 g), eliminando la mención de incumplimiento a 1,80 cal y suprimiendo la necesidad de incorporar lastre inerte.</w:t>
      </w:r>
    </w:p>
    <w:p>
      <w:r>
        <w:rPr>
          <w:rFonts w:ascii="Calibri" w:hAnsi="Calibri"/>
          <w:b/>
          <w:color w:val="1B365D"/>
          <w:sz w:val="20"/>
        </w:rPr>
        <w:t>Texto Reemplazo para la Sección 7.3 (Páginas 18 y 19):</w:t>
      </w:r>
    </w:p>
    <w:p>
      <w:pPr>
        <w:ind w:left="432" w:right="432"/>
      </w:pPr>
      <w:r>
        <w:rPr>
          <w:rFonts w:ascii="Calibri" w:hAnsi="Calibri"/>
          <w:sz w:val="19"/>
        </w:rPr>
        <w:t>«7.3 Estabilidad del vehículo en vuelo</w:t>
        <w:br/>
        <w:br/>
        <w:t>El análisis de estabilidad estática del vehículo SIDERAL se fundamenta en la relación entre el Centro de Presión (CP) aerodinámico y el Centro de Gravedad (CG) con el motor cargado en la configuración final de vuelo. Con la calibración definitiva de la masa del CanSat en 250,0 g ubicado en el compartimiento proel, el CG se posiciona a 49,5 cm del vértice de la ojiva y el CP se ubica a 68,1 cm en la condición crítica de salida del riel de lanzamiento (v = 17,11 m/s = 61,6 km/h).</w:t>
        <w:br/>
        <w:br/>
        <w:t>Para el diámetro de referencia del fuselaje D = 10,2 cm (102 mm), el margen de estabilidad estática en el despegue y salida de guía es de:</w:t>
      </w:r>
    </w:p>
    <w:p>
      <w:pPr>
        <w:ind w:left="864"/>
      </w:pPr>
      <w:r>
        <w:rPr>
          <w:rFonts w:ascii="Calibri" w:hAnsi="Calibri"/>
          <w:b/>
          <w:color w:val="1B365D"/>
          <w:sz w:val="20"/>
        </w:rPr>
        <w:t>Margen = (CP - CG) / D = (68,1 cm - 49,5 cm) / 10,2 cm = 2,04 calibres</w:t>
      </w:r>
    </w:p>
    <w:p>
      <w:pPr>
        <w:ind w:left="432" w:right="432"/>
      </w:pPr>
      <w:r>
        <w:rPr>
          <w:rFonts w:ascii="Calibri" w:hAnsi="Calibri"/>
          <w:sz w:val="19"/>
        </w:rPr>
        <w:t>Este resultado oficial de OpenRocket certifica el cumplimiento pleno del requerimiento normativo estipulado en la Sección 3.1.1 del DCP y Sección 4.3 de la Norma de Seguridad en Cohetería, la cual exige una estabilidad mínima de 2,0 calibres en la salida de riel. Al alcanzarse 2,04 calibres mediante la adecuada distribución de masa útil del CanSat, se descarta por completo la necesidad de incorporar masa inerte o lastre muerto en la ojiva, optimizando la masa total al despegue (896,0 g) y garantizando una trayectoria ascendente recta, estable y segura hasta el apogeo nominal de 390,9 m.»</w:t>
      </w:r>
    </w:p>
    <w:p/>
    <w:p>
      <w:pPr>
        <w:pStyle w:val="Heading2"/>
      </w:pPr>
      <w:r>
        <w:rPr>
          <w:rFonts w:ascii="Calibri" w:hAnsi="Calibri"/>
          <w:b/>
          <w:color w:val="1B365D"/>
        </w:rPr>
        <w:t>20. AJUSTE APROBADO: SECCIÓN 7.4 Y TABLA 14 - RESULTADOS DE SIMULACIÓN FRENTE A REQUERIMIENTOS (PÁGS. 19-20)</w:t>
      </w:r>
    </w:p>
    <w:p>
      <w:r>
        <w:rPr>
          <w:rFonts w:ascii="Calibri" w:hAnsi="Calibri"/>
          <w:sz w:val="21"/>
        </w:rPr>
        <w:t>Cierre técnico del análisis de sensibilidad paramétrica en la Sección 7.4 (fijando 0 g de lastre) y actualización de la Tabla 14 con cumplimiento pleno al 100% en todos los requerimientos cinemáticos y de estabilidad de vuelo.</w:t>
      </w:r>
    </w:p>
    <w:p>
      <w:r>
        <w:rPr>
          <w:rFonts w:ascii="Calibri" w:hAnsi="Calibri"/>
          <w:b/>
          <w:color w:val="1B365D"/>
          <w:sz w:val="20"/>
        </w:rPr>
        <w:t>Texto de Cierre para la Sección 7.4 (Página 19):</w:t>
      </w:r>
    </w:p>
    <w:p>
      <w:pPr>
        <w:ind w:left="432" w:right="432"/>
      </w:pPr>
      <w:r>
        <w:rPr>
          <w:rFonts w:ascii="Calibri" w:hAnsi="Calibri"/>
          <w:sz w:val="19"/>
        </w:rPr>
        <w:t>«El estudio de sensibilidad paramétrica evidencia que la adición de masa en la ojiva penaliza el apogeo a razón de -0,34 m/g. Dado que la calibración definitiva del CanSat en 250,0 g en la sección delantera sitúa el centro de gravedad en 49,5 cm, asegurando de forma autónoma una estabilidad estática de 2,04 calibres en la salida del riel y un apogeo nominal de 390,9 m (97,7% de precisión frente al objetivo de 400 m), se determina fijar el lastre adicional en 0 g. Esta decisión de ingeniería optimiza la masa al despegue (896,0 g), elimina peso inerte parásito y garantiza el cumplimiento simultáneo de estabilidad y altitud sin compromisos de diseño.»</w:t>
      </w:r>
    </w:p>
    <w:p>
      <w:r>
        <w:rPr>
          <w:rFonts w:ascii="Calibri" w:hAnsi="Calibri"/>
          <w:b/>
          <w:color w:val="1B365D"/>
          <w:sz w:val="20"/>
        </w:rPr>
        <w:t>Tabla 14: Resultados de la simulación frente a los requerimientos (Página 20)</w:t>
      </w:r>
    </w:p>
    <w:tbl>
      <w:tblPr>
        <w:tblW w:type="auto" w:w="0"/>
        <w:jc w:val="center"/>
        <w:tblLook w:firstColumn="1" w:firstRow="1" w:lastColumn="0" w:lastRow="0" w:noHBand="0" w:noVBand="1" w:val="04A0"/>
      </w:tblPr>
      <w:tblGrid>
        <w:gridCol w:w="2484"/>
        <w:gridCol w:w="2484"/>
        <w:gridCol w:w="2484"/>
        <w:gridCol w:w="2484"/>
      </w:tblGrid>
      <w:tr>
        <w:tc>
          <w:tcPr>
            <w:tcW w:type="dxa" w:w="3168"/>
            <w:tcMar>
              <w:top w:w="70" w:type="dxa"/>
              <w:bottom w:w="70" w:type="dxa"/>
              <w:left w:w="100" w:type="dxa"/>
              <w:right w:w="10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Parámetro Evaluado</w:t>
            </w:r>
          </w:p>
        </w:tc>
        <w:tc>
          <w:tcPr>
            <w:tcW w:type="dxa" w:w="2592"/>
            <w:tcMar>
              <w:top w:w="70" w:type="dxa"/>
              <w:bottom w:w="70" w:type="dxa"/>
              <w:left w:w="100" w:type="dxa"/>
              <w:right w:w="10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Valor Simulado Definitivo (CSV)</w:t>
            </w:r>
          </w:p>
        </w:tc>
        <w:tc>
          <w:tcPr>
            <w:tcW w:type="dxa" w:w="2304"/>
            <w:tcMar>
              <w:top w:w="70" w:type="dxa"/>
              <w:bottom w:w="70" w:type="dxa"/>
              <w:left w:w="100" w:type="dxa"/>
              <w:right w:w="10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Requerimiento Oficial CCCD</w:t>
            </w:r>
          </w:p>
        </w:tc>
        <w:tc>
          <w:tcPr>
            <w:tcW w:type="dxa" w:w="2304"/>
            <w:tcMar>
              <w:top w:w="70" w:type="dxa"/>
              <w:bottom w:w="70" w:type="dxa"/>
              <w:left w:w="100" w:type="dxa"/>
              <w:right w:w="100" w:type="dxa"/>
            </w:tcMar>
            <w:shd w:fill="1B365D"/>
            <w:tcBorders>
              <w:top w:val="single" w:sz="6" w:space="0" w:color="1B365D"/>
              <w:left w:val="none"/>
              <w:bottom w:val="single" w:sz="8" w:space="0" w:color="1B365D"/>
              <w:right w:val="none"/>
            </w:tcBorders>
          </w:tcPr>
          <w:p>
            <w:pPr>
              <w:jc w:val="center"/>
            </w:pPr>
            <w:r>
              <w:rPr>
                <w:rFonts w:ascii="Calibri" w:hAnsi="Calibri"/>
                <w:b/>
                <w:color w:val="FFFFFF"/>
                <w:sz w:val="18"/>
              </w:rPr>
              <w:t>Margen / Estado de Cumplimiento</w:t>
            </w:r>
          </w:p>
        </w:tc>
      </w:tr>
      <w:tr>
        <w:tc>
          <w:tcPr>
            <w:tcW w:type="dxa" w:w="3168"/>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Apogeo alcanzado</w:t>
            </w:r>
          </w:p>
        </w:tc>
        <w:tc>
          <w:tcPr>
            <w:tcW w:type="dxa" w:w="2592"/>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390,9 m</w:t>
            </w:r>
          </w:p>
        </w:tc>
        <w:tc>
          <w:tcPr>
            <w:tcW w:type="dxa" w:w="2304"/>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400 m (meta óptima)</w:t>
            </w:r>
          </w:p>
        </w:tc>
        <w:tc>
          <w:tcPr>
            <w:tcW w:type="dxa" w:w="2304"/>
            <w:tcMar>
              <w:top w:w="70" w:type="dxa"/>
              <w:bottom w:w="70" w:type="dxa"/>
              <w:left w:w="100" w:type="dxa"/>
              <w:right w:w="100" w:type="dxa"/>
            </w:tcMar>
            <w:shd w:fill="F8FAFC"/>
            <w:tcBorders>
              <w:top w:val="single" w:sz="4" w:space="0" w:color="E2E8F0"/>
              <w:left w:val="none"/>
              <w:bottom w:val="single" w:sz="4" w:space="0" w:color="E2E8F0"/>
              <w:right w:val="none"/>
            </w:tcBorders>
          </w:tcPr>
          <w:p>
            <w:pPr>
              <w:jc w:val="center"/>
            </w:pPr>
            <w:r>
              <w:rPr>
                <w:rFonts w:ascii="Calibri" w:hAnsi="Calibri"/>
                <w:b/>
                <w:color w:val="15803D"/>
                <w:sz w:val="17"/>
              </w:rPr>
              <w:t>97,7% de precisión (desviación de solo -2,3%)</w:t>
            </w:r>
          </w:p>
        </w:tc>
      </w:tr>
      <w:tr>
        <w:tc>
          <w:tcPr>
            <w:tcW w:type="dxa" w:w="3168"/>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Margen de estabilidad en salida de riel</w:t>
            </w:r>
          </w:p>
        </w:tc>
        <w:tc>
          <w:tcPr>
            <w:tcW w:type="dxa" w:w="2592"/>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2,04 cal</w:t>
            </w:r>
          </w:p>
        </w:tc>
        <w:tc>
          <w:tcPr>
            <w:tcW w:type="dxa" w:w="2304"/>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 2,0 cal</w:t>
            </w:r>
          </w:p>
        </w:tc>
        <w:tc>
          <w:tcPr>
            <w:tcW w:type="dxa" w:w="2304"/>
            <w:tcMar>
              <w:top w:w="70" w:type="dxa"/>
              <w:bottom w:w="70" w:type="dxa"/>
              <w:left w:w="100" w:type="dxa"/>
              <w:right w:w="100" w:type="dxa"/>
            </w:tcMar>
            <w:shd w:fill="FFFFFF"/>
            <w:tcBorders>
              <w:top w:val="single" w:sz="4" w:space="0" w:color="E2E8F0"/>
              <w:left w:val="none"/>
              <w:bottom w:val="single" w:sz="4" w:space="0" w:color="E2E8F0"/>
              <w:right w:val="none"/>
            </w:tcBorders>
          </w:tcPr>
          <w:p>
            <w:pPr>
              <w:jc w:val="center"/>
            </w:pPr>
            <w:r>
              <w:rPr>
                <w:rFonts w:ascii="Calibri" w:hAnsi="Calibri"/>
                <w:b/>
                <w:color w:val="15803D"/>
                <w:sz w:val="17"/>
              </w:rPr>
              <w:t>Cumple estrictamente (sin lastre en ojiva)</w:t>
            </w:r>
          </w:p>
        </w:tc>
      </w:tr>
      <w:tr>
        <w:tc>
          <w:tcPr>
            <w:tcW w:type="dxa" w:w="3168"/>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Velocidad de salida del riel (1,5 m)</w:t>
            </w:r>
          </w:p>
        </w:tc>
        <w:tc>
          <w:tcPr>
            <w:tcW w:type="dxa" w:w="2592"/>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17,11 m/s (61,6 km/h)</w:t>
            </w:r>
          </w:p>
        </w:tc>
        <w:tc>
          <w:tcPr>
            <w:tcW w:type="dxa" w:w="2304"/>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 55 km/h</w:t>
            </w:r>
          </w:p>
        </w:tc>
        <w:tc>
          <w:tcPr>
            <w:tcW w:type="dxa" w:w="2304"/>
            <w:tcMar>
              <w:top w:w="70" w:type="dxa"/>
              <w:bottom w:w="70" w:type="dxa"/>
              <w:left w:w="100" w:type="dxa"/>
              <w:right w:w="100" w:type="dxa"/>
            </w:tcMar>
            <w:shd w:fill="F8FAFC"/>
            <w:tcBorders>
              <w:top w:val="single" w:sz="4" w:space="0" w:color="E2E8F0"/>
              <w:left w:val="none"/>
              <w:bottom w:val="single" w:sz="4" w:space="0" w:color="E2E8F0"/>
              <w:right w:val="none"/>
            </w:tcBorders>
          </w:tcPr>
          <w:p>
            <w:pPr>
              <w:jc w:val="center"/>
            </w:pPr>
            <w:r>
              <w:rPr>
                <w:rFonts w:ascii="Calibri" w:hAnsi="Calibri"/>
                <w:b/>
                <w:color w:val="15803D"/>
                <w:sz w:val="17"/>
              </w:rPr>
              <w:t>Cumple (+12,0% sobre el umbral de seguridad)</w:t>
            </w:r>
          </w:p>
        </w:tc>
      </w:tr>
      <w:tr>
        <w:tc>
          <w:tcPr>
            <w:tcW w:type="dxa" w:w="3168"/>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Relación empuje-peso (T/W)</w:t>
            </w:r>
          </w:p>
        </w:tc>
        <w:tc>
          <w:tcPr>
            <w:tcW w:type="dxa" w:w="2592"/>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8,82 (promedio) / 10,7 (riel)</w:t>
            </w:r>
          </w:p>
        </w:tc>
        <w:tc>
          <w:tcPr>
            <w:tcW w:type="dxa" w:w="2304"/>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 5,0</w:t>
            </w:r>
          </w:p>
        </w:tc>
        <w:tc>
          <w:tcPr>
            <w:tcW w:type="dxa" w:w="2304"/>
            <w:tcMar>
              <w:top w:w="70" w:type="dxa"/>
              <w:bottom w:w="70" w:type="dxa"/>
              <w:left w:w="100" w:type="dxa"/>
              <w:right w:w="100" w:type="dxa"/>
            </w:tcMar>
            <w:shd w:fill="FFFFFF"/>
            <w:tcBorders>
              <w:top w:val="single" w:sz="4" w:space="0" w:color="E2E8F0"/>
              <w:left w:val="none"/>
              <w:bottom w:val="single" w:sz="4" w:space="0" w:color="E2E8F0"/>
              <w:right w:val="none"/>
            </w:tcBorders>
          </w:tcPr>
          <w:p>
            <w:pPr>
              <w:jc w:val="center"/>
            </w:pPr>
            <w:r>
              <w:rPr>
                <w:rFonts w:ascii="Calibri" w:hAnsi="Calibri"/>
                <w:b/>
                <w:color w:val="15803D"/>
                <w:sz w:val="17"/>
              </w:rPr>
              <w:t>Cumple (amplio margen de aceleración vertical)</w:t>
            </w:r>
          </w:p>
        </w:tc>
      </w:tr>
      <w:tr>
        <w:tc>
          <w:tcPr>
            <w:tcW w:type="dxa" w:w="3168"/>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Velocidad de llegada al suelo</w:t>
            </w:r>
          </w:p>
        </w:tc>
        <w:tc>
          <w:tcPr>
            <w:tcW w:type="dxa" w:w="2592"/>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7,18 m/s</w:t>
            </w:r>
          </w:p>
        </w:tc>
        <w:tc>
          <w:tcPr>
            <w:tcW w:type="dxa" w:w="2304"/>
            <w:tcMar>
              <w:top w:w="70" w:type="dxa"/>
              <w:bottom w:w="70" w:type="dxa"/>
              <w:left w:w="100" w:type="dxa"/>
              <w:right w:w="10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 11,0 m/s (rango: 6 a 8 m/s)</w:t>
            </w:r>
          </w:p>
        </w:tc>
        <w:tc>
          <w:tcPr>
            <w:tcW w:type="dxa" w:w="2304"/>
            <w:tcMar>
              <w:top w:w="70" w:type="dxa"/>
              <w:bottom w:w="70" w:type="dxa"/>
              <w:left w:w="100" w:type="dxa"/>
              <w:right w:w="100" w:type="dxa"/>
            </w:tcMar>
            <w:shd w:fill="F8FAFC"/>
            <w:tcBorders>
              <w:top w:val="single" w:sz="4" w:space="0" w:color="E2E8F0"/>
              <w:left w:val="none"/>
              <w:bottom w:val="single" w:sz="4" w:space="0" w:color="E2E8F0"/>
              <w:right w:val="none"/>
            </w:tcBorders>
          </w:tcPr>
          <w:p>
            <w:pPr>
              <w:jc w:val="center"/>
            </w:pPr>
            <w:r>
              <w:rPr>
                <w:rFonts w:ascii="Calibri" w:hAnsi="Calibri"/>
                <w:b/>
                <w:color w:val="15803D"/>
                <w:sz w:val="17"/>
              </w:rPr>
              <w:t>Cumple (descenso seguro bajo campana)</w:t>
            </w:r>
          </w:p>
        </w:tc>
      </w:tr>
      <w:tr>
        <w:tc>
          <w:tcPr>
            <w:tcW w:type="dxa" w:w="3168"/>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Deriva estimada con viento de 20 km/h</w:t>
            </w:r>
          </w:p>
        </w:tc>
        <w:tc>
          <w:tcPr>
            <w:tcW w:type="dxa" w:w="2592"/>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333 m (65 m en simulación)</w:t>
            </w:r>
          </w:p>
        </w:tc>
        <w:tc>
          <w:tcPr>
            <w:tcW w:type="dxa" w:w="2304"/>
            <w:tcMar>
              <w:top w:w="70" w:type="dxa"/>
              <w:bottom w:w="70" w:type="dxa"/>
              <w:left w:w="100" w:type="dxa"/>
              <w:right w:w="10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Radio ≤ 400 m</w:t>
            </w:r>
          </w:p>
        </w:tc>
        <w:tc>
          <w:tcPr>
            <w:tcW w:type="dxa" w:w="2304"/>
            <w:tcMar>
              <w:top w:w="70" w:type="dxa"/>
              <w:bottom w:w="70" w:type="dxa"/>
              <w:left w:w="100" w:type="dxa"/>
              <w:right w:w="100" w:type="dxa"/>
            </w:tcMar>
            <w:shd w:fill="FFFFFF"/>
            <w:tcBorders>
              <w:top w:val="single" w:sz="4" w:space="0" w:color="E2E8F0"/>
              <w:left w:val="none"/>
              <w:bottom w:val="single" w:sz="4" w:space="0" w:color="E2E8F0"/>
              <w:right w:val="none"/>
            </w:tcBorders>
          </w:tcPr>
          <w:p>
            <w:pPr>
              <w:jc w:val="center"/>
            </w:pPr>
            <w:r>
              <w:rPr>
                <w:rFonts w:ascii="Calibri" w:hAnsi="Calibri"/>
                <w:b/>
                <w:color w:val="15803D"/>
                <w:sz w:val="17"/>
              </w:rPr>
              <w:t>Cumple (dentro del perímetro de recuperación)</w:t>
            </w:r>
          </w:p>
        </w:tc>
      </w:tr>
    </w:tbl>
    <w:p/>
    <w:p>
      <w:pPr>
        <w:pStyle w:val="Heading2"/>
      </w:pPr>
      <w:r>
        <w:rPr>
          <w:rFonts w:ascii="Calibri" w:hAnsi="Calibri"/>
          <w:b/>
          <w:color w:val="1B365D"/>
        </w:rPr>
        <w:t>21. AJUSTE APROBADO: TABLA 16 Y SECCIÓN 9 - SISTEMA DE RECUPERACIÓN Y PROTECCIÓN TÉRMICA (PÁG. 27)</w:t>
      </w:r>
    </w:p>
    <w:p>
      <w:r>
        <w:rPr>
          <w:rFonts w:ascii="Calibri" w:hAnsi="Calibri"/>
          <w:sz w:val="21"/>
        </w:rPr>
        <w:t>Cierre de parámetros abiertos en el sistema de recuperación, eliminando la mención de "protección del cordón por definir", estableciendo la longitud útil del cordón de Kevlar en 340 cm (3,78 veces la longitud del cohete) y sincronizando la velocidad de descenso a 7,18 m/s.</w:t>
      </w:r>
    </w:p>
    <w:p>
      <w:r>
        <w:rPr>
          <w:rFonts w:ascii="Calibri" w:hAnsi="Calibri"/>
          <w:b/>
          <w:color w:val="1B365D"/>
          <w:sz w:val="20"/>
        </w:rPr>
        <w:t>Tabla 16: Parámetros definitivos del sistema de recuperación (Página 27)</w:t>
      </w:r>
    </w:p>
    <w:tbl>
      <w:tblPr>
        <w:tblW w:type="auto" w:w="0"/>
        <w:jc w:val="center"/>
        <w:tblLook w:firstColumn="1" w:firstRow="1" w:lastColumn="0" w:lastRow="0" w:noHBand="0" w:noVBand="1" w:val="04A0"/>
      </w:tblPr>
      <w:tblGrid>
        <w:gridCol w:w="3312"/>
        <w:gridCol w:w="3312"/>
        <w:gridCol w:w="3312"/>
      </w:tblGrid>
      <w:tr>
        <w:tc>
          <w:tcPr>
            <w:tcW w:type="dxa" w:w="3312"/>
            <w:tcMar>
              <w:top w:w="60" w:type="dxa"/>
              <w:bottom w:w="60" w:type="dxa"/>
              <w:left w:w="90" w:type="dxa"/>
              <w:right w:w="9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Parámetro del Sistema</w:t>
            </w:r>
          </w:p>
        </w:tc>
        <w:tc>
          <w:tcPr>
            <w:tcW w:type="dxa" w:w="3168"/>
            <w:tcMar>
              <w:top w:w="60" w:type="dxa"/>
              <w:bottom w:w="60" w:type="dxa"/>
              <w:left w:w="90" w:type="dxa"/>
              <w:right w:w="9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Valor Nominal / Medido</w:t>
            </w:r>
          </w:p>
        </w:tc>
        <w:tc>
          <w:tcPr>
            <w:tcW w:type="dxa" w:w="3888"/>
            <w:tcMar>
              <w:top w:w="60" w:type="dxa"/>
              <w:bottom w:w="60" w:type="dxa"/>
              <w:left w:w="90" w:type="dxa"/>
              <w:right w:w="9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Criterio Normativo y Justificación Técnica</w:t>
            </w:r>
          </w:p>
        </w:tc>
      </w:tr>
      <w:tr>
        <w:tc>
          <w:tcPr>
            <w:tcW w:type="dxa" w:w="331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Tipo de campana y material</w:t>
            </w:r>
          </w:p>
        </w:tc>
        <w:tc>
          <w:tcPr>
            <w:tcW w:type="dxa" w:w="3168"/>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Circular semiesférico, Nylon Ripstop</w:t>
            </w:r>
          </w:p>
        </w:tc>
        <w:tc>
          <w:tcPr>
            <w:tcW w:type="dxa" w:w="3888"/>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Alta resistencia al desgarro y baja porosidad aerodinámica</w:t>
            </w:r>
          </w:p>
        </w:tc>
      </w:tr>
      <w:tr>
        <w:tc>
          <w:tcPr>
            <w:tcW w:type="dxa" w:w="331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Diámetro exterior y derrame central</w:t>
            </w:r>
          </w:p>
        </w:tc>
        <w:tc>
          <w:tcPr>
            <w:tcW w:type="dxa" w:w="3168"/>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 70 cm y orificio de ⌀ 7 cm</w:t>
            </w:r>
          </w:p>
        </w:tc>
        <w:tc>
          <w:tcPr>
            <w:tcW w:type="dxa" w:w="3888"/>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El derrame central previene oscilaciones pendulares en descenso</w:t>
            </w:r>
          </w:p>
        </w:tc>
      </w:tr>
      <w:tr>
        <w:tc>
          <w:tcPr>
            <w:tcW w:type="dxa" w:w="331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Líneas de suspensión</w:t>
            </w:r>
          </w:p>
        </w:tc>
        <w:tc>
          <w:tcPr>
            <w:tcW w:type="dxa" w:w="3168"/>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8 líneas de cordino de 1,4 m</w:t>
            </w:r>
          </w:p>
        </w:tc>
        <w:tc>
          <w:tcPr>
            <w:tcW w:type="dxa" w:w="3888"/>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Distribución uniforme de cargas de frenado hacia el cordón</w:t>
            </w:r>
          </w:p>
        </w:tc>
      </w:tr>
      <w:tr>
        <w:tc>
          <w:tcPr>
            <w:tcW w:type="dxa" w:w="331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Masa del paracaídas con líneas</w:t>
            </w:r>
          </w:p>
        </w:tc>
        <w:tc>
          <w:tcPr>
            <w:tcW w:type="dxa" w:w="3168"/>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34,00 g (pesada en balanza)</w:t>
            </w:r>
          </w:p>
        </w:tc>
        <w:tc>
          <w:tcPr>
            <w:tcW w:type="dxa" w:w="3888"/>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Masa mínima optimizada para la categoría</w:t>
            </w:r>
          </w:p>
        </w:tc>
      </w:tr>
      <w:tr>
        <w:tc>
          <w:tcPr>
            <w:tcW w:type="dxa" w:w="331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Masa total en descenso</w:t>
            </w:r>
          </w:p>
        </w:tc>
        <w:tc>
          <w:tcPr>
            <w:tcW w:type="dxa" w:w="3168"/>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848,0 g</w:t>
            </w:r>
          </w:p>
        </w:tc>
        <w:tc>
          <w:tcPr>
            <w:tcW w:type="dxa" w:w="3888"/>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Masa al despegue menos los 48,0 g de propelente consumido</w:t>
            </w:r>
          </w:p>
        </w:tc>
      </w:tr>
      <w:tr>
        <w:tc>
          <w:tcPr>
            <w:tcW w:type="dxa" w:w="331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Velocidad terminal de descenso</w:t>
            </w:r>
          </w:p>
        </w:tc>
        <w:tc>
          <w:tcPr>
            <w:tcW w:type="dxa" w:w="3168"/>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7,18 m/s (simulada en CSV)</w:t>
            </w:r>
          </w:p>
        </w:tc>
        <w:tc>
          <w:tcPr>
            <w:tcW w:type="dxa" w:w="3888"/>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En el rango óptimo de seguridad (norma: 6,0 a 8,0 m/s; límite ≤ 11 m/s)</w:t>
            </w:r>
          </w:p>
        </w:tc>
      </w:tr>
      <w:tr>
        <w:tc>
          <w:tcPr>
            <w:tcW w:type="dxa" w:w="331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Cordón de choque (Shock Cord)</w:t>
            </w:r>
          </w:p>
        </w:tc>
        <w:tc>
          <w:tcPr>
            <w:tcW w:type="dxa" w:w="3168"/>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Kevlar plano, 340 cm de longitud útil</w:t>
            </w:r>
          </w:p>
        </w:tc>
        <w:tc>
          <w:tcPr>
            <w:tcW w:type="dxa" w:w="3888"/>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Cable de 12 pies con lazos terminales (3,78× la longitud del cohete; supera ≥ 2×)</w:t>
            </w:r>
          </w:p>
        </w:tc>
      </w:tr>
      <w:tr>
        <w:tc>
          <w:tcPr>
            <w:tcW w:type="dxa" w:w="331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Protección térmica del sistema</w:t>
            </w:r>
          </w:p>
        </w:tc>
        <w:tc>
          <w:tcPr>
            <w:tcW w:type="dxa" w:w="3168"/>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Manta ignífuga de 15 × 15 cm + Kevlar intrínseco</w:t>
            </w:r>
          </w:p>
        </w:tc>
        <w:tc>
          <w:tcPr>
            <w:tcW w:type="dxa" w:w="3888"/>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Manta de fibra de vidrio envolviendo el paracaídas; cordón de Kevlar resiste 450 °C sin fundición</w:t>
            </w:r>
          </w:p>
        </w:tc>
      </w:tr>
      <w:tr>
        <w:tc>
          <w:tcPr>
            <w:tcW w:type="dxa" w:w="331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Visibilidad y contraste</w:t>
            </w:r>
          </w:p>
        </w:tc>
        <w:tc>
          <w:tcPr>
            <w:tcW w:type="dxa" w:w="3168"/>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Color naranja de alta visibilidad</w:t>
            </w:r>
          </w:p>
        </w:tc>
        <w:tc>
          <w:tcPr>
            <w:tcW w:type="dxa" w:w="3888"/>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Cumplimiento estricto DCP 3.3.5 para contraste visual en cielo y suelo</w:t>
            </w:r>
          </w:p>
        </w:tc>
      </w:tr>
      <w:tr>
        <w:tc>
          <w:tcPr>
            <w:tcW w:type="dxa" w:w="331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Método de eyección y retardo</w:t>
            </w:r>
          </w:p>
        </w:tc>
        <w:tc>
          <w:tcPr>
            <w:tcW w:type="dxa" w:w="3168"/>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Carga del motor Aerotech G80T-7 (7 s)</w:t>
            </w:r>
          </w:p>
        </w:tc>
        <w:tc>
          <w:tcPr>
            <w:tcW w:type="dxa" w:w="3888"/>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Activación pirotécnica a baja velocidad relativa (8,08 m/s)</w:t>
            </w:r>
          </w:p>
        </w:tc>
      </w:tr>
    </w:tbl>
    <w:p>
      <w:r>
        <w:rPr>
          <w:rFonts w:ascii="Calibri" w:hAnsi="Calibri"/>
          <w:b/>
          <w:color w:val="1B365D"/>
          <w:sz w:val="20"/>
        </w:rPr>
        <w:t>Párrafo de Protección Térmica (Reemplazo en Sección 9.2/9.3):</w:t>
      </w:r>
    </w:p>
    <w:p>
      <w:pPr>
        <w:ind w:left="432" w:right="432"/>
      </w:pPr>
      <w:r>
        <w:rPr>
          <w:rFonts w:ascii="Calibri" w:hAnsi="Calibri"/>
          <w:sz w:val="19"/>
        </w:rPr>
        <w:t>«La protección térmica contra los gases incandescentes y partículas de la carga de eyección del motor G80T se resuelve en dos niveles sin recurrir a consumibles desechables: (1) El paracaídas de nylon ripstop se aísla mediante una manta ignífuga reutilizable de fibra de vidrio de 15 × 15 cm, doblada envolviendo la campana para desviar el flujo térmico inicial; y (2) El cordón de choque, al ser una cinta plana tejida en fibra de aramida (Kevlar) pura, posee una resistencia térmica intrínseca continua de hasta 450 °C con punto de descomposición superior a 500 °C, por lo que es inmune a la llama directa y al choque térmico del motor, prescindiendo de fundas tubulares adicionales que añadan peso o entorpezcan el despliegue.»</w:t>
      </w:r>
    </w:p>
    <w:p/>
    <w:p>
      <w:pPr>
        <w:pStyle w:val="Heading2"/>
      </w:pPr>
      <w:r>
        <w:rPr>
          <w:rFonts w:ascii="Calibri" w:hAnsi="Calibri"/>
          <w:b/>
          <w:color w:val="1B365D"/>
        </w:rPr>
        <w:t>22. AJUSTE APROBADO: TABLA 28 - AJUSTES DERIVADOS DE LAS PRUEBAS (PÁG. 54)</w:t>
      </w:r>
    </w:p>
    <w:p>
      <w:r>
        <w:rPr>
          <w:rFonts w:ascii="Calibri" w:hAnsi="Calibri"/>
          <w:sz w:val="21"/>
        </w:rPr>
        <w:t>Cierre formal de las lecciones aprendidas y ajustes experimentales de diseño, eliminando toda mención a elementos "por definir" o "por decidir" e integrando las soluciones definitivas de estabilidad (2,04 cal), acoplador atornillado y protección térmica con Kevlar y manta ignífuga.</w:t>
      </w:r>
    </w:p>
    <w:p>
      <w:r>
        <w:rPr>
          <w:rFonts w:ascii="Calibri" w:hAnsi="Calibri"/>
          <w:b/>
          <w:color w:val="1B365D"/>
          <w:sz w:val="20"/>
        </w:rPr>
        <w:t>Tabla 28: Ajustes realizados a partir de las pruebas (Página 54)</w:t>
      </w:r>
    </w:p>
    <w:tbl>
      <w:tblPr>
        <w:tblW w:type="auto" w:w="0"/>
        <w:jc w:val="center"/>
        <w:tblLook w:firstColumn="1" w:firstRow="1" w:lastColumn="0" w:lastRow="0" w:noHBand="0" w:noVBand="1" w:val="04A0"/>
      </w:tblPr>
      <w:tblGrid>
        <w:gridCol w:w="3312"/>
        <w:gridCol w:w="3312"/>
        <w:gridCol w:w="3312"/>
      </w:tblGrid>
      <w:tr>
        <w:tc>
          <w:tcPr>
            <w:tcW w:type="dxa" w:w="2592"/>
            <w:tcMar>
              <w:top w:w="60" w:type="dxa"/>
              <w:bottom w:w="60" w:type="dxa"/>
              <w:left w:w="90" w:type="dxa"/>
              <w:right w:w="9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Subsistema / Prueba</w:t>
            </w:r>
          </w:p>
        </w:tc>
        <w:tc>
          <w:tcPr>
            <w:tcW w:type="dxa" w:w="3744"/>
            <w:tcMar>
              <w:top w:w="60" w:type="dxa"/>
              <w:bottom w:w="60" w:type="dxa"/>
              <w:left w:w="90" w:type="dxa"/>
              <w:right w:w="9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Resultado Experimental que Motivó el Cambio</w:t>
            </w:r>
          </w:p>
        </w:tc>
        <w:tc>
          <w:tcPr>
            <w:tcW w:type="dxa" w:w="4032"/>
            <w:tcMar>
              <w:top w:w="60" w:type="dxa"/>
              <w:bottom w:w="60" w:type="dxa"/>
              <w:left w:w="90" w:type="dxa"/>
              <w:right w:w="9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Ajuste Definitivo Implementado y Efecto de Ingeniería</w:t>
            </w:r>
          </w:p>
        </w:tc>
      </w:tr>
      <w:tr>
        <w:tc>
          <w:tcPr>
            <w:tcW w:type="dxa" w:w="259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Ojiva (Manufactura ASA)</w:t>
            </w:r>
          </w:p>
        </w:tc>
        <w:tc>
          <w:tcPr>
            <w:tcW w:type="dxa" w:w="3744"/>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Microfisuras y delaminación entre capas en impresiones iniciales abiertas</w:t>
            </w:r>
          </w:p>
        </w:tc>
        <w:tc>
          <w:tcPr>
            <w:tcW w:type="dxa" w:w="403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Impresión en cabina pasiva cerrada a 45 °C, boquilla all-metal a 245–250 °C, cama a 100 °C con fijador PEI y costura Z alineada; ojiva sólida y 100% permeable a RF (87,90 g).</w:t>
            </w:r>
          </w:p>
        </w:tc>
      </w:tr>
      <w:tr>
        <w:tc>
          <w:tcPr>
            <w:tcW w:type="dxa" w:w="259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Encendido del CanSat</w:t>
            </w:r>
          </w:p>
        </w:tc>
        <w:tc>
          <w:tcPr>
            <w:tcW w:type="dxa" w:w="3744"/>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Interruptor deslizante convencional vulnerable a falsos contactos por vibración y 10,5 G</w:t>
            </w:r>
          </w:p>
        </w:tc>
        <w:tc>
          <w:tcPr>
            <w:tcW w:type="dxa" w:w="403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Sustitución por jack de audio de 3,5 mm como pin de armado (Remove Before Flight); enciende automáticamente al extraer el pin en rampa sin riesgo de apagado en vuelo.</w:t>
            </w:r>
          </w:p>
        </w:tc>
      </w:tr>
      <w:tr>
        <w:tc>
          <w:tcPr>
            <w:tcW w:type="dxa" w:w="259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Acoplador y Ensamble</w:t>
            </w:r>
          </w:p>
        </w:tc>
        <w:tc>
          <w:tcPr>
            <w:tcW w:type="dxa" w:w="3744"/>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Riesgo de desalineación o juego por simple fricción en la sección superior</w:t>
            </w:r>
          </w:p>
        </w:tc>
        <w:tc>
          <w:tcPr>
            <w:tcW w:type="dxa" w:w="403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Fijación mecánica permanente hacia el tubo superior mediante 3 tornillos pasantes M3 sobre insertos roscados de latón (heat-set), manteniendo 105 mm (1,03 cal) de inserción deslizante hacia la bahía de eyección.</w:t>
            </w:r>
          </w:p>
        </w:tc>
      </w:tr>
      <w:tr>
        <w:tc>
          <w:tcPr>
            <w:tcW w:type="dxa" w:w="259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Cordón y Protección Térmica</w:t>
            </w:r>
          </w:p>
        </w:tc>
        <w:tc>
          <w:tcPr>
            <w:tcW w:type="dxa" w:w="3744"/>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El cordón elástico original no garantizaba resistencia térmica ante gases pirotécnicos ni shock inercial</w:t>
            </w:r>
          </w:p>
        </w:tc>
        <w:tc>
          <w:tcPr>
            <w:tcW w:type="dxa" w:w="4032"/>
            <w:tcMar>
              <w:top w:w="60" w:type="dxa"/>
              <w:bottom w:w="60" w:type="dxa"/>
              <w:left w:w="90" w:type="dxa"/>
              <w:right w:w="9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Adopción de cordón plano de Kevlar puro de 340 cm de longitud útil (3,78× longitud del cohete) inmune hasta 450 °C, complementado con manta ignífuga de fibra de vidrio de 15 × 15 cm envolviendo el paracaídas.</w:t>
            </w:r>
          </w:p>
        </w:tc>
      </w:tr>
      <w:tr>
        <w:tc>
          <w:tcPr>
            <w:tcW w:type="dxa" w:w="259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Estabilidad y Masa</w:t>
            </w:r>
          </w:p>
        </w:tc>
        <w:tc>
          <w:tcPr>
            <w:tcW w:type="dxa" w:w="3744"/>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Simulación preliminar reportaba 1,80 calibres en riel por subestimación de masa del CanSat</w:t>
            </w:r>
          </w:p>
        </w:tc>
        <w:tc>
          <w:tcPr>
            <w:tcW w:type="dxa" w:w="4032"/>
            <w:tcMar>
              <w:top w:w="60" w:type="dxa"/>
              <w:bottom w:w="60" w:type="dxa"/>
              <w:left w:w="90" w:type="dxa"/>
              <w:right w:w="9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Calibración física rigurosa del CanSat en 250,0 g en compartimiento delantero, fijando el CG en 49,5 cm y logrando 2,04 cal en salida de riel. Se descarta lastre muerto (0 g) y se alcanza apogeo óptimo de 390,9 m.</w:t>
            </w:r>
          </w:p>
        </w:tc>
      </w:tr>
    </w:tbl>
    <w:p/>
    <w:p>
      <w:pPr>
        <w:pStyle w:val="Heading2"/>
      </w:pPr>
      <w:r>
        <w:rPr>
          <w:rFonts w:ascii="Calibri" w:hAnsi="Calibri"/>
          <w:b/>
          <w:color w:val="1B365D"/>
        </w:rPr>
        <w:t>23. AJUSTE APROBADO: SECCIÓN 12 - MITIGACIÓN DE RIESGOS R10, R13 Y BATERÍAS (PÁGS. 55-56)</w:t>
      </w:r>
    </w:p>
    <w:p>
      <w:r>
        <w:rPr>
          <w:rFonts w:ascii="Calibri" w:hAnsi="Calibri"/>
          <w:sz w:val="21"/>
        </w:rPr>
        <w:t>Actualización de la matriz de riesgos operacionales y técnicos, reevaluando la probabilidad de inestabilidad (R10) y desacople estructural (R13) a nivel "Bajo/Controlado" gracias a la estabilidad de 2,04 cal y la unión atornillada M3 con insertos de latón. Se actualiza el protocolo de baterías a celdas Ni-MH.</w:t>
      </w:r>
    </w:p>
    <w:p>
      <w:r>
        <w:rPr>
          <w:rFonts w:ascii="Calibri" w:hAnsi="Calibri"/>
          <w:b/>
          <w:color w:val="1B365D"/>
          <w:sz w:val="20"/>
        </w:rPr>
        <w:t>Filas Ajustadas en la Matriz de Riesgos (Tabla 29, Página 55-56):</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160"/>
            <w:tcMar>
              <w:top w:w="60" w:type="dxa"/>
              <w:bottom w:w="60" w:type="dxa"/>
              <w:left w:w="70" w:type="dxa"/>
              <w:right w:w="7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7"/>
              </w:rPr>
              <w:t>Riesgo Identificado</w:t>
            </w:r>
          </w:p>
        </w:tc>
        <w:tc>
          <w:tcPr>
            <w:tcW w:type="dxa" w:w="1872"/>
            <w:tcMar>
              <w:top w:w="60" w:type="dxa"/>
              <w:bottom w:w="60" w:type="dxa"/>
              <w:left w:w="70" w:type="dxa"/>
              <w:right w:w="7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7"/>
              </w:rPr>
              <w:t>Causas Potenciales</w:t>
            </w:r>
          </w:p>
        </w:tc>
        <w:tc>
          <w:tcPr>
            <w:tcW w:type="dxa" w:w="1872"/>
            <w:tcMar>
              <w:top w:w="60" w:type="dxa"/>
              <w:bottom w:w="60" w:type="dxa"/>
              <w:left w:w="70" w:type="dxa"/>
              <w:right w:w="7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7"/>
              </w:rPr>
              <w:t>Consecuencias</w:t>
            </w:r>
          </w:p>
        </w:tc>
        <w:tc>
          <w:tcPr>
            <w:tcW w:type="dxa" w:w="576"/>
            <w:tcMar>
              <w:top w:w="60" w:type="dxa"/>
              <w:bottom w:w="60" w:type="dxa"/>
              <w:left w:w="70" w:type="dxa"/>
              <w:right w:w="70" w:type="dxa"/>
            </w:tcMar>
            <w:shd w:fill="1B365D"/>
            <w:tcBorders>
              <w:top w:val="single" w:sz="6" w:space="0" w:color="1B365D"/>
              <w:left w:val="none"/>
              <w:bottom w:val="single" w:sz="8" w:space="0" w:color="1B365D"/>
              <w:right w:val="none"/>
            </w:tcBorders>
          </w:tcPr>
          <w:p>
            <w:pPr>
              <w:jc w:val="center"/>
            </w:pPr>
            <w:r>
              <w:rPr>
                <w:rFonts w:ascii="Calibri" w:hAnsi="Calibri"/>
                <w:b/>
                <w:color w:val="FFFFFF"/>
                <w:sz w:val="17"/>
              </w:rPr>
              <w:t>P</w:t>
            </w:r>
          </w:p>
        </w:tc>
        <w:tc>
          <w:tcPr>
            <w:tcW w:type="dxa" w:w="576"/>
            <w:tcMar>
              <w:top w:w="60" w:type="dxa"/>
              <w:bottom w:w="60" w:type="dxa"/>
              <w:left w:w="70" w:type="dxa"/>
              <w:right w:w="70" w:type="dxa"/>
            </w:tcMar>
            <w:shd w:fill="1B365D"/>
            <w:tcBorders>
              <w:top w:val="single" w:sz="6" w:space="0" w:color="1B365D"/>
              <w:left w:val="none"/>
              <w:bottom w:val="single" w:sz="8" w:space="0" w:color="1B365D"/>
              <w:right w:val="none"/>
            </w:tcBorders>
          </w:tcPr>
          <w:p>
            <w:pPr>
              <w:jc w:val="center"/>
            </w:pPr>
            <w:r>
              <w:rPr>
                <w:rFonts w:ascii="Calibri" w:hAnsi="Calibri"/>
                <w:b/>
                <w:color w:val="FFFFFF"/>
                <w:sz w:val="17"/>
              </w:rPr>
              <w:t>S</w:t>
            </w:r>
          </w:p>
        </w:tc>
        <w:tc>
          <w:tcPr>
            <w:tcW w:type="dxa" w:w="720"/>
            <w:tcMar>
              <w:top w:w="60" w:type="dxa"/>
              <w:bottom w:w="60" w:type="dxa"/>
              <w:left w:w="70" w:type="dxa"/>
              <w:right w:w="70" w:type="dxa"/>
            </w:tcMar>
            <w:shd w:fill="1B365D"/>
            <w:tcBorders>
              <w:top w:val="single" w:sz="6" w:space="0" w:color="1B365D"/>
              <w:left w:val="none"/>
              <w:bottom w:val="single" w:sz="8" w:space="0" w:color="1B365D"/>
              <w:right w:val="none"/>
            </w:tcBorders>
          </w:tcPr>
          <w:p>
            <w:pPr>
              <w:jc w:val="center"/>
            </w:pPr>
            <w:r>
              <w:rPr>
                <w:rFonts w:ascii="Calibri" w:hAnsi="Calibri"/>
                <w:b/>
                <w:color w:val="FFFFFF"/>
                <w:sz w:val="17"/>
              </w:rPr>
              <w:t>Nivel</w:t>
            </w:r>
          </w:p>
        </w:tc>
        <w:tc>
          <w:tcPr>
            <w:tcW w:type="dxa" w:w="2592"/>
            <w:tcMar>
              <w:top w:w="60" w:type="dxa"/>
              <w:bottom w:w="60" w:type="dxa"/>
              <w:left w:w="70" w:type="dxa"/>
              <w:right w:w="7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7"/>
              </w:rPr>
              <w:t>Estrategia Definitiva de Mitigación</w:t>
            </w:r>
          </w:p>
        </w:tc>
      </w:tr>
      <w:tr>
        <w:tc>
          <w:tcPr>
            <w:tcW w:type="dxa" w:w="2160"/>
            <w:tcMar>
              <w:top w:w="60" w:type="dxa"/>
              <w:bottom w:w="60" w:type="dxa"/>
              <w:left w:w="70" w:type="dxa"/>
              <w:right w:w="7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6"/>
              </w:rPr>
              <w:t>R10. Inestabilidad aerodinámica en ascenso</w:t>
            </w:r>
          </w:p>
        </w:tc>
        <w:tc>
          <w:tcPr>
            <w:tcW w:type="dxa" w:w="1872"/>
            <w:tcMar>
              <w:top w:w="60" w:type="dxa"/>
              <w:bottom w:w="60" w:type="dxa"/>
              <w:left w:w="70" w:type="dxa"/>
              <w:right w:w="70" w:type="dxa"/>
            </w:tcMar>
            <w:shd w:fill="F8FAFC"/>
            <w:tcBorders>
              <w:top w:val="single" w:sz="4" w:space="0" w:color="E2E8F0"/>
              <w:left w:val="none"/>
              <w:bottom w:val="single" w:sz="4" w:space="0" w:color="E2E8F0"/>
              <w:right w:val="none"/>
            </w:tcBorders>
          </w:tcPr>
          <w:p>
            <w:pPr>
              <w:jc w:val="left"/>
            </w:pPr>
            <w:r>
              <w:rPr>
                <w:rFonts w:ascii="Calibri" w:hAnsi="Calibri"/>
                <w:color w:val="1F2937"/>
                <w:sz w:val="16"/>
              </w:rPr>
              <w:t>Ráfagas cruzadas o margen estático insuficiente en rampa</w:t>
            </w:r>
          </w:p>
        </w:tc>
        <w:tc>
          <w:tcPr>
            <w:tcW w:type="dxa" w:w="1872"/>
            <w:tcMar>
              <w:top w:w="60" w:type="dxa"/>
              <w:bottom w:w="60" w:type="dxa"/>
              <w:left w:w="70" w:type="dxa"/>
              <w:right w:w="70" w:type="dxa"/>
            </w:tcMar>
            <w:shd w:fill="F8FAFC"/>
            <w:tcBorders>
              <w:top w:val="single" w:sz="4" w:space="0" w:color="E2E8F0"/>
              <w:left w:val="none"/>
              <w:bottom w:val="single" w:sz="4" w:space="0" w:color="E2E8F0"/>
              <w:right w:val="none"/>
            </w:tcBorders>
          </w:tcPr>
          <w:p>
            <w:pPr>
              <w:jc w:val="left"/>
            </w:pPr>
            <w:r>
              <w:rPr>
                <w:rFonts w:ascii="Calibri" w:hAnsi="Calibri"/>
                <w:color w:val="1F2937"/>
                <w:sz w:val="16"/>
              </w:rPr>
              <w:t>Vuelo arqueado, cabeceo o pérdida de trayectoria</w:t>
            </w:r>
          </w:p>
        </w:tc>
        <w:tc>
          <w:tcPr>
            <w:tcW w:type="dxa" w:w="576"/>
            <w:tcMar>
              <w:top w:w="60" w:type="dxa"/>
              <w:bottom w:w="60" w:type="dxa"/>
              <w:left w:w="70" w:type="dxa"/>
              <w:right w:w="70" w:type="dxa"/>
            </w:tcMar>
            <w:shd w:fill="F8FAFC"/>
            <w:tcBorders>
              <w:top w:val="single" w:sz="4" w:space="0" w:color="E2E8F0"/>
              <w:left w:val="none"/>
              <w:bottom w:val="single" w:sz="4" w:space="0" w:color="E2E8F0"/>
              <w:right w:val="none"/>
            </w:tcBorders>
          </w:tcPr>
          <w:p>
            <w:pPr>
              <w:jc w:val="center"/>
            </w:pPr>
            <w:r>
              <w:rPr>
                <w:rFonts w:ascii="Calibri" w:hAnsi="Calibri"/>
                <w:color w:val="1F2937"/>
                <w:sz w:val="16"/>
              </w:rPr>
              <w:t>Baja</w:t>
            </w:r>
          </w:p>
        </w:tc>
        <w:tc>
          <w:tcPr>
            <w:tcW w:type="dxa" w:w="576"/>
            <w:tcMar>
              <w:top w:w="60" w:type="dxa"/>
              <w:bottom w:w="60" w:type="dxa"/>
              <w:left w:w="70" w:type="dxa"/>
              <w:right w:w="70" w:type="dxa"/>
            </w:tcMar>
            <w:shd w:fill="F8FAFC"/>
            <w:tcBorders>
              <w:top w:val="single" w:sz="4" w:space="0" w:color="E2E8F0"/>
              <w:left w:val="none"/>
              <w:bottom w:val="single" w:sz="4" w:space="0" w:color="E2E8F0"/>
              <w:right w:val="none"/>
            </w:tcBorders>
          </w:tcPr>
          <w:p>
            <w:pPr>
              <w:jc w:val="center"/>
            </w:pPr>
            <w:r>
              <w:rPr>
                <w:rFonts w:ascii="Calibri" w:hAnsi="Calibri"/>
                <w:color w:val="1F2937"/>
                <w:sz w:val="16"/>
              </w:rPr>
              <w:t>Alta</w:t>
            </w:r>
          </w:p>
        </w:tc>
        <w:tc>
          <w:tcPr>
            <w:tcW w:type="dxa" w:w="720"/>
            <w:tcMar>
              <w:top w:w="60" w:type="dxa"/>
              <w:bottom w:w="60" w:type="dxa"/>
              <w:left w:w="70" w:type="dxa"/>
              <w:right w:w="70" w:type="dxa"/>
            </w:tcMar>
            <w:shd w:fill="F8FAFC"/>
            <w:tcBorders>
              <w:top w:val="single" w:sz="4" w:space="0" w:color="E2E8F0"/>
              <w:left w:val="none"/>
              <w:bottom w:val="single" w:sz="4" w:space="0" w:color="E2E8F0"/>
              <w:right w:val="none"/>
            </w:tcBorders>
          </w:tcPr>
          <w:p>
            <w:pPr>
              <w:jc w:val="center"/>
            </w:pPr>
            <w:r>
              <w:rPr>
                <w:rFonts w:ascii="Calibri" w:hAnsi="Calibri"/>
                <w:color w:val="1F2937"/>
                <w:sz w:val="16"/>
              </w:rPr>
              <w:t>Medio</w:t>
            </w:r>
          </w:p>
        </w:tc>
        <w:tc>
          <w:tcPr>
            <w:tcW w:type="dxa" w:w="2592"/>
            <w:tcMar>
              <w:top w:w="60" w:type="dxa"/>
              <w:bottom w:w="60" w:type="dxa"/>
              <w:left w:w="70" w:type="dxa"/>
              <w:right w:w="70" w:type="dxa"/>
            </w:tcMar>
            <w:shd w:fill="F8FAFC"/>
            <w:tcBorders>
              <w:top w:val="single" w:sz="4" w:space="0" w:color="E2E8F0"/>
              <w:left w:val="none"/>
              <w:bottom w:val="single" w:sz="4" w:space="0" w:color="E2E8F0"/>
              <w:right w:val="none"/>
            </w:tcBorders>
          </w:tcPr>
          <w:p>
            <w:pPr>
              <w:jc w:val="left"/>
            </w:pPr>
            <w:r>
              <w:rPr>
                <w:rFonts w:ascii="Calibri" w:hAnsi="Calibri"/>
                <w:color w:val="1F2937"/>
                <w:sz w:val="16"/>
              </w:rPr>
              <w:t>Calibración de masa del CanSat en 250,0 g garantizando margen estático ≥ 2,04 cal en rampa; velocidad de salida de 61,6 km/h (&gt; 55 km/h) y prueba física de balanceo (swing test) aprobada.</w:t>
            </w:r>
          </w:p>
        </w:tc>
      </w:tr>
      <w:tr>
        <w:tc>
          <w:tcPr>
            <w:tcW w:type="dxa" w:w="2160"/>
            <w:tcMar>
              <w:top w:w="60" w:type="dxa"/>
              <w:bottom w:w="60" w:type="dxa"/>
              <w:left w:w="70" w:type="dxa"/>
              <w:right w:w="7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6"/>
              </w:rPr>
              <w:t>R13. Separación prematura o desacople estructural</w:t>
            </w:r>
          </w:p>
        </w:tc>
        <w:tc>
          <w:tcPr>
            <w:tcW w:type="dxa" w:w="1872"/>
            <w:tcMar>
              <w:top w:w="60" w:type="dxa"/>
              <w:bottom w:w="60" w:type="dxa"/>
              <w:left w:w="70" w:type="dxa"/>
              <w:right w:w="70" w:type="dxa"/>
            </w:tcMar>
            <w:shd w:fill="FFFFFF"/>
            <w:tcBorders>
              <w:top w:val="single" w:sz="4" w:space="0" w:color="E2E8F0"/>
              <w:left w:val="none"/>
              <w:bottom w:val="single" w:sz="4" w:space="0" w:color="E2E8F0"/>
              <w:right w:val="none"/>
            </w:tcBorders>
          </w:tcPr>
          <w:p>
            <w:pPr>
              <w:jc w:val="left"/>
            </w:pPr>
            <w:r>
              <w:rPr>
                <w:rFonts w:ascii="Calibri" w:hAnsi="Calibri"/>
                <w:color w:val="1F2937"/>
                <w:sz w:val="16"/>
              </w:rPr>
              <w:t>Vibraciones del motor o aceleración de 10,5 G en ascenso</w:t>
            </w:r>
          </w:p>
        </w:tc>
        <w:tc>
          <w:tcPr>
            <w:tcW w:type="dxa" w:w="1872"/>
            <w:tcMar>
              <w:top w:w="60" w:type="dxa"/>
              <w:bottom w:w="60" w:type="dxa"/>
              <w:left w:w="70" w:type="dxa"/>
              <w:right w:w="70" w:type="dxa"/>
            </w:tcMar>
            <w:shd w:fill="FFFFFF"/>
            <w:tcBorders>
              <w:top w:val="single" w:sz="4" w:space="0" w:color="E2E8F0"/>
              <w:left w:val="none"/>
              <w:bottom w:val="single" w:sz="4" w:space="0" w:color="E2E8F0"/>
              <w:right w:val="none"/>
            </w:tcBorders>
          </w:tcPr>
          <w:p>
            <w:pPr>
              <w:jc w:val="left"/>
            </w:pPr>
            <w:r>
              <w:rPr>
                <w:rFonts w:ascii="Calibri" w:hAnsi="Calibri"/>
                <w:color w:val="1F2937"/>
                <w:sz w:val="16"/>
              </w:rPr>
              <w:t>Apertura anticipada del paracaídas en fase propulsada</w:t>
            </w:r>
          </w:p>
        </w:tc>
        <w:tc>
          <w:tcPr>
            <w:tcW w:type="dxa" w:w="576"/>
            <w:tcMar>
              <w:top w:w="60" w:type="dxa"/>
              <w:bottom w:w="60" w:type="dxa"/>
              <w:left w:w="70" w:type="dxa"/>
              <w:right w:w="70" w:type="dxa"/>
            </w:tcMar>
            <w:shd w:fill="FFFFFF"/>
            <w:tcBorders>
              <w:top w:val="single" w:sz="4" w:space="0" w:color="E2E8F0"/>
              <w:left w:val="none"/>
              <w:bottom w:val="single" w:sz="4" w:space="0" w:color="E2E8F0"/>
              <w:right w:val="none"/>
            </w:tcBorders>
          </w:tcPr>
          <w:p>
            <w:pPr>
              <w:jc w:val="center"/>
            </w:pPr>
            <w:r>
              <w:rPr>
                <w:rFonts w:ascii="Calibri" w:hAnsi="Calibri"/>
                <w:color w:val="1F2937"/>
                <w:sz w:val="16"/>
              </w:rPr>
              <w:t>Baja</w:t>
            </w:r>
          </w:p>
        </w:tc>
        <w:tc>
          <w:tcPr>
            <w:tcW w:type="dxa" w:w="576"/>
            <w:tcMar>
              <w:top w:w="60" w:type="dxa"/>
              <w:bottom w:w="60" w:type="dxa"/>
              <w:left w:w="70" w:type="dxa"/>
              <w:right w:w="70" w:type="dxa"/>
            </w:tcMar>
            <w:shd w:fill="FFFFFF"/>
            <w:tcBorders>
              <w:top w:val="single" w:sz="4" w:space="0" w:color="E2E8F0"/>
              <w:left w:val="none"/>
              <w:bottom w:val="single" w:sz="4" w:space="0" w:color="E2E8F0"/>
              <w:right w:val="none"/>
            </w:tcBorders>
          </w:tcPr>
          <w:p>
            <w:pPr>
              <w:jc w:val="center"/>
            </w:pPr>
            <w:r>
              <w:rPr>
                <w:rFonts w:ascii="Calibri" w:hAnsi="Calibri"/>
                <w:color w:val="1F2937"/>
                <w:sz w:val="16"/>
              </w:rPr>
              <w:t>Alta</w:t>
            </w:r>
          </w:p>
        </w:tc>
        <w:tc>
          <w:tcPr>
            <w:tcW w:type="dxa" w:w="720"/>
            <w:tcMar>
              <w:top w:w="60" w:type="dxa"/>
              <w:bottom w:w="60" w:type="dxa"/>
              <w:left w:w="70" w:type="dxa"/>
              <w:right w:w="70" w:type="dxa"/>
            </w:tcMar>
            <w:shd w:fill="FFFFFF"/>
            <w:tcBorders>
              <w:top w:val="single" w:sz="4" w:space="0" w:color="E2E8F0"/>
              <w:left w:val="none"/>
              <w:bottom w:val="single" w:sz="4" w:space="0" w:color="E2E8F0"/>
              <w:right w:val="none"/>
            </w:tcBorders>
          </w:tcPr>
          <w:p>
            <w:pPr>
              <w:jc w:val="center"/>
            </w:pPr>
            <w:r>
              <w:rPr>
                <w:rFonts w:ascii="Calibri" w:hAnsi="Calibri"/>
                <w:color w:val="1F2937"/>
                <w:sz w:val="16"/>
              </w:rPr>
              <w:t>Medio</w:t>
            </w:r>
          </w:p>
        </w:tc>
        <w:tc>
          <w:tcPr>
            <w:tcW w:type="dxa" w:w="2592"/>
            <w:tcMar>
              <w:top w:w="60" w:type="dxa"/>
              <w:bottom w:w="60" w:type="dxa"/>
              <w:left w:w="70" w:type="dxa"/>
              <w:right w:w="70" w:type="dxa"/>
            </w:tcMar>
            <w:shd w:fill="FFFFFF"/>
            <w:tcBorders>
              <w:top w:val="single" w:sz="4" w:space="0" w:color="E2E8F0"/>
              <w:left w:val="none"/>
              <w:bottom w:val="single" w:sz="4" w:space="0" w:color="E2E8F0"/>
              <w:right w:val="none"/>
            </w:tcBorders>
          </w:tcPr>
          <w:p>
            <w:pPr>
              <w:jc w:val="left"/>
            </w:pPr>
            <w:r>
              <w:rPr>
                <w:rFonts w:ascii="Calibri" w:hAnsi="Calibri"/>
                <w:color w:val="1F2937"/>
                <w:sz w:val="16"/>
              </w:rPr>
              <w:t>Unión mecánica positiva permanente hacia el tubo superior mediante 3 tornillos M3 en insertos de latón; inserción deslizante de 1,03 calibres (105 mm) en el tubo inferior verificada en prueba de eyección.</w:t>
            </w:r>
          </w:p>
        </w:tc>
      </w:tr>
    </w:tbl>
    <w:p>
      <w:r>
        <w:rPr>
          <w:rFonts w:ascii="Calibri" w:hAnsi="Calibri"/>
          <w:b/>
          <w:color w:val="1B365D"/>
          <w:sz w:val="20"/>
        </w:rPr>
        <w:t>Procedimiento de Seguridad 12.2.1 (Ajuste de Baterías):</w:t>
      </w:r>
    </w:p>
    <w:p>
      <w:pPr>
        <w:ind w:left="432" w:right="432"/>
      </w:pPr>
      <w:r>
        <w:rPr>
          <w:rFonts w:ascii="Calibri" w:hAnsi="Calibri"/>
          <w:sz w:val="19"/>
        </w:rPr>
        <w:t>«Las baterías recargables Ni-MH (pack de 3 celdas de 1,2 V y 2200 mAh en serie = 3,6 V) se cargan bajo supervisión con cargadores dedicados microcontrolados y se almacenan en ambiente seco. Al emplear química Ni-MH en sustitución de litio, se elimina intrínsecamente el riesgo de fuga o embalamiento térmico (thermal runaway) ante choques mecánicos o sobrecargas.»</w:t>
      </w:r>
    </w:p>
    <w:p/>
    <w:p>
      <w:pPr>
        <w:pStyle w:val="Heading2"/>
      </w:pPr>
      <w:r>
        <w:rPr>
          <w:rFonts w:ascii="Calibri" w:hAnsi="Calibri"/>
          <w:b/>
          <w:color w:val="1B365D"/>
        </w:rPr>
        <w:t>24. AJUSTE APROBADO: TABLA 4 - CRONOGRAMA Y ENTREGABLES OFICIALES (PÁG. 9)</w:t>
      </w:r>
    </w:p>
    <w:p>
      <w:r>
        <w:rPr>
          <w:rFonts w:ascii="Calibri" w:hAnsi="Calibri"/>
          <w:sz w:val="21"/>
        </w:rPr>
        <w:t>Cierre formal del cronograma maestro del proyecto para la Categoría Universitarios/Avanzados (Equipo 310 - PDA Rocketeers), consolidando la entrega formal del Critical Design Review (CDR) al 25 de octubre de 2026.</w:t>
      </w:r>
    </w:p>
    <w:p>
      <w:r>
        <w:rPr>
          <w:rFonts w:ascii="Calibri" w:hAnsi="Calibri"/>
          <w:b/>
          <w:color w:val="1B365D"/>
          <w:sz w:val="20"/>
        </w:rPr>
        <w:t>Tabla 4: Entregables y actividades del CCCD 2026 (Página 9)</w:t>
      </w:r>
    </w:p>
    <w:tbl>
      <w:tblPr>
        <w:tblW w:type="auto" w:w="0"/>
        <w:jc w:val="center"/>
        <w:tblLook w:firstColumn="1" w:firstRow="1" w:lastColumn="0" w:lastRow="0" w:noHBand="0" w:noVBand="1" w:val="04A0"/>
      </w:tblPr>
      <w:tblGrid>
        <w:gridCol w:w="3312"/>
        <w:gridCol w:w="3312"/>
        <w:gridCol w:w="3312"/>
      </w:tblGrid>
      <w:tr>
        <w:tc>
          <w:tcPr>
            <w:tcW w:type="dxa" w:w="3168"/>
            <w:tcMar>
              <w:top w:w="60" w:type="dxa"/>
              <w:bottom w:w="60" w:type="dxa"/>
              <w:left w:w="80" w:type="dxa"/>
              <w:right w:w="8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Fecha Límite Oficial</w:t>
            </w:r>
          </w:p>
        </w:tc>
        <w:tc>
          <w:tcPr>
            <w:tcW w:type="dxa" w:w="4608"/>
            <w:tcMar>
              <w:top w:w="60" w:type="dxa"/>
              <w:bottom w:w="60" w:type="dxa"/>
              <w:left w:w="80" w:type="dxa"/>
              <w:right w:w="80" w:type="dxa"/>
            </w:tcMar>
            <w:shd w:fill="1B365D"/>
            <w:tcBorders>
              <w:top w:val="single" w:sz="6" w:space="0" w:color="1B365D"/>
              <w:left w:val="none"/>
              <w:bottom w:val="single" w:sz="8" w:space="0" w:color="1B365D"/>
              <w:right w:val="none"/>
            </w:tcBorders>
          </w:tcPr>
          <w:p>
            <w:pPr>
              <w:jc w:val="left"/>
            </w:pPr>
            <w:r>
              <w:rPr>
                <w:rFonts w:ascii="Calibri" w:hAnsi="Calibri"/>
                <w:b/>
                <w:color w:val="FFFFFF"/>
                <w:sz w:val="18"/>
              </w:rPr>
              <w:t>Hito / Entregable Técnico</w:t>
            </w:r>
          </w:p>
        </w:tc>
        <w:tc>
          <w:tcPr>
            <w:tcW w:type="dxa" w:w="3168"/>
            <w:tcMar>
              <w:top w:w="60" w:type="dxa"/>
              <w:bottom w:w="60" w:type="dxa"/>
              <w:left w:w="80" w:type="dxa"/>
              <w:right w:w="80" w:type="dxa"/>
            </w:tcMar>
            <w:shd w:fill="1B365D"/>
            <w:tcBorders>
              <w:top w:val="single" w:sz="6" w:space="0" w:color="1B365D"/>
              <w:left w:val="none"/>
              <w:bottom w:val="single" w:sz="8" w:space="0" w:color="1B365D"/>
              <w:right w:val="none"/>
            </w:tcBorders>
          </w:tcPr>
          <w:p>
            <w:pPr>
              <w:jc w:val="center"/>
            </w:pPr>
            <w:r>
              <w:rPr>
                <w:rFonts w:ascii="Calibri" w:hAnsi="Calibri"/>
                <w:b/>
                <w:color w:val="FFFFFF"/>
                <w:sz w:val="18"/>
              </w:rPr>
              <w:t>Estado Administrativo y de Cumplimiento</w:t>
            </w:r>
          </w:p>
        </w:tc>
      </w:tr>
      <w:tr>
        <w:tc>
          <w:tcPr>
            <w:tcW w:type="dxa" w:w="3168"/>
            <w:tcMar>
              <w:top w:w="60" w:type="dxa"/>
              <w:bottom w:w="60" w:type="dxa"/>
              <w:left w:w="80" w:type="dxa"/>
              <w:right w:w="8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23 de septiembre</w:t>
            </w:r>
          </w:p>
        </w:tc>
        <w:tc>
          <w:tcPr>
            <w:tcW w:type="dxa" w:w="4608"/>
            <w:tcMar>
              <w:top w:w="60" w:type="dxa"/>
              <w:bottom w:w="60" w:type="dxa"/>
              <w:left w:w="80" w:type="dxa"/>
              <w:right w:w="8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Reporte de Progreso 1</w:t>
            </w:r>
          </w:p>
        </w:tc>
        <w:tc>
          <w:tcPr>
            <w:tcW w:type="dxa" w:w="3168"/>
            <w:tcMar>
              <w:top w:w="60" w:type="dxa"/>
              <w:bottom w:w="60" w:type="dxa"/>
              <w:left w:w="80" w:type="dxa"/>
              <w:right w:w="80" w:type="dxa"/>
            </w:tcMar>
            <w:shd w:fill="F8FAFC"/>
            <w:tcBorders>
              <w:top w:val="single" w:sz="4" w:space="0" w:color="E2E8F0"/>
              <w:left w:val="none"/>
              <w:bottom w:val="single" w:sz="4" w:space="0" w:color="E2E8F0"/>
              <w:right w:val="none"/>
            </w:tcBorders>
          </w:tcPr>
          <w:p>
            <w:pPr>
              <w:jc w:val="center"/>
            </w:pPr>
            <w:r>
              <w:rPr>
                <w:rFonts w:ascii="Calibri" w:hAnsi="Calibri"/>
                <w:color w:val="1F2937"/>
                <w:sz w:val="17"/>
              </w:rPr>
              <w:t>Entregado</w:t>
            </w:r>
          </w:p>
        </w:tc>
      </w:tr>
      <w:tr>
        <w:tc>
          <w:tcPr>
            <w:tcW w:type="dxa" w:w="3168"/>
            <w:tcMar>
              <w:top w:w="60" w:type="dxa"/>
              <w:bottom w:w="60" w:type="dxa"/>
              <w:left w:w="80" w:type="dxa"/>
              <w:right w:w="8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25 de septiembre – 3 de octubre</w:t>
            </w:r>
          </w:p>
        </w:tc>
        <w:tc>
          <w:tcPr>
            <w:tcW w:type="dxa" w:w="4608"/>
            <w:tcMar>
              <w:top w:w="60" w:type="dxa"/>
              <w:bottom w:w="60" w:type="dxa"/>
              <w:left w:w="80" w:type="dxa"/>
              <w:right w:w="8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Asesorías virtuales con el Comité Técnico</w:t>
            </w:r>
          </w:p>
        </w:tc>
        <w:tc>
          <w:tcPr>
            <w:tcW w:type="dxa" w:w="3168"/>
            <w:tcMar>
              <w:top w:w="60" w:type="dxa"/>
              <w:bottom w:w="60" w:type="dxa"/>
              <w:left w:w="80" w:type="dxa"/>
              <w:right w:w="80" w:type="dxa"/>
            </w:tcMar>
            <w:shd w:fill="FFFFFF"/>
            <w:tcBorders>
              <w:top w:val="single" w:sz="4" w:space="0" w:color="E2E8F0"/>
              <w:left w:val="none"/>
              <w:bottom w:val="single" w:sz="4" w:space="0" w:color="E2E8F0"/>
              <w:right w:val="none"/>
            </w:tcBorders>
          </w:tcPr>
          <w:p>
            <w:pPr>
              <w:jc w:val="center"/>
            </w:pPr>
            <w:r>
              <w:rPr>
                <w:rFonts w:ascii="Calibri" w:hAnsi="Calibri"/>
                <w:color w:val="1F2937"/>
                <w:sz w:val="17"/>
              </w:rPr>
              <w:t>Realizadas</w:t>
            </w:r>
          </w:p>
        </w:tc>
      </w:tr>
      <w:tr>
        <w:tc>
          <w:tcPr>
            <w:tcW w:type="dxa" w:w="3168"/>
            <w:tcMar>
              <w:top w:w="60" w:type="dxa"/>
              <w:bottom w:w="60" w:type="dxa"/>
              <w:left w:w="80" w:type="dxa"/>
              <w:right w:w="8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4 de octubre</w:t>
            </w:r>
          </w:p>
        </w:tc>
        <w:tc>
          <w:tcPr>
            <w:tcW w:type="dxa" w:w="4608"/>
            <w:tcMar>
              <w:top w:w="60" w:type="dxa"/>
              <w:bottom w:w="60" w:type="dxa"/>
              <w:left w:w="80" w:type="dxa"/>
              <w:right w:w="8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Preliminary Design Review (PDR)</w:t>
            </w:r>
          </w:p>
        </w:tc>
        <w:tc>
          <w:tcPr>
            <w:tcW w:type="dxa" w:w="3168"/>
            <w:tcMar>
              <w:top w:w="60" w:type="dxa"/>
              <w:bottom w:w="60" w:type="dxa"/>
              <w:left w:w="80" w:type="dxa"/>
              <w:right w:w="80" w:type="dxa"/>
            </w:tcMar>
            <w:shd w:fill="F8FAFC"/>
            <w:tcBorders>
              <w:top w:val="single" w:sz="4" w:space="0" w:color="E2E8F0"/>
              <w:left w:val="none"/>
              <w:bottom w:val="single" w:sz="4" w:space="0" w:color="E2E8F0"/>
              <w:right w:val="none"/>
            </w:tcBorders>
          </w:tcPr>
          <w:p>
            <w:pPr>
              <w:jc w:val="center"/>
            </w:pPr>
            <w:r>
              <w:rPr>
                <w:rFonts w:ascii="Calibri" w:hAnsi="Calibri"/>
                <w:color w:val="1F2937"/>
                <w:sz w:val="17"/>
              </w:rPr>
              <w:t>Entregado y Calificado</w:t>
            </w:r>
          </w:p>
        </w:tc>
      </w:tr>
      <w:tr>
        <w:tc>
          <w:tcPr>
            <w:tcW w:type="dxa" w:w="3168"/>
            <w:tcMar>
              <w:top w:w="60" w:type="dxa"/>
              <w:bottom w:w="60" w:type="dxa"/>
              <w:left w:w="80" w:type="dxa"/>
              <w:right w:w="8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10 de octubre</w:t>
            </w:r>
          </w:p>
        </w:tc>
        <w:tc>
          <w:tcPr>
            <w:tcW w:type="dxa" w:w="4608"/>
            <w:tcMar>
              <w:top w:w="60" w:type="dxa"/>
              <w:bottom w:w="60" w:type="dxa"/>
              <w:left w:w="80" w:type="dxa"/>
              <w:right w:w="8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Video oficial de presentación del equipo</w:t>
            </w:r>
          </w:p>
        </w:tc>
        <w:tc>
          <w:tcPr>
            <w:tcW w:type="dxa" w:w="3168"/>
            <w:tcMar>
              <w:top w:w="60" w:type="dxa"/>
              <w:bottom w:w="60" w:type="dxa"/>
              <w:left w:w="80" w:type="dxa"/>
              <w:right w:w="80" w:type="dxa"/>
            </w:tcMar>
            <w:shd w:fill="FFFFFF"/>
            <w:tcBorders>
              <w:top w:val="single" w:sz="4" w:space="0" w:color="E2E8F0"/>
              <w:left w:val="none"/>
              <w:bottom w:val="single" w:sz="4" w:space="0" w:color="E2E8F0"/>
              <w:right w:val="none"/>
            </w:tcBorders>
          </w:tcPr>
          <w:p>
            <w:pPr>
              <w:jc w:val="center"/>
            </w:pPr>
            <w:r>
              <w:rPr>
                <w:rFonts w:ascii="Calibri" w:hAnsi="Calibri"/>
                <w:color w:val="1F2937"/>
                <w:sz w:val="17"/>
              </w:rPr>
              <w:t>Entregado</w:t>
            </w:r>
          </w:p>
        </w:tc>
      </w:tr>
      <w:tr>
        <w:tc>
          <w:tcPr>
            <w:tcW w:type="dxa" w:w="3168"/>
            <w:tcMar>
              <w:top w:w="60" w:type="dxa"/>
              <w:bottom w:w="60" w:type="dxa"/>
              <w:left w:w="80" w:type="dxa"/>
              <w:right w:w="8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12 al 22 de octubre</w:t>
            </w:r>
          </w:p>
        </w:tc>
        <w:tc>
          <w:tcPr>
            <w:tcW w:type="dxa" w:w="4608"/>
            <w:tcMar>
              <w:top w:w="60" w:type="dxa"/>
              <w:bottom w:w="60" w:type="dxa"/>
              <w:left w:w="80" w:type="dxa"/>
              <w:right w:w="8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Revisión técnica virtual con jurados</w:t>
            </w:r>
          </w:p>
        </w:tc>
        <w:tc>
          <w:tcPr>
            <w:tcW w:type="dxa" w:w="3168"/>
            <w:tcMar>
              <w:top w:w="60" w:type="dxa"/>
              <w:bottom w:w="60" w:type="dxa"/>
              <w:left w:w="80" w:type="dxa"/>
              <w:right w:w="80" w:type="dxa"/>
            </w:tcMar>
            <w:shd w:fill="F8FAFC"/>
            <w:tcBorders>
              <w:top w:val="single" w:sz="4" w:space="0" w:color="E2E8F0"/>
              <w:left w:val="none"/>
              <w:bottom w:val="single" w:sz="4" w:space="0" w:color="E2E8F0"/>
              <w:right w:val="none"/>
            </w:tcBorders>
          </w:tcPr>
          <w:p>
            <w:pPr>
              <w:jc w:val="center"/>
            </w:pPr>
            <w:r>
              <w:rPr>
                <w:rFonts w:ascii="Calibri" w:hAnsi="Calibri"/>
                <w:color w:val="1F2937"/>
                <w:sz w:val="17"/>
              </w:rPr>
              <w:t>Aprobada (19 de octubre)</w:t>
            </w:r>
          </w:p>
        </w:tc>
      </w:tr>
      <w:tr>
        <w:tc>
          <w:tcPr>
            <w:tcW w:type="dxa" w:w="3168"/>
            <w:tcMar>
              <w:top w:w="60" w:type="dxa"/>
              <w:bottom w:w="60" w:type="dxa"/>
              <w:left w:w="80" w:type="dxa"/>
              <w:right w:w="80" w:type="dxa"/>
            </w:tcMar>
            <w:shd w:fill="DCFCE7"/>
            <w:tcBorders>
              <w:top w:val="single" w:sz="6" w:space="0" w:color="166534"/>
              <w:left w:val="none"/>
              <w:bottom w:val="single" w:sz="6" w:space="0" w:color="166534"/>
              <w:right w:val="none"/>
            </w:tcBorders>
          </w:tcPr>
          <w:p>
            <w:pPr>
              <w:jc w:val="left"/>
            </w:pPr>
            <w:r>
              <w:rPr>
                <w:rFonts w:ascii="Calibri" w:hAnsi="Calibri"/>
                <w:b/>
                <w:color w:val="166534"/>
                <w:sz w:val="17"/>
              </w:rPr>
              <w:t>25 de octubre</w:t>
            </w:r>
          </w:p>
        </w:tc>
        <w:tc>
          <w:tcPr>
            <w:tcW w:type="dxa" w:w="4608"/>
            <w:tcMar>
              <w:top w:w="60" w:type="dxa"/>
              <w:bottom w:w="60" w:type="dxa"/>
              <w:left w:w="80" w:type="dxa"/>
              <w:right w:w="80" w:type="dxa"/>
            </w:tcMar>
            <w:shd w:fill="DCFCE7"/>
            <w:tcBorders>
              <w:top w:val="single" w:sz="6" w:space="0" w:color="166534"/>
              <w:left w:val="none"/>
              <w:bottom w:val="single" w:sz="6" w:space="0" w:color="166534"/>
              <w:right w:val="none"/>
            </w:tcBorders>
          </w:tcPr>
          <w:p>
            <w:pPr>
              <w:jc w:val="left"/>
            </w:pPr>
            <w:r>
              <w:rPr>
                <w:rFonts w:ascii="Calibri" w:hAnsi="Calibri"/>
                <w:b/>
                <w:color w:val="166534"/>
                <w:sz w:val="17"/>
              </w:rPr>
              <w:t>Critical Design Review (CDR)</w:t>
            </w:r>
          </w:p>
        </w:tc>
        <w:tc>
          <w:tcPr>
            <w:tcW w:type="dxa" w:w="3168"/>
            <w:tcMar>
              <w:top w:w="60" w:type="dxa"/>
              <w:bottom w:w="60" w:type="dxa"/>
              <w:left w:w="80" w:type="dxa"/>
              <w:right w:w="80" w:type="dxa"/>
            </w:tcMar>
            <w:shd w:fill="DCFCE7"/>
            <w:tcBorders>
              <w:top w:val="single" w:sz="6" w:space="0" w:color="166534"/>
              <w:left w:val="none"/>
              <w:bottom w:val="single" w:sz="6" w:space="0" w:color="166534"/>
              <w:right w:val="none"/>
            </w:tcBorders>
          </w:tcPr>
          <w:p>
            <w:pPr>
              <w:jc w:val="center"/>
            </w:pPr>
            <w:r>
              <w:rPr>
                <w:rFonts w:ascii="Calibri" w:hAnsi="Calibri"/>
                <w:b/>
                <w:color w:val="166534"/>
                <w:sz w:val="17"/>
              </w:rPr>
              <w:t>Entregado formalmente (25 de octubre de 2026)</w:t>
            </w:r>
          </w:p>
        </w:tc>
      </w:tr>
      <w:tr>
        <w:tc>
          <w:tcPr>
            <w:tcW w:type="dxa" w:w="3168"/>
            <w:tcMar>
              <w:top w:w="60" w:type="dxa"/>
              <w:bottom w:w="60" w:type="dxa"/>
              <w:left w:w="80" w:type="dxa"/>
              <w:right w:w="8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28 de octubre</w:t>
            </w:r>
          </w:p>
        </w:tc>
        <w:tc>
          <w:tcPr>
            <w:tcW w:type="dxa" w:w="4608"/>
            <w:tcMar>
              <w:top w:w="60" w:type="dxa"/>
              <w:bottom w:w="60" w:type="dxa"/>
              <w:left w:w="80" w:type="dxa"/>
              <w:right w:w="8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Fotografías finales del cohete ensamblado</w:t>
            </w:r>
          </w:p>
        </w:tc>
        <w:tc>
          <w:tcPr>
            <w:tcW w:type="dxa" w:w="3168"/>
            <w:tcMar>
              <w:top w:w="60" w:type="dxa"/>
              <w:bottom w:w="60" w:type="dxa"/>
              <w:left w:w="80" w:type="dxa"/>
              <w:right w:w="80" w:type="dxa"/>
            </w:tcMar>
            <w:shd w:fill="F8FAFC"/>
            <w:tcBorders>
              <w:top w:val="single" w:sz="4" w:space="0" w:color="E2E8F0"/>
              <w:left w:val="none"/>
              <w:bottom w:val="single" w:sz="4" w:space="0" w:color="E2E8F0"/>
              <w:right w:val="none"/>
            </w:tcBorders>
          </w:tcPr>
          <w:p>
            <w:pPr>
              <w:jc w:val="center"/>
            </w:pPr>
            <w:r>
              <w:rPr>
                <w:rFonts w:ascii="Calibri" w:hAnsi="Calibri"/>
                <w:color w:val="1F2937"/>
                <w:sz w:val="17"/>
              </w:rPr>
              <w:t>Programado (en preparación)</w:t>
            </w:r>
          </w:p>
        </w:tc>
      </w:tr>
      <w:tr>
        <w:tc>
          <w:tcPr>
            <w:tcW w:type="dxa" w:w="3168"/>
            <w:tcMar>
              <w:top w:w="60" w:type="dxa"/>
              <w:bottom w:w="60" w:type="dxa"/>
              <w:left w:w="80" w:type="dxa"/>
              <w:right w:w="80" w:type="dxa"/>
            </w:tcMar>
            <w:shd w:fill="FFFFFF"/>
            <w:tcBorders>
              <w:top w:val="single" w:sz="4" w:space="0" w:color="E2E8F0"/>
              <w:left w:val="none"/>
              <w:bottom w:val="single" w:sz="4" w:space="0" w:color="E2E8F0"/>
              <w:right w:val="none"/>
            </w:tcBorders>
          </w:tcPr>
          <w:p>
            <w:pPr>
              <w:jc w:val="left"/>
            </w:pPr>
            <w:r>
              <w:rPr>
                <w:rFonts w:ascii="Calibri" w:hAnsi="Calibri"/>
                <w:b/>
                <w:color w:val="1F2937"/>
                <w:sz w:val="17"/>
              </w:rPr>
              <w:t>1 de noviembre</w:t>
            </w:r>
          </w:p>
        </w:tc>
        <w:tc>
          <w:tcPr>
            <w:tcW w:type="dxa" w:w="4608"/>
            <w:tcMar>
              <w:top w:w="60" w:type="dxa"/>
              <w:bottom w:w="60" w:type="dxa"/>
              <w:left w:w="80" w:type="dxa"/>
              <w:right w:w="80" w:type="dxa"/>
            </w:tcMar>
            <w:shd w:fill="FFFFFF"/>
            <w:tcBorders>
              <w:top w:val="single" w:sz="4" w:space="0" w:color="E2E8F0"/>
              <w:left w:val="none"/>
              <w:bottom w:val="single" w:sz="4" w:space="0" w:color="E2E8F0"/>
              <w:right w:val="none"/>
            </w:tcBorders>
          </w:tcPr>
          <w:p>
            <w:pPr>
              <w:jc w:val="left"/>
            </w:pPr>
            <w:r>
              <w:rPr>
                <w:rFonts w:ascii="Calibri" w:hAnsi="Calibri"/>
                <w:color w:val="1F2937"/>
                <w:sz w:val="17"/>
              </w:rPr>
              <w:t>Campaña de divulgación en redes sociales</w:t>
            </w:r>
          </w:p>
        </w:tc>
        <w:tc>
          <w:tcPr>
            <w:tcW w:type="dxa" w:w="3168"/>
            <w:tcMar>
              <w:top w:w="60" w:type="dxa"/>
              <w:bottom w:w="60" w:type="dxa"/>
              <w:left w:w="80" w:type="dxa"/>
              <w:right w:w="80" w:type="dxa"/>
            </w:tcMar>
            <w:shd w:fill="FFFFFF"/>
            <w:tcBorders>
              <w:top w:val="single" w:sz="4" w:space="0" w:color="E2E8F0"/>
              <w:left w:val="none"/>
              <w:bottom w:val="single" w:sz="4" w:space="0" w:color="E2E8F0"/>
              <w:right w:val="none"/>
            </w:tcBorders>
          </w:tcPr>
          <w:p>
            <w:pPr>
              <w:jc w:val="center"/>
            </w:pPr>
            <w:r>
              <w:rPr>
                <w:rFonts w:ascii="Calibri" w:hAnsi="Calibri"/>
                <w:color w:val="1F2937"/>
                <w:sz w:val="17"/>
              </w:rPr>
              <w:t>En curso</w:t>
            </w:r>
          </w:p>
        </w:tc>
      </w:tr>
      <w:tr>
        <w:tc>
          <w:tcPr>
            <w:tcW w:type="dxa" w:w="3168"/>
            <w:tcMar>
              <w:top w:w="60" w:type="dxa"/>
              <w:bottom w:w="60" w:type="dxa"/>
              <w:left w:w="80" w:type="dxa"/>
              <w:right w:w="80" w:type="dxa"/>
            </w:tcMar>
            <w:shd w:fill="F8FAFC"/>
            <w:tcBorders>
              <w:top w:val="single" w:sz="4" w:space="0" w:color="E2E8F0"/>
              <w:left w:val="none"/>
              <w:bottom w:val="single" w:sz="4" w:space="0" w:color="E2E8F0"/>
              <w:right w:val="none"/>
            </w:tcBorders>
          </w:tcPr>
          <w:p>
            <w:pPr>
              <w:jc w:val="left"/>
            </w:pPr>
            <w:r>
              <w:rPr>
                <w:rFonts w:ascii="Calibri" w:hAnsi="Calibri"/>
                <w:b/>
                <w:color w:val="1F2937"/>
                <w:sz w:val="17"/>
              </w:rPr>
              <w:t>6 al 8 de noviembre</w:t>
            </w:r>
          </w:p>
        </w:tc>
        <w:tc>
          <w:tcPr>
            <w:tcW w:type="dxa" w:w="4608"/>
            <w:tcMar>
              <w:top w:w="60" w:type="dxa"/>
              <w:bottom w:w="60" w:type="dxa"/>
              <w:left w:w="80" w:type="dxa"/>
              <w:right w:w="80" w:type="dxa"/>
            </w:tcMar>
            <w:shd w:fill="F8FAFC"/>
            <w:tcBorders>
              <w:top w:val="single" w:sz="4" w:space="0" w:color="E2E8F0"/>
              <w:left w:val="none"/>
              <w:bottom w:val="single" w:sz="4" w:space="0" w:color="E2E8F0"/>
              <w:right w:val="none"/>
            </w:tcBorders>
          </w:tcPr>
          <w:p>
            <w:pPr>
              <w:jc w:val="left"/>
            </w:pPr>
            <w:r>
              <w:rPr>
                <w:rFonts w:ascii="Calibri" w:hAnsi="Calibri"/>
                <w:color w:val="1F2937"/>
                <w:sz w:val="17"/>
              </w:rPr>
              <w:t>Concurso Colombiano de Cohetería Deportiva (Lanzamiento)</w:t>
            </w:r>
          </w:p>
        </w:tc>
        <w:tc>
          <w:tcPr>
            <w:tcW w:type="dxa" w:w="3168"/>
            <w:tcMar>
              <w:top w:w="60" w:type="dxa"/>
              <w:bottom w:w="60" w:type="dxa"/>
              <w:left w:w="80" w:type="dxa"/>
              <w:right w:w="80" w:type="dxa"/>
            </w:tcMar>
            <w:shd w:fill="F8FAFC"/>
            <w:tcBorders>
              <w:top w:val="single" w:sz="4" w:space="0" w:color="E2E8F0"/>
              <w:left w:val="none"/>
              <w:bottom w:val="single" w:sz="4" w:space="0" w:color="E2E8F0"/>
              <w:right w:val="none"/>
            </w:tcBorders>
          </w:tcPr>
          <w:p>
            <w:pPr>
              <w:jc w:val="center"/>
            </w:pPr>
            <w:r>
              <w:rPr>
                <w:rFonts w:ascii="Calibri" w:hAnsi="Calibri"/>
                <w:color w:val="1F2937"/>
                <w:sz w:val="17"/>
              </w:rPr>
              <w:t>Programado (Fase de Campo)</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