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195A5" w14:textId="77777777" w:rsidR="00950BCB" w:rsidRDefault="00950BCB">
      <w:pPr>
        <w:widowControl w:val="0"/>
        <w:spacing w:line="240" w:lineRule="auto"/>
        <w:rPr>
          <w:b/>
          <w:bCs/>
          <w:color w:val="041A71"/>
        </w:rPr>
      </w:pPr>
    </w:p>
    <w:p w14:paraId="7A80BC5A" w14:textId="77777777" w:rsidR="00327A7B" w:rsidRDefault="00327A7B">
      <w:pPr>
        <w:widowControl w:val="0"/>
        <w:spacing w:line="240" w:lineRule="auto"/>
        <w:rPr>
          <w:b/>
          <w:bCs/>
          <w:color w:val="041A71"/>
        </w:rPr>
      </w:pPr>
    </w:p>
    <w:p w14:paraId="616C01FC" w14:textId="77777777" w:rsidR="00327A7B" w:rsidRDefault="00327A7B">
      <w:pPr>
        <w:widowControl w:val="0"/>
        <w:spacing w:line="240" w:lineRule="auto"/>
        <w:rPr>
          <w:b/>
          <w:bCs/>
          <w:color w:val="041A71"/>
        </w:rPr>
      </w:pPr>
    </w:p>
    <w:p w14:paraId="7C9AF400" w14:textId="77777777" w:rsidR="00327A7B" w:rsidRDefault="00327A7B">
      <w:pPr>
        <w:widowControl w:val="0"/>
        <w:spacing w:line="240" w:lineRule="auto"/>
        <w:rPr>
          <w:b/>
          <w:bCs/>
          <w:color w:val="041A71"/>
        </w:rPr>
      </w:pPr>
    </w:p>
    <w:p w14:paraId="230BA28A" w14:textId="77777777" w:rsidR="00327A7B" w:rsidRDefault="00327A7B">
      <w:pPr>
        <w:widowControl w:val="0"/>
        <w:spacing w:line="240" w:lineRule="auto"/>
        <w:rPr>
          <w:b/>
          <w:bCs/>
          <w:color w:val="041A71"/>
        </w:rPr>
      </w:pPr>
    </w:p>
    <w:p w14:paraId="68B0846E" w14:textId="77777777" w:rsidR="00327A7B" w:rsidRDefault="00327A7B">
      <w:pPr>
        <w:widowControl w:val="0"/>
        <w:spacing w:line="240" w:lineRule="auto"/>
        <w:rPr>
          <w:b/>
          <w:bCs/>
          <w:color w:val="041A71"/>
        </w:rPr>
      </w:pPr>
    </w:p>
    <w:p w14:paraId="58F6B96D" w14:textId="10675EE7" w:rsidR="00950BCB" w:rsidRDefault="00000000">
      <w:pPr>
        <w:widowControl w:val="0"/>
        <w:spacing w:line="240" w:lineRule="auto"/>
      </w:pPr>
      <w:r>
        <w:rPr>
          <w:b/>
          <w:bCs/>
          <w:color w:val="041A71"/>
        </w:rPr>
        <w:t xml:space="preserve">Nombre del Equipo: </w:t>
      </w:r>
      <w:r>
        <w:t>PDA Rocketeers</w:t>
      </w:r>
    </w:p>
    <w:p w14:paraId="0C346650" w14:textId="77777777" w:rsidR="00950BCB" w:rsidRDefault="00950BCB">
      <w:pPr>
        <w:widowControl w:val="0"/>
        <w:spacing w:line="240" w:lineRule="auto"/>
        <w:rPr>
          <w:b/>
          <w:bCs/>
          <w:color w:val="041A71"/>
        </w:rPr>
      </w:pPr>
    </w:p>
    <w:p w14:paraId="5145CB20" w14:textId="77777777" w:rsidR="00950BCB" w:rsidRDefault="00000000">
      <w:pPr>
        <w:widowControl w:val="0"/>
        <w:spacing w:line="240" w:lineRule="auto"/>
      </w:pPr>
      <w:r>
        <w:rPr>
          <w:b/>
          <w:bCs/>
          <w:color w:val="041A71"/>
        </w:rPr>
        <w:t xml:space="preserve">Institución Educativa: </w:t>
      </w:r>
      <w:r>
        <w:t>I.E. José Antonio Galán (La Estrella, Antioquia)</w:t>
      </w:r>
      <w:r>
        <w:rPr>
          <w:b/>
          <w:bCs/>
          <w:color w:val="041A71"/>
        </w:rPr>
        <w:br/>
      </w:r>
    </w:p>
    <w:p w14:paraId="7D8E7013" w14:textId="77777777" w:rsidR="00950BCB" w:rsidRDefault="00000000">
      <w:pPr>
        <w:widowControl w:val="0"/>
        <w:spacing w:line="240" w:lineRule="auto"/>
      </w:pPr>
      <w:r>
        <w:rPr>
          <w:b/>
          <w:bCs/>
          <w:color w:val="041A71"/>
        </w:rPr>
        <w:t xml:space="preserve">ID del Equipo: </w:t>
      </w:r>
      <w:r>
        <w:t>310</w:t>
      </w:r>
    </w:p>
    <w:p w14:paraId="5C6E86DB" w14:textId="77777777" w:rsidR="00950BCB" w:rsidRDefault="00950BCB">
      <w:pPr>
        <w:widowControl w:val="0"/>
        <w:spacing w:line="240" w:lineRule="auto"/>
      </w:pPr>
    </w:p>
    <w:p w14:paraId="17386670" w14:textId="77777777" w:rsidR="00950BCB" w:rsidRDefault="00000000">
      <w:pPr>
        <w:spacing w:after="160" w:line="300" w:lineRule="auto"/>
        <w:jc w:val="center"/>
      </w:pPr>
      <w:r>
        <w:rPr>
          <w:b/>
          <w:bCs/>
          <w:i/>
          <w:iCs/>
          <w:color w:val="E85D2C"/>
          <w:sz w:val="52"/>
          <w:szCs w:val="52"/>
        </w:rPr>
        <w:t>Estética del Cohete</w:t>
      </w:r>
    </w:p>
    <w:p w14:paraId="050F2DE1" w14:textId="51BED526" w:rsidR="00950BCB" w:rsidRDefault="00000000" w:rsidP="00327A7B">
      <w:pPr>
        <w:widowControl w:val="0"/>
        <w:spacing w:before="240" w:after="240" w:line="240" w:lineRule="auto"/>
      </w:pPr>
      <w:r>
        <w:rPr>
          <w:b/>
          <w:bCs/>
          <w:color w:val="041A71"/>
        </w:rPr>
        <w:t>1. Concepto e inspiración:</w:t>
      </w:r>
      <w:r>
        <w:t xml:space="preserve"> ¿</w:t>
      </w:r>
      <w:r w:rsidR="00327A7B">
        <w:t>c</w:t>
      </w:r>
      <w:r>
        <w:t>uál fue la idea o inspiración principal para el diseño estético del cohete y qué representa?</w:t>
      </w:r>
    </w:p>
    <w:p w14:paraId="1D031A28" w14:textId="77777777" w:rsidR="00950BCB" w:rsidRDefault="00950BCB">
      <w:pPr>
        <w:widowControl w:val="0"/>
        <w:spacing w:line="240" w:lineRule="auto"/>
      </w:pPr>
      <w:r>
        <w:t>El vehículo suborbital 'SIDERAL' (propulsado por motor clase G80-7T) se inspira en la estética funcional de los vectores de exploración y cohetes sonda de investigación atmosférica de alta velocidad. Simboliza el hito histórico de una institución educativa pública de La Estrella (Antioquia) compitiendo con solvencia técnica en la categoría universitaria contra prestigiosas facultades de ingeniería aeroespacial del país. La línea estética proyecta elegancia aerodinámica, esbeltez, disciplina ingenieril y confiabilidad operativa para alcanzar un apogeo proyectado de ~400 metros a una velocidad máxima calculada de 92.5 m/s.</w:t>
      </w:r>
    </w:p>
    <w:p w14:paraId="11833E66" w14:textId="30E1CD5D" w:rsidR="00950BCB" w:rsidRDefault="00000000" w:rsidP="00327A7B">
      <w:pPr>
        <w:widowControl w:val="0"/>
        <w:spacing w:before="240" w:after="240" w:line="240" w:lineRule="auto"/>
      </w:pPr>
      <w:r>
        <w:rPr>
          <w:b/>
          <w:bCs/>
          <w:color w:val="041A71"/>
        </w:rPr>
        <w:t xml:space="preserve">2. Significado del diseño: </w:t>
      </w:r>
      <w:r>
        <w:t>¿</w:t>
      </w:r>
      <w:r w:rsidR="00327A7B">
        <w:t>q</w:t>
      </w:r>
      <w:r>
        <w:t>ué significado tienen los colores, las formas, los símbolos, los nombres y los logotipos utilizados en el cohete?</w:t>
      </w:r>
    </w:p>
    <w:p w14:paraId="031246BF" w14:textId="77777777" w:rsidR="00950BCB" w:rsidRDefault="00950BCB">
      <w:pPr>
        <w:widowControl w:val="0"/>
        <w:spacing w:line="240" w:lineRule="auto"/>
      </w:pPr>
      <w:r>
        <w:t>El esquema cromático y los elementos gráficos cumplen un propósito tanto técnico como identitario:</w:t>
        <w:br/>
        <w:t>• Blanco Aeroespacial Puro (Fuselaje y bahía de carga útil): Representa el rigor y la neutralidad científica. Técnicamente, proporciona alta reflectancia térmica solar en rampa para proteger la instrumentación CanSat (sensores EKF, ESP32-S3 y telemetría LoRa 915 MHz) del sobrecalentamiento.</w:t>
        <w:br/>
        <w:t>• Azul Medianoche / Galán (Aletas y sección de transición): Representa el cielo estratosférico profundo y los colores institucionales distintivos de la I.E. José Antonio Galán.</w:t>
        <w:br/>
        <w:t>• Acentos Naranja Internacional y Plata: Aplicados en el perímetro de eyección y puntas de aletas para maximizar la detectabilidad visual durante el descenso en paracaídas dentro de la zona de recuperación de 400 m.</w:t>
        <w:br/>
        <w:t>• Simbología y Rótulos Técnicos: Incorpora el parche oficial de misión SIDERAL, el emblema PDA Rocketeers, la bandera de Colombia, la rotulación visible del ID de Misión '310' en disposición vertical reglamentaria, y las marcas de Centro de Gravedad (CG) y Centro de Presión (CP) certificando el margen estático obligatorio (≥ 2.0 calibres).</w:t>
      </w:r>
    </w:p>
    <w:p w14:paraId="20AE23B3" w14:textId="71A45BFB" w:rsidR="00950BCB" w:rsidRDefault="00000000" w:rsidP="00327A7B">
      <w:pPr>
        <w:widowControl w:val="0"/>
        <w:spacing w:before="240" w:after="240" w:line="240" w:lineRule="auto"/>
      </w:pPr>
      <w:r>
        <w:rPr>
          <w:b/>
          <w:bCs/>
          <w:color w:val="041A71"/>
        </w:rPr>
        <w:t xml:space="preserve">3. Materiales y pintura: </w:t>
      </w:r>
      <w:r>
        <w:t>¿</w:t>
      </w:r>
      <w:r w:rsidR="00327A7B">
        <w:t>q</w:t>
      </w:r>
      <w:r>
        <w:t>ué tipo de pintura, materiales y herramientas utilizaron para realizar el acabado exterior del cohete?</w:t>
      </w:r>
    </w:p>
    <w:p w14:paraId="539C4CCA" w14:textId="77777777" w:rsidR="00950BCB" w:rsidRDefault="00950BCB">
      <w:pPr>
        <w:widowControl w:val="0"/>
        <w:spacing w:line="240" w:lineRule="auto"/>
      </w:pPr>
      <w:r>
        <w:t>Se utilizaron materiales de grado aeroespacial y automotriz compatibles con los sustratos estructurales:</w:t>
        <w:br/>
        <w:t>• Sustratos base: Tubo de fuselaje de fibra de vidrio/epoxi de pared delgada, ojiva ogival manufacturada en filamento ASA (imperativo por su permeabilidad al 100% a radiofrecuencia para telemetría sin efecto jaula de Faraday) y aletas en sándwich de balsa aligerada con velo de fibra de vidrio y resina epoxi.</w:t>
        <w:br/>
        <w:t>• Acabado: Masilla plástica poliéster ultraliviana para sellado micrométrico de poros, imprimación fondo/primer epóxico bicapa gris claro lijable, esmalte acrílico poliuretano bicapa automotriz (alta resistencia a esfuerzos cortantes de fricción del aire) y laca protectora transparente de poliuretano 2K con filtro UV.</w:t>
        <w:br/>
        <w:t>• Herramientas: Papeles abrasivos de lijado en húmedo (granos 240, 400, 600 y 1000), aerógrafo de precisión de doble acción, pistola HVLP de retoque a baja presión y balanza analítica digital con resolución de 0.01 g para control estricto de masa (incremento acotado a Delta m &lt;= 2.8 g).</w:t>
      </w:r>
    </w:p>
    <w:p w14:paraId="106D0B4B" w14:textId="760443EA" w:rsidR="00950BCB" w:rsidRDefault="00000000" w:rsidP="00327A7B">
      <w:pPr>
        <w:widowControl w:val="0"/>
        <w:spacing w:before="240" w:after="240" w:line="240" w:lineRule="auto"/>
      </w:pPr>
      <w:r>
        <w:rPr>
          <w:b/>
          <w:bCs/>
          <w:color w:val="041A71"/>
        </w:rPr>
        <w:t xml:space="preserve">4. Técnicas artísticas: </w:t>
      </w:r>
      <w:r>
        <w:t>¿</w:t>
      </w:r>
      <w:r w:rsidR="00327A7B">
        <w:t>q</w:t>
      </w:r>
      <w:r>
        <w:t>ué técnicas utilizaron para aplicar la pintura, crear patrones o efectos visuales y elaborar los elementos gráficos y la rotulación?</w:t>
      </w:r>
    </w:p>
    <w:p w14:paraId="4256F258" w14:textId="77777777" w:rsidR="00950BCB" w:rsidRDefault="00950BCB">
      <w:pPr>
        <w:widowControl w:val="0"/>
        <w:spacing w:line="240" w:lineRule="auto"/>
      </w:pPr>
      <w:r>
        <w:t>Se aplicaron técnicas de acabado aeronáutico y detalle de taller:</w:t>
        <w:br/>
        <w:t>• Nivelación micrométrica de superficie mediante lijado progresivo al agua para suprimir por completo cualquier vestigio de capa FDM en la ojiva o textura de tejido en el fuselaje, optimizando el coeficiente de fricción de capa límite.</w:t>
        <w:br/>
        <w:t>• Enmascaramiento de alta definición con cinta automotriz de perfilado fino (fine-line tape), garantizando líneas de corte limpias y afiladas entre los paneles blancos y las franjas azul medianoche, sin sangrado de pigmento ni bordes escalonados.</w:t>
        <w:br/>
        <w:t>• Rotulación técnica y gráficos vectoriales troquelados en vinilo polimérico ultrafino de 50 micras, sellados bajo la capa final de barniz de poliuretano para evitar desprendimientos causados por la corriente de flujo transónico.</w:t>
      </w:r>
    </w:p>
    <w:p w14:paraId="1C9BF95B" w14:textId="66C47543" w:rsidR="00950BCB" w:rsidRDefault="00000000">
      <w:pPr>
        <w:widowControl w:val="0"/>
        <w:spacing w:before="240" w:after="240" w:line="240" w:lineRule="auto"/>
      </w:pPr>
      <w:r>
        <w:rPr>
          <w:b/>
          <w:bCs/>
          <w:color w:val="041A71"/>
        </w:rPr>
        <w:t xml:space="preserve">5. Identidad del equipo: </w:t>
      </w:r>
      <w:r>
        <w:t>¿</w:t>
      </w:r>
      <w:r w:rsidR="00327A7B">
        <w:t>c</w:t>
      </w:r>
      <w:r>
        <w:t>ómo se refleja la identidad del equipo, su nombre o su propósito en el diseño visual del cohete?</w:t>
      </w:r>
    </w:p>
    <w:p w14:paraId="26B9D44E" w14:textId="77777777" w:rsidR="00950BCB" w:rsidRDefault="00950BCB">
      <w:pPr>
        <w:widowControl w:val="0"/>
        <w:spacing w:before="240" w:after="240" w:line="240" w:lineRule="auto"/>
        <w:rPr>
          <w:b/>
          <w:bCs/>
          <w:color w:val="041A71"/>
        </w:rPr>
      </w:pPr>
      <w:r>
        <w:t>El diseño de SIDERAL sintetiza la identidad y el lema del semillero PDA (Pequeños Científicos Galanistas - Proyecto de Desarrollo Aeroespacial) de la I.E. José Antonio Galán: 'La educación pública alcanza las estrellas mediante la ciencia rigurosa y el trabajo en equipo'. Refleja la audacia, disciplina y capacidad de jóvenes antioqueños que han superado todas las revisiones técnicas (PDR, CDR) ocupando puestos de liderazgo nacional, demostrando que la pasión por la cohetería espacial transforma vidas y entornos comunitarios.</w:t>
      </w:r>
    </w:p>
    <w:p w14:paraId="4212694F" w14:textId="77777777" w:rsidR="00950BCB" w:rsidRDefault="00950BCB">
      <w:pPr>
        <w:widowControl w:val="0"/>
        <w:spacing w:line="240" w:lineRule="auto"/>
        <w:rPr>
          <w:b/>
          <w:bCs/>
          <w:color w:val="041A71"/>
          <w:sz w:val="18"/>
          <w:szCs w:val="18"/>
        </w:rPr>
      </w:pPr>
    </w:p>
    <w:p w14:paraId="575EE5A6" w14:textId="77777777" w:rsidR="00950BCB" w:rsidRDefault="00950BCB">
      <w:pPr>
        <w:widowControl w:val="0"/>
        <w:spacing w:line="240" w:lineRule="auto"/>
        <w:rPr>
          <w:b/>
          <w:bCs/>
          <w:color w:val="041A71"/>
          <w:sz w:val="18"/>
          <w:szCs w:val="18"/>
        </w:rPr>
      </w:pPr>
    </w:p>
    <w:sectPr w:rsidR="00950BCB">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9310F" w14:textId="77777777" w:rsidR="00BD1992" w:rsidRDefault="00BD1992">
      <w:pPr>
        <w:spacing w:line="240" w:lineRule="auto"/>
      </w:pPr>
      <w:r>
        <w:separator/>
      </w:r>
    </w:p>
  </w:endnote>
  <w:endnote w:type="continuationSeparator" w:id="0">
    <w:p w14:paraId="1CA109E3" w14:textId="77777777" w:rsidR="00BD1992" w:rsidRDefault="00BD1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CC4B48-E036-43AA-A9CA-DE5A442EEEDA}"/>
  </w:font>
  <w:font w:name="Cambria">
    <w:panose1 w:val="02040503050406030204"/>
    <w:charset w:val="00"/>
    <w:family w:val="roman"/>
    <w:pitch w:val="variable"/>
    <w:sig w:usb0="E00006FF" w:usb1="420024FF" w:usb2="02000000" w:usb3="00000000" w:csb0="0000019F" w:csb1="00000000"/>
    <w:embedRegular r:id="rId2" w:fontKey="{2FE3F787-B78F-4235-BB4F-876C776CCF6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84564" w14:textId="77777777" w:rsidR="00BD1992" w:rsidRDefault="00BD1992">
      <w:pPr>
        <w:spacing w:line="240" w:lineRule="auto"/>
      </w:pPr>
      <w:r>
        <w:separator/>
      </w:r>
    </w:p>
  </w:footnote>
  <w:footnote w:type="continuationSeparator" w:id="0">
    <w:p w14:paraId="49E6C69B" w14:textId="77777777" w:rsidR="00BD1992" w:rsidRDefault="00BD1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9EC3" w14:textId="77777777" w:rsidR="00950BCB" w:rsidRDefault="00000000">
    <w:r>
      <w:rPr>
        <w:noProof/>
      </w:rPr>
      <w:drawing>
        <wp:anchor distT="114300" distB="114300" distL="114300" distR="114300" simplePos="0" relativeHeight="251658240" behindDoc="0" locked="0" layoutInCell="1" hidden="0" allowOverlap="1" wp14:anchorId="42F2B0FA" wp14:editId="737C32A5">
          <wp:simplePos x="0" y="0"/>
          <wp:positionH relativeFrom="column">
            <wp:posOffset>2124075</wp:posOffset>
          </wp:positionH>
          <wp:positionV relativeFrom="paragraph">
            <wp:posOffset>-342899</wp:posOffset>
          </wp:positionV>
          <wp:extent cx="1642533" cy="9239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42533" cy="923925"/>
                  </a:xfrm>
                  <a:prstGeom prst="rect">
                    <a:avLst/>
                  </a:prstGeom>
                  <a:ln/>
                </pic:spPr>
              </pic:pic>
            </a:graphicData>
          </a:graphic>
        </wp:anchor>
      </w:drawing>
    </w:r>
    <w:r>
      <w:rPr>
        <w:noProof/>
      </w:rPr>
      <w:drawing>
        <wp:anchor distT="0" distB="0" distL="0" distR="0" simplePos="0" relativeHeight="251659264" behindDoc="1" locked="0" layoutInCell="1" hidden="0" allowOverlap="1" wp14:anchorId="7EAFDD3F" wp14:editId="3BC7BD16">
          <wp:simplePos x="0" y="0"/>
          <wp:positionH relativeFrom="column">
            <wp:posOffset>-238124</wp:posOffset>
          </wp:positionH>
          <wp:positionV relativeFrom="paragraph">
            <wp:posOffset>-304799</wp:posOffset>
          </wp:positionV>
          <wp:extent cx="1407224" cy="84772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l="4957" t="26289" r="75104" b="22165"/>
                  <a:stretch>
                    <a:fillRect/>
                  </a:stretch>
                </pic:blipFill>
                <pic:spPr>
                  <a:xfrm>
                    <a:off x="0" y="0"/>
                    <a:ext cx="1407224" cy="8477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78ADD0ED" wp14:editId="3F350F6E">
          <wp:simplePos x="0" y="0"/>
          <wp:positionH relativeFrom="column">
            <wp:posOffset>4981575</wp:posOffset>
          </wp:positionH>
          <wp:positionV relativeFrom="paragraph">
            <wp:posOffset>-304799</wp:posOffset>
          </wp:positionV>
          <wp:extent cx="848678" cy="848678"/>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848678" cy="84867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BCB"/>
    <w:rsid w:val="00327A7B"/>
    <w:rsid w:val="00950BCB"/>
    <w:rsid w:val="00A32337"/>
    <w:rsid w:val="00BD1992"/>
    <w:rsid w:val="00C333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8DB9"/>
  <w15:docId w15:val="{1EBE359A-E4A9-46FE-A727-3C49226D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122</Words>
  <Characters>672</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2026-10-26T23:40:00Z</dcterms:created>
  <dcterms:modified xsi:type="dcterms:W3CDTF">2026-10-26T23:57:00Z</dcterms:modified>
</cp:coreProperties>
</file>