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0F" w:rsidRPr="00C000B2" w:rsidRDefault="00FD680F" w:rsidP="00FD680F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C000B2">
        <w:rPr>
          <w:sz w:val="28"/>
          <w:szCs w:val="28"/>
        </w:rPr>
        <w:t xml:space="preserve">Приложение № </w:t>
      </w:r>
      <w:r w:rsidR="002148CE" w:rsidRPr="00C000B2">
        <w:rPr>
          <w:sz w:val="28"/>
          <w:szCs w:val="28"/>
        </w:rPr>
        <w:t>1</w:t>
      </w:r>
      <w:r w:rsidRPr="00C000B2">
        <w:rPr>
          <w:sz w:val="28"/>
          <w:szCs w:val="28"/>
        </w:rPr>
        <w:t>.</w:t>
      </w:r>
      <w:r w:rsidR="00700DB9" w:rsidRPr="00C000B2">
        <w:rPr>
          <w:sz w:val="28"/>
          <w:szCs w:val="28"/>
        </w:rPr>
        <w:t>1</w:t>
      </w:r>
      <w:r w:rsidR="002148CE" w:rsidRPr="00C000B2">
        <w:rPr>
          <w:sz w:val="28"/>
          <w:szCs w:val="28"/>
        </w:rPr>
        <w:t>.2</w:t>
      </w:r>
    </w:p>
    <w:p w:rsidR="00FD680F" w:rsidRPr="00C000B2" w:rsidRDefault="00FD680F" w:rsidP="00FD680F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C000B2">
        <w:rPr>
          <w:sz w:val="28"/>
          <w:szCs w:val="28"/>
        </w:rPr>
        <w:t>к приказу Минэнерго России</w:t>
      </w:r>
    </w:p>
    <w:p w:rsidR="00FD680F" w:rsidRPr="00C000B2" w:rsidRDefault="00FD680F" w:rsidP="00FD680F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C000B2">
        <w:rPr>
          <w:sz w:val="28"/>
          <w:szCs w:val="28"/>
        </w:rPr>
        <w:t>от «__» ______ 2015 г. №___</w:t>
      </w:r>
    </w:p>
    <w:p w:rsidR="00FD680F" w:rsidRPr="00C000B2" w:rsidRDefault="00FD680F" w:rsidP="00FD680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FD680F" w:rsidRPr="00C000B2" w:rsidRDefault="00FD680F" w:rsidP="00FD680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FD680F" w:rsidRPr="00C000B2" w:rsidRDefault="00FD680F" w:rsidP="002101A7">
      <w:pPr>
        <w:widowControl w:val="0"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eastAsia="ru-RU"/>
        </w:rPr>
      </w:pPr>
      <w:r w:rsidRPr="00C000B2">
        <w:rPr>
          <w:b/>
          <w:sz w:val="28"/>
          <w:szCs w:val="28"/>
        </w:rPr>
        <w:t>ТРЕБОВАНИЯ</w:t>
      </w:r>
      <w:r w:rsidRPr="00C000B2">
        <w:rPr>
          <w:sz w:val="28"/>
          <w:szCs w:val="28"/>
        </w:rPr>
        <w:t xml:space="preserve"> </w:t>
      </w:r>
      <w:r w:rsidRPr="00C000B2">
        <w:rPr>
          <w:sz w:val="28"/>
          <w:szCs w:val="28"/>
        </w:rPr>
        <w:br/>
      </w:r>
      <w:r w:rsidRPr="00C000B2">
        <w:rPr>
          <w:b/>
          <w:sz w:val="28"/>
          <w:szCs w:val="28"/>
        </w:rPr>
        <w:t>к заполнению формы «</w:t>
      </w:r>
      <w:r w:rsidR="002148CE" w:rsidRPr="00C000B2">
        <w:rPr>
          <w:b/>
          <w:bCs/>
          <w:sz w:val="28"/>
          <w:szCs w:val="28"/>
          <w:lang w:eastAsia="ru-RU"/>
        </w:rPr>
        <w:t>Общие сведения об организации нефтяной промышленности</w:t>
      </w:r>
      <w:r w:rsidRPr="00C000B2">
        <w:rPr>
          <w:b/>
          <w:sz w:val="28"/>
          <w:szCs w:val="28"/>
        </w:rPr>
        <w:t>»</w:t>
      </w:r>
    </w:p>
    <w:p w:rsidR="00FD680F" w:rsidRPr="00C000B2" w:rsidRDefault="00FD680F" w:rsidP="00FD680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BB5A2A" w:rsidRPr="00C000B2" w:rsidRDefault="00BB5A2A" w:rsidP="00BB5A2A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Форму «Общие сведения об организации нефтяной промышленности» представляют организации, осуществляющие деятельность по добыче, переработке и транспортировке углеводородного сырья, производству нефтехимической продукции на территории Российской Федерации.</w:t>
      </w:r>
    </w:p>
    <w:p w:rsidR="00BB5A2A" w:rsidRPr="00C000B2" w:rsidRDefault="00BB5A2A" w:rsidP="00BB5A2A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Общие сведения об организации нефтяной промышленности  представляются при изменении, но не реже одного раза в год.</w:t>
      </w:r>
    </w:p>
    <w:p w:rsidR="00BC3C03" w:rsidRPr="00C000B2" w:rsidRDefault="00BC3C03" w:rsidP="00BC3C03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Раз</w:t>
      </w:r>
      <w:r w:rsidRPr="00C000B2">
        <w:rPr>
          <w:sz w:val="28"/>
          <w:szCs w:val="28"/>
          <w:lang w:eastAsia="ru-RU"/>
        </w:rPr>
        <w:t>дел 1</w:t>
      </w:r>
      <w:r w:rsidRPr="00C000B2">
        <w:rPr>
          <w:sz w:val="28"/>
          <w:szCs w:val="28"/>
          <w:lang w:eastAsia="ru-RU"/>
        </w:rPr>
        <w:t xml:space="preserve"> заполняется </w:t>
      </w:r>
      <w:r w:rsidRPr="00C000B2">
        <w:rPr>
          <w:sz w:val="28"/>
          <w:szCs w:val="28"/>
          <w:lang w:eastAsia="ru-RU"/>
        </w:rPr>
        <w:t>анкетными данными</w:t>
      </w:r>
      <w:r w:rsidRPr="00C000B2">
        <w:rPr>
          <w:sz w:val="28"/>
          <w:szCs w:val="28"/>
          <w:lang w:eastAsia="ru-RU"/>
        </w:rPr>
        <w:t xml:space="preserve"> отчитывающегося Субъекта ТЭК, в </w:t>
      </w:r>
      <w:proofErr w:type="spellStart"/>
      <w:r w:rsidRPr="00C000B2">
        <w:rPr>
          <w:sz w:val="28"/>
          <w:szCs w:val="28"/>
          <w:lang w:eastAsia="ru-RU"/>
        </w:rPr>
        <w:t>т.ч</w:t>
      </w:r>
      <w:proofErr w:type="spellEnd"/>
      <w:r w:rsidRPr="00C000B2">
        <w:rPr>
          <w:sz w:val="28"/>
          <w:szCs w:val="28"/>
          <w:lang w:eastAsia="ru-RU"/>
        </w:rPr>
        <w:t>. информацией о</w:t>
      </w:r>
      <w:r w:rsidRPr="00C000B2">
        <w:rPr>
          <w:sz w:val="28"/>
          <w:szCs w:val="28"/>
          <w:lang w:eastAsia="ru-RU"/>
        </w:rPr>
        <w:t>б официальном наименовании предприятия, контактах, регистрационными сведениями, уставном капитале, банковскими реквизитами и проч.</w:t>
      </w:r>
      <w:r w:rsidRPr="00C000B2">
        <w:rPr>
          <w:sz w:val="28"/>
          <w:szCs w:val="28"/>
          <w:lang w:eastAsia="ru-RU"/>
        </w:rPr>
        <w:t xml:space="preserve"> </w:t>
      </w:r>
      <w:r w:rsidRPr="00C000B2">
        <w:rPr>
          <w:sz w:val="28"/>
          <w:szCs w:val="28"/>
          <w:lang w:eastAsia="ru-RU"/>
        </w:rPr>
        <w:t xml:space="preserve">Все строки раздела заполняются </w:t>
      </w:r>
      <w:r w:rsidRPr="00C000B2">
        <w:rPr>
          <w:sz w:val="28"/>
          <w:szCs w:val="28"/>
          <w:lang w:eastAsia="ru-RU"/>
        </w:rPr>
        <w:t>в соответствии с официальными документами, зарегистрированными в установленном порядке.</w:t>
      </w:r>
    </w:p>
    <w:p w:rsidR="002D57AC" w:rsidRPr="00C000B2" w:rsidRDefault="002D57AC" w:rsidP="002D57A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Раз</w:t>
      </w:r>
      <w:r w:rsidRPr="00C000B2">
        <w:rPr>
          <w:sz w:val="28"/>
          <w:szCs w:val="28"/>
          <w:lang w:eastAsia="ru-RU"/>
        </w:rPr>
        <w:t xml:space="preserve">дел 2 заполняется сведениями об учредителях </w:t>
      </w:r>
      <w:r w:rsidRPr="00C000B2">
        <w:rPr>
          <w:sz w:val="28"/>
          <w:szCs w:val="28"/>
          <w:lang w:eastAsia="ru-RU"/>
        </w:rPr>
        <w:t xml:space="preserve">отчитывающегося Субъекта ТЭК, в </w:t>
      </w:r>
      <w:proofErr w:type="spellStart"/>
      <w:r w:rsidRPr="00C000B2">
        <w:rPr>
          <w:sz w:val="28"/>
          <w:szCs w:val="28"/>
          <w:lang w:eastAsia="ru-RU"/>
        </w:rPr>
        <w:t>т.ч</w:t>
      </w:r>
      <w:proofErr w:type="spellEnd"/>
      <w:r w:rsidRPr="00C000B2">
        <w:rPr>
          <w:sz w:val="28"/>
          <w:szCs w:val="28"/>
          <w:lang w:eastAsia="ru-RU"/>
        </w:rPr>
        <w:t xml:space="preserve">. информацией об организационно-правовой форме, местоположении, доле участия в </w:t>
      </w:r>
      <w:r w:rsidRPr="00C000B2">
        <w:rPr>
          <w:sz w:val="28"/>
          <w:szCs w:val="28"/>
          <w:lang w:eastAsia="ru-RU"/>
        </w:rPr>
        <w:t xml:space="preserve">уставном </w:t>
      </w:r>
      <w:r w:rsidRPr="00C000B2">
        <w:rPr>
          <w:sz w:val="28"/>
          <w:szCs w:val="28"/>
          <w:lang w:eastAsia="ru-RU"/>
        </w:rPr>
        <w:t xml:space="preserve">капитале Субъекта ТЭК. </w:t>
      </w:r>
    </w:p>
    <w:p w:rsidR="002D57AC" w:rsidRPr="00C000B2" w:rsidRDefault="002D57AC" w:rsidP="002D57A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Раз</w:t>
      </w:r>
      <w:r w:rsidRPr="00C000B2">
        <w:rPr>
          <w:sz w:val="28"/>
          <w:szCs w:val="28"/>
          <w:lang w:eastAsia="ru-RU"/>
        </w:rPr>
        <w:t>дел 3</w:t>
      </w:r>
      <w:r w:rsidRPr="00C000B2">
        <w:rPr>
          <w:sz w:val="28"/>
          <w:szCs w:val="28"/>
          <w:lang w:eastAsia="ru-RU"/>
        </w:rPr>
        <w:t xml:space="preserve"> заполняется сведениями о </w:t>
      </w:r>
      <w:r w:rsidRPr="00C000B2">
        <w:rPr>
          <w:sz w:val="28"/>
          <w:szCs w:val="28"/>
          <w:lang w:eastAsia="ru-RU"/>
        </w:rPr>
        <w:t>текущих акционерах</w:t>
      </w:r>
      <w:r w:rsidRPr="00C000B2">
        <w:rPr>
          <w:sz w:val="28"/>
          <w:szCs w:val="28"/>
          <w:lang w:eastAsia="ru-RU"/>
        </w:rPr>
        <w:t xml:space="preserve"> отчитывающегося Субъекта ТЭК, в </w:t>
      </w:r>
      <w:proofErr w:type="spellStart"/>
      <w:r w:rsidRPr="00C000B2">
        <w:rPr>
          <w:sz w:val="28"/>
          <w:szCs w:val="28"/>
          <w:lang w:eastAsia="ru-RU"/>
        </w:rPr>
        <w:t>т.ч</w:t>
      </w:r>
      <w:proofErr w:type="spellEnd"/>
      <w:r w:rsidRPr="00C000B2">
        <w:rPr>
          <w:sz w:val="28"/>
          <w:szCs w:val="28"/>
          <w:lang w:eastAsia="ru-RU"/>
        </w:rPr>
        <w:t>. информацией о</w:t>
      </w:r>
      <w:r w:rsidRPr="00C000B2">
        <w:rPr>
          <w:sz w:val="28"/>
          <w:szCs w:val="28"/>
          <w:lang w:eastAsia="ru-RU"/>
        </w:rPr>
        <w:t>б организационно-правовой форме, местоположении, доле участия в капитале Субъекта ТЭК.</w:t>
      </w:r>
      <w:r w:rsidRPr="00C000B2">
        <w:rPr>
          <w:sz w:val="28"/>
          <w:szCs w:val="28"/>
          <w:lang w:eastAsia="ru-RU"/>
        </w:rPr>
        <w:t xml:space="preserve"> </w:t>
      </w:r>
    </w:p>
    <w:p w:rsidR="00060FD1" w:rsidRPr="00C000B2" w:rsidRDefault="00060FD1" w:rsidP="00060FD1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Раздел 4</w:t>
      </w:r>
      <w:r w:rsidRPr="00C000B2">
        <w:rPr>
          <w:sz w:val="28"/>
          <w:szCs w:val="28"/>
          <w:lang w:eastAsia="ru-RU"/>
        </w:rPr>
        <w:t xml:space="preserve"> заполняется сведениями о </w:t>
      </w:r>
      <w:r w:rsidRPr="00C000B2">
        <w:rPr>
          <w:sz w:val="28"/>
          <w:szCs w:val="28"/>
          <w:lang w:eastAsia="ru-RU"/>
        </w:rPr>
        <w:t xml:space="preserve">руководстве </w:t>
      </w:r>
      <w:r w:rsidR="002D57AC" w:rsidRPr="00C000B2">
        <w:rPr>
          <w:sz w:val="28"/>
          <w:szCs w:val="28"/>
          <w:lang w:eastAsia="ru-RU"/>
        </w:rPr>
        <w:t xml:space="preserve">(Генеральный директор, члены Совета директоров, Главный бухгалтер) </w:t>
      </w:r>
      <w:r w:rsidRPr="00C000B2">
        <w:rPr>
          <w:sz w:val="28"/>
          <w:szCs w:val="28"/>
          <w:lang w:eastAsia="ru-RU"/>
        </w:rPr>
        <w:t xml:space="preserve">отчитывающегося Субъекта ТЭК, в </w:t>
      </w:r>
      <w:proofErr w:type="spellStart"/>
      <w:r w:rsidRPr="00C000B2">
        <w:rPr>
          <w:sz w:val="28"/>
          <w:szCs w:val="28"/>
          <w:lang w:eastAsia="ru-RU"/>
        </w:rPr>
        <w:t>т.ч</w:t>
      </w:r>
      <w:proofErr w:type="spellEnd"/>
      <w:r w:rsidRPr="00C000B2">
        <w:rPr>
          <w:sz w:val="28"/>
          <w:szCs w:val="28"/>
          <w:lang w:eastAsia="ru-RU"/>
        </w:rPr>
        <w:t xml:space="preserve">. </w:t>
      </w:r>
      <w:r w:rsidR="002D57AC" w:rsidRPr="00C000B2">
        <w:rPr>
          <w:sz w:val="28"/>
          <w:szCs w:val="28"/>
          <w:lang w:eastAsia="ru-RU"/>
        </w:rPr>
        <w:t>информацией о годе рождения, образовании, предыдущем опыте работы.</w:t>
      </w:r>
    </w:p>
    <w:p w:rsidR="007A4E7D" w:rsidRPr="00C000B2" w:rsidRDefault="007A4E7D" w:rsidP="007A4E7D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Раздел 5 заполняется сведениями о дочерних и зависимых обществах отчитывающегося Субъекта ТЭК, в </w:t>
      </w:r>
      <w:proofErr w:type="spellStart"/>
      <w:r w:rsidRPr="00C000B2">
        <w:rPr>
          <w:sz w:val="28"/>
          <w:szCs w:val="28"/>
          <w:lang w:eastAsia="ru-RU"/>
        </w:rPr>
        <w:t>т.ч</w:t>
      </w:r>
      <w:proofErr w:type="spellEnd"/>
      <w:r w:rsidRPr="00C000B2">
        <w:rPr>
          <w:sz w:val="28"/>
          <w:szCs w:val="28"/>
          <w:lang w:eastAsia="ru-RU"/>
        </w:rPr>
        <w:t>. об их местоположении и статусе.</w:t>
      </w:r>
    </w:p>
    <w:p w:rsidR="009E52CC" w:rsidRPr="00C000B2" w:rsidRDefault="009E52CC" w:rsidP="009E52C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Раздел 6 заполняется сведениями о </w:t>
      </w:r>
      <w:r w:rsidRPr="00C000B2">
        <w:rPr>
          <w:sz w:val="28"/>
          <w:szCs w:val="28"/>
          <w:lang w:eastAsia="ru-RU"/>
        </w:rPr>
        <w:t xml:space="preserve">лицензиях </w:t>
      </w:r>
      <w:r w:rsidRPr="00C000B2">
        <w:rPr>
          <w:sz w:val="28"/>
          <w:szCs w:val="28"/>
          <w:lang w:eastAsia="ru-RU"/>
        </w:rPr>
        <w:t xml:space="preserve">отчитывающегося Субъекта ТЭК </w:t>
      </w:r>
      <w:r w:rsidRPr="00C000B2">
        <w:rPr>
          <w:sz w:val="28"/>
          <w:szCs w:val="28"/>
          <w:lang w:eastAsia="ru-RU"/>
        </w:rPr>
        <w:t>на осуществление профессиональной деятельности (при наличии)</w:t>
      </w:r>
      <w:r w:rsidRPr="00C000B2">
        <w:rPr>
          <w:sz w:val="28"/>
          <w:szCs w:val="28"/>
          <w:lang w:eastAsia="ru-RU"/>
        </w:rPr>
        <w:t xml:space="preserve">, в </w:t>
      </w:r>
      <w:proofErr w:type="spellStart"/>
      <w:r w:rsidRPr="00C000B2">
        <w:rPr>
          <w:sz w:val="28"/>
          <w:szCs w:val="28"/>
          <w:lang w:eastAsia="ru-RU"/>
        </w:rPr>
        <w:lastRenderedPageBreak/>
        <w:t>т.ч</w:t>
      </w:r>
      <w:proofErr w:type="spellEnd"/>
      <w:r w:rsidRPr="00C000B2">
        <w:rPr>
          <w:sz w:val="28"/>
          <w:szCs w:val="28"/>
          <w:lang w:eastAsia="ru-RU"/>
        </w:rPr>
        <w:t>. информацией о серии и номере лицензии, дате выдачи, сроке действия, разрешенном виде деятельности, выдавшем органе.</w:t>
      </w:r>
    </w:p>
    <w:p w:rsidR="00FA06FC" w:rsidRPr="00C000B2" w:rsidRDefault="009E52CC" w:rsidP="009E52C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 </w:t>
      </w:r>
      <w:r w:rsidR="00FA06FC" w:rsidRPr="00C000B2">
        <w:rPr>
          <w:sz w:val="28"/>
          <w:szCs w:val="28"/>
          <w:lang w:eastAsia="ru-RU"/>
        </w:rPr>
        <w:t xml:space="preserve">Раздел 7 заполняется сведениями о сотрудниках предприятия за последний календарный год, в </w:t>
      </w:r>
      <w:proofErr w:type="spellStart"/>
      <w:r w:rsidR="00FA06FC" w:rsidRPr="00C000B2">
        <w:rPr>
          <w:sz w:val="28"/>
          <w:szCs w:val="28"/>
          <w:lang w:eastAsia="ru-RU"/>
        </w:rPr>
        <w:t>т.ч</w:t>
      </w:r>
      <w:proofErr w:type="spellEnd"/>
      <w:r w:rsidR="00FA06FC" w:rsidRPr="00C000B2">
        <w:rPr>
          <w:sz w:val="28"/>
          <w:szCs w:val="28"/>
          <w:lang w:eastAsia="ru-RU"/>
        </w:rPr>
        <w:t xml:space="preserve">. информацией о среднесписочной численности, уровне образования, фонде оплаты труда, средствах, затрачиваемых на социальное обеспечение. </w:t>
      </w:r>
    </w:p>
    <w:p w:rsidR="00700D70" w:rsidRPr="00C000B2" w:rsidRDefault="00700D70" w:rsidP="00BC3C03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Раздел 8 заполняется сведениями о наличии территориально изолированных объектов производственной деятельности на конец отчетного периода. Данные отражаются в разрезе категорий объектов производственной деятельности с детализацией по Субъектам РФ.</w:t>
      </w:r>
    </w:p>
    <w:p w:rsidR="00700D70" w:rsidRPr="00C000B2" w:rsidRDefault="00700D70" w:rsidP="00BC3C03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Раздел 9 заполняется сведениями об установленных и фактических  мощностях и вместимости хранилищ сырья и продуктов его переработки территориально изолированных объектов производственной деятельности. Данные отражаются в разрезе категорий объектов производственной деятельности с детализацией по Субъектам РФ, и видов сырья и продуктов его переработки.</w:t>
      </w:r>
    </w:p>
    <w:p w:rsidR="002148CE" w:rsidRPr="00C000B2" w:rsidRDefault="0099077C" w:rsidP="00BC3C03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Строка </w:t>
      </w:r>
      <w:r w:rsidR="002148CE" w:rsidRPr="00C000B2">
        <w:rPr>
          <w:sz w:val="28"/>
          <w:szCs w:val="28"/>
          <w:lang w:eastAsia="ru-RU"/>
        </w:rPr>
        <w:t>«Способ образования» Раздела 1 заполняется в соответствии с перечнем способов образования предприятия, приведенном в Таблице 1.</w:t>
      </w:r>
    </w:p>
    <w:p w:rsidR="002148CE" w:rsidRPr="00C000B2" w:rsidRDefault="002148CE" w:rsidP="002148CE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Таблица 1. Способы образования </w:t>
      </w:r>
    </w:p>
    <w:tbl>
      <w:tblPr>
        <w:tblW w:w="23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4"/>
      </w:tblGrid>
      <w:tr w:rsidR="002148CE" w:rsidRPr="00C000B2" w:rsidTr="00DE6288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2148CE" w:rsidRPr="00C000B2" w:rsidRDefault="002148CE" w:rsidP="00DE6288">
            <w:pPr>
              <w:spacing w:after="100" w:afterAutospacing="1" w:line="276" w:lineRule="auto"/>
              <w:jc w:val="center"/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000B2"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2148CE" w:rsidRPr="00C000B2" w:rsidTr="00DE6288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</w:tcPr>
          <w:p w:rsidR="002148CE" w:rsidRPr="00C000B2" w:rsidRDefault="002148CE" w:rsidP="00DE628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Создано впервые (новое)</w:t>
            </w:r>
          </w:p>
        </w:tc>
      </w:tr>
      <w:tr w:rsidR="002148CE" w:rsidRPr="00C000B2" w:rsidTr="00DE6288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</w:tcPr>
          <w:p w:rsidR="002148CE" w:rsidRPr="00C000B2" w:rsidRDefault="002148CE" w:rsidP="00DE628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Образовалось в результате слияния юридических лиц</w:t>
            </w:r>
          </w:p>
        </w:tc>
      </w:tr>
      <w:tr w:rsidR="002148CE" w:rsidRPr="00C000B2" w:rsidTr="00DE6288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</w:tcPr>
          <w:p w:rsidR="002148CE" w:rsidRPr="00C000B2" w:rsidRDefault="002148CE" w:rsidP="00DE628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Образовалось в результате разделения другого юридического лица</w:t>
            </w:r>
          </w:p>
        </w:tc>
      </w:tr>
      <w:tr w:rsidR="002148CE" w:rsidRPr="00C000B2" w:rsidTr="00DE6288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</w:tcPr>
          <w:p w:rsidR="002148CE" w:rsidRPr="00C000B2" w:rsidRDefault="002148CE" w:rsidP="00DE628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Выделилось из другого юридического лица</w:t>
            </w:r>
          </w:p>
        </w:tc>
      </w:tr>
    </w:tbl>
    <w:p w:rsidR="002148CE" w:rsidRPr="00C000B2" w:rsidRDefault="002148CE" w:rsidP="00FD680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2148CE" w:rsidRPr="00C000B2" w:rsidRDefault="0099077C" w:rsidP="00BC3C03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Строка</w:t>
      </w:r>
      <w:r w:rsidR="002148CE" w:rsidRPr="00C000B2">
        <w:rPr>
          <w:sz w:val="28"/>
          <w:szCs w:val="28"/>
          <w:lang w:eastAsia="ru-RU"/>
        </w:rPr>
        <w:t xml:space="preserve"> «Сведения о реорганизации» Раздела 1 заполняется в соответствии с перечнем, приведенном в Таблице 2.</w:t>
      </w:r>
    </w:p>
    <w:p w:rsidR="002148CE" w:rsidRPr="00C000B2" w:rsidRDefault="002148CE" w:rsidP="002148CE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Таблица 2. Способы образования </w:t>
      </w:r>
    </w:p>
    <w:tbl>
      <w:tblPr>
        <w:tblW w:w="0" w:type="auto"/>
        <w:jc w:val="center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1"/>
      </w:tblGrid>
      <w:tr w:rsidR="002148CE" w:rsidRPr="00C000B2" w:rsidTr="00BC3C03">
        <w:trPr>
          <w:cantSplit/>
          <w:trHeight w:val="276"/>
          <w:tblHeader/>
          <w:jc w:val="center"/>
        </w:trPr>
        <w:tc>
          <w:tcPr>
            <w:tcW w:w="8361" w:type="dxa"/>
            <w:shd w:val="clear" w:color="auto" w:fill="auto"/>
            <w:noWrap/>
            <w:vAlign w:val="center"/>
            <w:hideMark/>
          </w:tcPr>
          <w:p w:rsidR="002148CE" w:rsidRPr="00C000B2" w:rsidRDefault="002148CE" w:rsidP="00DE6288">
            <w:pPr>
              <w:spacing w:after="100" w:afterAutospacing="1" w:line="276" w:lineRule="auto"/>
              <w:jc w:val="center"/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000B2"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2148CE" w:rsidRPr="00C000B2" w:rsidTr="002148CE">
        <w:trPr>
          <w:cantSplit/>
          <w:trHeight w:val="276"/>
          <w:jc w:val="center"/>
        </w:trPr>
        <w:tc>
          <w:tcPr>
            <w:tcW w:w="8361" w:type="dxa"/>
            <w:shd w:val="clear" w:color="auto" w:fill="auto"/>
            <w:noWrap/>
          </w:tcPr>
          <w:p w:rsidR="002148CE" w:rsidRPr="00C000B2" w:rsidRDefault="002148CE" w:rsidP="002148CE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 xml:space="preserve">В составе юридического лица происходили изменения (слияние, присоединение, разделение, выделение, преобразование) в отчетном периоде </w:t>
            </w:r>
          </w:p>
        </w:tc>
      </w:tr>
      <w:tr w:rsidR="002148CE" w:rsidRPr="00C000B2" w:rsidTr="002148CE">
        <w:trPr>
          <w:cantSplit/>
          <w:trHeight w:val="276"/>
          <w:jc w:val="center"/>
        </w:trPr>
        <w:tc>
          <w:tcPr>
            <w:tcW w:w="8361" w:type="dxa"/>
            <w:shd w:val="clear" w:color="auto" w:fill="auto"/>
            <w:noWrap/>
          </w:tcPr>
          <w:p w:rsidR="002148CE" w:rsidRPr="00C000B2" w:rsidRDefault="002148CE" w:rsidP="002148CE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lastRenderedPageBreak/>
              <w:t>В составе юридического лица не происходили изменения  в отчетном периоде</w:t>
            </w:r>
          </w:p>
        </w:tc>
      </w:tr>
    </w:tbl>
    <w:p w:rsidR="002148CE" w:rsidRPr="00C000B2" w:rsidRDefault="002148CE" w:rsidP="00FD680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99077C" w:rsidRPr="00C000B2" w:rsidRDefault="0099077C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строке 028</w:t>
      </w:r>
      <w:r w:rsidRPr="00C000B2">
        <w:rPr>
          <w:sz w:val="28"/>
          <w:szCs w:val="28"/>
          <w:lang w:eastAsia="ru-RU"/>
        </w:rPr>
        <w:t xml:space="preserve"> Раздела 1 </w:t>
      </w:r>
      <w:r w:rsidRPr="00C000B2">
        <w:rPr>
          <w:sz w:val="28"/>
          <w:szCs w:val="28"/>
          <w:lang w:eastAsia="ru-RU"/>
        </w:rPr>
        <w:t xml:space="preserve">указываются официальные наименования всех списков </w:t>
      </w:r>
      <w:r w:rsidRPr="00C000B2">
        <w:rPr>
          <w:sz w:val="28"/>
          <w:szCs w:val="28"/>
          <w:lang w:eastAsia="ru-RU"/>
        </w:rPr>
        <w:t>в соответствии с официальными документами, зарегистрированны</w:t>
      </w:r>
      <w:r w:rsidRPr="00C000B2">
        <w:rPr>
          <w:sz w:val="28"/>
          <w:szCs w:val="28"/>
          <w:lang w:eastAsia="ru-RU"/>
        </w:rPr>
        <w:t>ми в установленном порядке, в которых присутствует отчитывающийся Субъект ТЭК. Примеры: «Перечень системообразующих предприятий», «Перечень стратегических предприятий», «Реестр оборонно-промышленного комплекса», «</w:t>
      </w:r>
      <w:proofErr w:type="spellStart"/>
      <w:r w:rsidRPr="00C000B2">
        <w:rPr>
          <w:sz w:val="28"/>
          <w:szCs w:val="28"/>
          <w:lang w:eastAsia="ru-RU"/>
        </w:rPr>
        <w:t>Росимущество</w:t>
      </w:r>
      <w:proofErr w:type="spellEnd"/>
      <w:r w:rsidRPr="00C000B2">
        <w:rPr>
          <w:sz w:val="28"/>
          <w:szCs w:val="28"/>
          <w:lang w:eastAsia="ru-RU"/>
        </w:rPr>
        <w:t xml:space="preserve"> Топ-100» и т.д.</w:t>
      </w:r>
    </w:p>
    <w:p w:rsidR="006F138C" w:rsidRPr="00C000B2" w:rsidRDefault="006F138C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Графы «Изменение относительно предыдущего отчета (Да</w:t>
      </w:r>
      <w:proofErr w:type="gramStart"/>
      <w:r w:rsidRPr="00C000B2">
        <w:rPr>
          <w:sz w:val="28"/>
          <w:szCs w:val="28"/>
          <w:lang w:eastAsia="ru-RU"/>
        </w:rPr>
        <w:t>/Н</w:t>
      </w:r>
      <w:proofErr w:type="gramEnd"/>
      <w:r w:rsidRPr="00C000B2">
        <w:rPr>
          <w:sz w:val="28"/>
          <w:szCs w:val="28"/>
          <w:lang w:eastAsia="ru-RU"/>
        </w:rPr>
        <w:t>ет)»  Разделов</w:t>
      </w:r>
      <w:r w:rsidRPr="00C000B2">
        <w:rPr>
          <w:sz w:val="28"/>
          <w:szCs w:val="28"/>
          <w:lang w:eastAsia="ru-RU"/>
        </w:rPr>
        <w:t xml:space="preserve"> </w:t>
      </w:r>
      <w:r w:rsidR="002D57AC" w:rsidRPr="00C000B2">
        <w:rPr>
          <w:sz w:val="28"/>
          <w:szCs w:val="28"/>
          <w:lang w:eastAsia="ru-RU"/>
        </w:rPr>
        <w:t>1-</w:t>
      </w:r>
      <w:r w:rsidRPr="00C000B2">
        <w:rPr>
          <w:sz w:val="28"/>
          <w:szCs w:val="28"/>
          <w:lang w:eastAsia="ru-RU"/>
        </w:rPr>
        <w:t>5</w:t>
      </w:r>
      <w:r w:rsidRPr="00C000B2">
        <w:rPr>
          <w:sz w:val="28"/>
          <w:szCs w:val="28"/>
          <w:lang w:eastAsia="ru-RU"/>
        </w:rPr>
        <w:t xml:space="preserve"> заполняется в зависимости от наличия у отчитывающегося Субъекта ТЭК изменений по соответствующим заполняемой строке показателям. В случае</w:t>
      </w:r>
      <w:proofErr w:type="gramStart"/>
      <w:r w:rsidRPr="00C000B2">
        <w:rPr>
          <w:sz w:val="28"/>
          <w:szCs w:val="28"/>
          <w:lang w:eastAsia="ru-RU"/>
        </w:rPr>
        <w:t>,</w:t>
      </w:r>
      <w:proofErr w:type="gramEnd"/>
      <w:r w:rsidRPr="00C000B2">
        <w:rPr>
          <w:sz w:val="28"/>
          <w:szCs w:val="28"/>
          <w:lang w:eastAsia="ru-RU"/>
        </w:rPr>
        <w:t xml:space="preserve"> если по соответствующим заполняемой строке показателям у Субъекта ТЭК произошли изменения относительно его предыдущего отчета, графа заполняется показателем «Да», в противном случае – показателем «Нет».</w:t>
      </w:r>
    </w:p>
    <w:p w:rsidR="006F138C" w:rsidRPr="00C000B2" w:rsidRDefault="006F138C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г</w:t>
      </w:r>
      <w:r w:rsidRPr="00C000B2">
        <w:rPr>
          <w:sz w:val="28"/>
          <w:szCs w:val="28"/>
          <w:lang w:eastAsia="ru-RU"/>
        </w:rPr>
        <w:t>р</w:t>
      </w:r>
      <w:r w:rsidRPr="00C000B2">
        <w:rPr>
          <w:sz w:val="28"/>
          <w:szCs w:val="28"/>
          <w:lang w:eastAsia="ru-RU"/>
        </w:rPr>
        <w:t>афах</w:t>
      </w:r>
      <w:r w:rsidRPr="00C000B2">
        <w:rPr>
          <w:sz w:val="28"/>
          <w:szCs w:val="28"/>
          <w:lang w:eastAsia="ru-RU"/>
        </w:rPr>
        <w:t xml:space="preserve"> «</w:t>
      </w:r>
      <w:r w:rsidRPr="00C000B2">
        <w:rPr>
          <w:sz w:val="28"/>
          <w:szCs w:val="28"/>
          <w:lang w:eastAsia="ru-RU"/>
        </w:rPr>
        <w:t>Описание изменения от</w:t>
      </w:r>
      <w:r w:rsidRPr="00C000B2">
        <w:rPr>
          <w:sz w:val="28"/>
          <w:szCs w:val="28"/>
          <w:lang w:eastAsia="ru-RU"/>
        </w:rPr>
        <w:t xml:space="preserve">носительно предыдущего отчета»  Разделов </w:t>
      </w:r>
      <w:r w:rsidR="002D57AC" w:rsidRPr="00C000B2">
        <w:rPr>
          <w:sz w:val="28"/>
          <w:szCs w:val="28"/>
          <w:lang w:eastAsia="ru-RU"/>
        </w:rPr>
        <w:t xml:space="preserve">1-5 </w:t>
      </w:r>
      <w:r w:rsidRPr="00C000B2">
        <w:rPr>
          <w:sz w:val="28"/>
          <w:szCs w:val="28"/>
          <w:lang w:eastAsia="ru-RU"/>
        </w:rPr>
        <w:t xml:space="preserve">приводится краткое описание изменения. </w:t>
      </w:r>
    </w:p>
    <w:p w:rsidR="00F3103F" w:rsidRPr="00C000B2" w:rsidRDefault="00F3103F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Графа «Категория</w:t>
      </w:r>
      <w:r w:rsidR="00135B20" w:rsidRPr="00C000B2">
        <w:rPr>
          <w:sz w:val="28"/>
          <w:szCs w:val="28"/>
          <w:lang w:eastAsia="ru-RU"/>
        </w:rPr>
        <w:t>» Разделов</w:t>
      </w:r>
      <w:r w:rsidRPr="00C000B2">
        <w:rPr>
          <w:sz w:val="28"/>
          <w:szCs w:val="28"/>
          <w:lang w:eastAsia="ru-RU"/>
        </w:rPr>
        <w:t xml:space="preserve"> 2</w:t>
      </w:r>
      <w:r w:rsidR="00135B20" w:rsidRPr="00C000B2">
        <w:rPr>
          <w:sz w:val="28"/>
          <w:szCs w:val="28"/>
          <w:lang w:eastAsia="ru-RU"/>
        </w:rPr>
        <w:t>, 3</w:t>
      </w:r>
      <w:r w:rsidRPr="00C000B2">
        <w:rPr>
          <w:sz w:val="28"/>
          <w:szCs w:val="28"/>
          <w:lang w:eastAsia="ru-RU"/>
        </w:rPr>
        <w:t xml:space="preserve"> заполняется в соответствии с перечнем</w:t>
      </w:r>
      <w:r w:rsidR="00855BF7" w:rsidRPr="00C000B2">
        <w:rPr>
          <w:sz w:val="28"/>
          <w:szCs w:val="28"/>
          <w:lang w:eastAsia="ru-RU"/>
        </w:rPr>
        <w:t xml:space="preserve"> категорий юридических и физических лиц</w:t>
      </w:r>
      <w:r w:rsidRPr="00C000B2">
        <w:rPr>
          <w:sz w:val="28"/>
          <w:szCs w:val="28"/>
          <w:lang w:eastAsia="ru-RU"/>
        </w:rPr>
        <w:t>, приведенном в Таблице 3.</w:t>
      </w:r>
    </w:p>
    <w:p w:rsidR="00F3103F" w:rsidRPr="00C000B2" w:rsidRDefault="00F3103F" w:rsidP="00F3103F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Таблица 3. Категории</w:t>
      </w:r>
      <w:r w:rsidR="00855BF7" w:rsidRPr="00C000B2">
        <w:rPr>
          <w:sz w:val="28"/>
          <w:szCs w:val="28"/>
          <w:lang w:eastAsia="ru-RU"/>
        </w:rPr>
        <w:t xml:space="preserve"> юридических и физических лиц</w:t>
      </w:r>
    </w:p>
    <w:tbl>
      <w:tblPr>
        <w:tblW w:w="0" w:type="auto"/>
        <w:jc w:val="center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1"/>
      </w:tblGrid>
      <w:tr w:rsidR="00F3103F" w:rsidRPr="00C000B2" w:rsidTr="00DE6288">
        <w:trPr>
          <w:cantSplit/>
          <w:trHeight w:val="276"/>
          <w:jc w:val="center"/>
        </w:trPr>
        <w:tc>
          <w:tcPr>
            <w:tcW w:w="8361" w:type="dxa"/>
            <w:shd w:val="clear" w:color="auto" w:fill="auto"/>
            <w:noWrap/>
            <w:vAlign w:val="center"/>
            <w:hideMark/>
          </w:tcPr>
          <w:p w:rsidR="00F3103F" w:rsidRPr="00C000B2" w:rsidRDefault="00F3103F" w:rsidP="00DE6288">
            <w:pPr>
              <w:spacing w:after="100" w:afterAutospacing="1" w:line="276" w:lineRule="auto"/>
              <w:jc w:val="center"/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000B2"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F3103F" w:rsidRPr="00C000B2" w:rsidTr="00DE6288">
        <w:trPr>
          <w:cantSplit/>
          <w:trHeight w:val="276"/>
          <w:jc w:val="center"/>
        </w:trPr>
        <w:tc>
          <w:tcPr>
            <w:tcW w:w="8361" w:type="dxa"/>
            <w:shd w:val="clear" w:color="auto" w:fill="auto"/>
            <w:noWrap/>
          </w:tcPr>
          <w:p w:rsidR="00F3103F" w:rsidRPr="00C000B2" w:rsidRDefault="00F3103F" w:rsidP="00DE628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Федеральный орган исполнительной власти</w:t>
            </w:r>
          </w:p>
        </w:tc>
      </w:tr>
      <w:tr w:rsidR="00F3103F" w:rsidRPr="00C000B2" w:rsidTr="00DE6288">
        <w:trPr>
          <w:cantSplit/>
          <w:trHeight w:val="276"/>
          <w:jc w:val="center"/>
        </w:trPr>
        <w:tc>
          <w:tcPr>
            <w:tcW w:w="8361" w:type="dxa"/>
            <w:shd w:val="clear" w:color="auto" w:fill="auto"/>
            <w:noWrap/>
          </w:tcPr>
          <w:p w:rsidR="00F3103F" w:rsidRPr="00C000B2" w:rsidRDefault="00F3103F" w:rsidP="00DE628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Орган исполнительной власти субъекта Российской Федерации</w:t>
            </w:r>
          </w:p>
        </w:tc>
      </w:tr>
      <w:tr w:rsidR="00F3103F" w:rsidRPr="00C000B2" w:rsidTr="00DE6288">
        <w:trPr>
          <w:cantSplit/>
          <w:trHeight w:val="276"/>
          <w:jc w:val="center"/>
        </w:trPr>
        <w:tc>
          <w:tcPr>
            <w:tcW w:w="8361" w:type="dxa"/>
            <w:shd w:val="clear" w:color="auto" w:fill="auto"/>
            <w:noWrap/>
          </w:tcPr>
          <w:p w:rsidR="00F3103F" w:rsidRPr="00C000B2" w:rsidRDefault="00F3103F" w:rsidP="00DE628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Орган местного самоуправления</w:t>
            </w:r>
          </w:p>
        </w:tc>
      </w:tr>
      <w:tr w:rsidR="00F3103F" w:rsidRPr="00C000B2" w:rsidTr="00DE6288">
        <w:trPr>
          <w:cantSplit/>
          <w:trHeight w:val="276"/>
          <w:jc w:val="center"/>
        </w:trPr>
        <w:tc>
          <w:tcPr>
            <w:tcW w:w="8361" w:type="dxa"/>
            <w:shd w:val="clear" w:color="auto" w:fill="auto"/>
            <w:noWrap/>
          </w:tcPr>
          <w:p w:rsidR="00F3103F" w:rsidRPr="00C000B2" w:rsidRDefault="00F3103F" w:rsidP="00DE628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 xml:space="preserve">Коммерческая организация (кроме </w:t>
            </w:r>
            <w:proofErr w:type="gramStart"/>
            <w:r w:rsidRPr="00C000B2">
              <w:rPr>
                <w:sz w:val="28"/>
                <w:szCs w:val="28"/>
              </w:rPr>
              <w:t>финансово-кредитных</w:t>
            </w:r>
            <w:proofErr w:type="gramEnd"/>
            <w:r w:rsidRPr="00C000B2">
              <w:rPr>
                <w:sz w:val="28"/>
                <w:szCs w:val="28"/>
              </w:rPr>
              <w:t>), не являющаяся субъектами малого и среднего предпринимательства</w:t>
            </w:r>
          </w:p>
        </w:tc>
      </w:tr>
      <w:tr w:rsidR="00F3103F" w:rsidRPr="00C000B2" w:rsidTr="00DE6288">
        <w:trPr>
          <w:cantSplit/>
          <w:trHeight w:val="276"/>
          <w:jc w:val="center"/>
        </w:trPr>
        <w:tc>
          <w:tcPr>
            <w:tcW w:w="8361" w:type="dxa"/>
            <w:shd w:val="clear" w:color="auto" w:fill="auto"/>
            <w:noWrap/>
          </w:tcPr>
          <w:p w:rsidR="00F3103F" w:rsidRPr="00C000B2" w:rsidRDefault="00F3103F" w:rsidP="00F3103F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 xml:space="preserve">Коммерческая организация (кроме </w:t>
            </w:r>
            <w:proofErr w:type="gramStart"/>
            <w:r w:rsidRPr="00C000B2">
              <w:rPr>
                <w:sz w:val="28"/>
                <w:szCs w:val="28"/>
              </w:rPr>
              <w:t>финансово-кредитных</w:t>
            </w:r>
            <w:proofErr w:type="gramEnd"/>
            <w:r w:rsidRPr="00C000B2">
              <w:rPr>
                <w:sz w:val="28"/>
                <w:szCs w:val="28"/>
              </w:rPr>
              <w:t>), являющаяся субъектами малого и среднего предпринимательства</w:t>
            </w:r>
          </w:p>
        </w:tc>
      </w:tr>
      <w:tr w:rsidR="00F3103F" w:rsidRPr="00C000B2" w:rsidTr="00DE6288">
        <w:trPr>
          <w:cantSplit/>
          <w:trHeight w:val="276"/>
          <w:jc w:val="center"/>
        </w:trPr>
        <w:tc>
          <w:tcPr>
            <w:tcW w:w="8361" w:type="dxa"/>
            <w:shd w:val="clear" w:color="auto" w:fill="auto"/>
            <w:noWrap/>
          </w:tcPr>
          <w:p w:rsidR="00F3103F" w:rsidRPr="00C000B2" w:rsidRDefault="00F3103F" w:rsidP="00DE628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Финансово-кредитная организация</w:t>
            </w:r>
          </w:p>
        </w:tc>
      </w:tr>
      <w:tr w:rsidR="00F3103F" w:rsidRPr="00C000B2" w:rsidTr="00DE6288">
        <w:trPr>
          <w:cantSplit/>
          <w:trHeight w:val="276"/>
          <w:jc w:val="center"/>
        </w:trPr>
        <w:tc>
          <w:tcPr>
            <w:tcW w:w="8361" w:type="dxa"/>
            <w:shd w:val="clear" w:color="auto" w:fill="auto"/>
            <w:noWrap/>
          </w:tcPr>
          <w:p w:rsidR="00F3103F" w:rsidRPr="00C000B2" w:rsidRDefault="00F3103F" w:rsidP="00DE628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Некоммерческая организация</w:t>
            </w:r>
          </w:p>
        </w:tc>
      </w:tr>
      <w:tr w:rsidR="00F3103F" w:rsidRPr="00C000B2" w:rsidTr="00DE6288">
        <w:trPr>
          <w:cantSplit/>
          <w:trHeight w:val="276"/>
          <w:jc w:val="center"/>
        </w:trPr>
        <w:tc>
          <w:tcPr>
            <w:tcW w:w="8361" w:type="dxa"/>
            <w:shd w:val="clear" w:color="auto" w:fill="auto"/>
            <w:noWrap/>
          </w:tcPr>
          <w:p w:rsidR="00F3103F" w:rsidRPr="00C000B2" w:rsidRDefault="00F3103F" w:rsidP="00DE628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Физическое лицо, не являющееся работником данной организации</w:t>
            </w:r>
          </w:p>
        </w:tc>
      </w:tr>
      <w:tr w:rsidR="00F3103F" w:rsidRPr="00C000B2" w:rsidTr="00DE6288">
        <w:trPr>
          <w:cantSplit/>
          <w:trHeight w:val="276"/>
          <w:jc w:val="center"/>
        </w:trPr>
        <w:tc>
          <w:tcPr>
            <w:tcW w:w="8361" w:type="dxa"/>
            <w:shd w:val="clear" w:color="auto" w:fill="auto"/>
            <w:noWrap/>
          </w:tcPr>
          <w:p w:rsidR="00F3103F" w:rsidRPr="00C000B2" w:rsidRDefault="00F3103F" w:rsidP="00DE628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Физическое лицо, являющееся работником данной организации</w:t>
            </w:r>
          </w:p>
        </w:tc>
      </w:tr>
    </w:tbl>
    <w:p w:rsidR="007A4E7D" w:rsidRPr="00C000B2" w:rsidRDefault="007A4E7D" w:rsidP="007A4E7D">
      <w:pPr>
        <w:spacing w:line="360" w:lineRule="auto"/>
        <w:ind w:left="851"/>
        <w:contextualSpacing/>
        <w:jc w:val="both"/>
        <w:rPr>
          <w:sz w:val="28"/>
          <w:szCs w:val="28"/>
          <w:lang w:eastAsia="ru-RU"/>
        </w:rPr>
      </w:pPr>
    </w:p>
    <w:p w:rsidR="006C0584" w:rsidRPr="00C000B2" w:rsidRDefault="006C0584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lastRenderedPageBreak/>
        <w:t>Графа «Организац</w:t>
      </w:r>
      <w:r w:rsidRPr="00C000B2">
        <w:rPr>
          <w:sz w:val="28"/>
          <w:szCs w:val="28"/>
          <w:lang w:eastAsia="ru-RU"/>
        </w:rPr>
        <w:t>и</w:t>
      </w:r>
      <w:r w:rsidRPr="00C000B2">
        <w:rPr>
          <w:sz w:val="28"/>
          <w:szCs w:val="28"/>
          <w:lang w:eastAsia="ru-RU"/>
        </w:rPr>
        <w:t>онно-правовая форма» Разделов 2, 3 заполняется в соответствии с перечнем</w:t>
      </w:r>
      <w:r w:rsidRPr="00C000B2">
        <w:rPr>
          <w:sz w:val="28"/>
          <w:szCs w:val="28"/>
          <w:lang w:eastAsia="ru-RU"/>
        </w:rPr>
        <w:t xml:space="preserve"> форм</w:t>
      </w:r>
      <w:r w:rsidRPr="00C000B2">
        <w:rPr>
          <w:sz w:val="28"/>
          <w:szCs w:val="28"/>
          <w:lang w:eastAsia="ru-RU"/>
        </w:rPr>
        <w:t>, приведенном в Таблице 4.</w:t>
      </w:r>
    </w:p>
    <w:p w:rsidR="006C0584" w:rsidRPr="00C000B2" w:rsidRDefault="006C0584" w:rsidP="006C0584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Таблица 4. </w:t>
      </w:r>
      <w:r w:rsidRPr="00C000B2">
        <w:rPr>
          <w:sz w:val="28"/>
          <w:szCs w:val="28"/>
          <w:lang w:eastAsia="ru-RU"/>
        </w:rPr>
        <w:t>Организационно-правовые формы</w:t>
      </w:r>
    </w:p>
    <w:tbl>
      <w:tblPr>
        <w:tblW w:w="9705" w:type="dxa"/>
        <w:jc w:val="center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5"/>
      </w:tblGrid>
      <w:tr w:rsidR="006C0584" w:rsidRPr="00C000B2" w:rsidTr="00BC3C03">
        <w:trPr>
          <w:cantSplit/>
          <w:trHeight w:val="276"/>
          <w:tblHeader/>
          <w:jc w:val="center"/>
        </w:trPr>
        <w:tc>
          <w:tcPr>
            <w:tcW w:w="9705" w:type="dxa"/>
            <w:shd w:val="clear" w:color="auto" w:fill="auto"/>
            <w:noWrap/>
            <w:vAlign w:val="center"/>
            <w:hideMark/>
          </w:tcPr>
          <w:p w:rsidR="006C0584" w:rsidRPr="00C000B2" w:rsidRDefault="006C0584" w:rsidP="00870F38">
            <w:pPr>
              <w:spacing w:after="100" w:afterAutospacing="1" w:line="276" w:lineRule="auto"/>
              <w:jc w:val="center"/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000B2"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6C0584" w:rsidRPr="00C000B2" w:rsidTr="00060FD1">
        <w:trPr>
          <w:cantSplit/>
          <w:trHeight w:val="276"/>
          <w:jc w:val="center"/>
        </w:trPr>
        <w:tc>
          <w:tcPr>
            <w:tcW w:w="9705" w:type="dxa"/>
            <w:shd w:val="clear" w:color="auto" w:fill="auto"/>
            <w:noWrap/>
          </w:tcPr>
          <w:p w:rsidR="006C0584" w:rsidRPr="00C000B2" w:rsidRDefault="00060FD1" w:rsidP="00870F3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Хозяйственные товарищества и общества (полное товарищество)</w:t>
            </w:r>
          </w:p>
        </w:tc>
      </w:tr>
      <w:tr w:rsidR="00060FD1" w:rsidRPr="00C000B2" w:rsidTr="00060FD1">
        <w:trPr>
          <w:cantSplit/>
          <w:trHeight w:val="276"/>
          <w:jc w:val="center"/>
        </w:trPr>
        <w:tc>
          <w:tcPr>
            <w:tcW w:w="9705" w:type="dxa"/>
            <w:shd w:val="clear" w:color="auto" w:fill="auto"/>
            <w:noWrap/>
          </w:tcPr>
          <w:p w:rsidR="00060FD1" w:rsidRPr="00C000B2" w:rsidRDefault="00060FD1" w:rsidP="00060FD1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Хозяйственные товарищества и общества (товарищество на вере)</w:t>
            </w:r>
          </w:p>
        </w:tc>
      </w:tr>
      <w:tr w:rsidR="00060FD1" w:rsidRPr="00C000B2" w:rsidTr="00060FD1">
        <w:trPr>
          <w:cantSplit/>
          <w:trHeight w:val="276"/>
          <w:jc w:val="center"/>
        </w:trPr>
        <w:tc>
          <w:tcPr>
            <w:tcW w:w="9705" w:type="dxa"/>
            <w:shd w:val="clear" w:color="auto" w:fill="auto"/>
            <w:noWrap/>
          </w:tcPr>
          <w:p w:rsidR="00060FD1" w:rsidRPr="00C000B2" w:rsidRDefault="00060FD1" w:rsidP="00060FD1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Хозяйственные товарищества и общества (общество с ограниченной ответственностью)</w:t>
            </w:r>
          </w:p>
        </w:tc>
      </w:tr>
      <w:tr w:rsidR="00060FD1" w:rsidRPr="00C000B2" w:rsidTr="00060FD1">
        <w:trPr>
          <w:cantSplit/>
          <w:trHeight w:val="276"/>
          <w:jc w:val="center"/>
        </w:trPr>
        <w:tc>
          <w:tcPr>
            <w:tcW w:w="9705" w:type="dxa"/>
            <w:shd w:val="clear" w:color="auto" w:fill="auto"/>
            <w:noWrap/>
          </w:tcPr>
          <w:p w:rsidR="00060FD1" w:rsidRPr="00C000B2" w:rsidRDefault="00060FD1" w:rsidP="00870F3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Хозяйственные товарищества и общества (</w:t>
            </w:r>
            <w:r w:rsidRPr="006C0584">
              <w:rPr>
                <w:sz w:val="28"/>
                <w:szCs w:val="28"/>
              </w:rPr>
              <w:t>общество с дополнительной ответственностью</w:t>
            </w:r>
            <w:r w:rsidRPr="00C000B2">
              <w:rPr>
                <w:sz w:val="28"/>
                <w:szCs w:val="28"/>
              </w:rPr>
              <w:t>)</w:t>
            </w:r>
          </w:p>
        </w:tc>
      </w:tr>
      <w:tr w:rsidR="00060FD1" w:rsidRPr="00C000B2" w:rsidTr="00060FD1">
        <w:trPr>
          <w:cantSplit/>
          <w:trHeight w:val="276"/>
          <w:jc w:val="center"/>
        </w:trPr>
        <w:tc>
          <w:tcPr>
            <w:tcW w:w="9705" w:type="dxa"/>
            <w:shd w:val="clear" w:color="auto" w:fill="auto"/>
            <w:noWrap/>
          </w:tcPr>
          <w:p w:rsidR="00060FD1" w:rsidRPr="00C000B2" w:rsidRDefault="00060FD1" w:rsidP="00870F3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 xml:space="preserve">Хозяйственные товарищества и общества (открытое </w:t>
            </w:r>
            <w:r w:rsidRPr="006C0584">
              <w:rPr>
                <w:sz w:val="28"/>
                <w:szCs w:val="28"/>
              </w:rPr>
              <w:t>акционерное общество</w:t>
            </w:r>
            <w:r w:rsidRPr="00C000B2">
              <w:rPr>
                <w:sz w:val="28"/>
                <w:szCs w:val="28"/>
              </w:rPr>
              <w:t>)</w:t>
            </w:r>
          </w:p>
        </w:tc>
      </w:tr>
      <w:tr w:rsidR="006C0584" w:rsidRPr="00C000B2" w:rsidTr="00060FD1">
        <w:trPr>
          <w:cantSplit/>
          <w:trHeight w:val="276"/>
          <w:jc w:val="center"/>
        </w:trPr>
        <w:tc>
          <w:tcPr>
            <w:tcW w:w="9705" w:type="dxa"/>
            <w:shd w:val="clear" w:color="auto" w:fill="auto"/>
            <w:noWrap/>
          </w:tcPr>
          <w:p w:rsidR="006C0584" w:rsidRPr="00C000B2" w:rsidRDefault="00060FD1" w:rsidP="00060FD1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Хозяйственные товарищества и общества (</w:t>
            </w:r>
            <w:r w:rsidRPr="00C000B2">
              <w:rPr>
                <w:sz w:val="28"/>
                <w:szCs w:val="28"/>
              </w:rPr>
              <w:t>закрытое</w:t>
            </w:r>
            <w:r w:rsidRPr="00C000B2">
              <w:rPr>
                <w:sz w:val="28"/>
                <w:szCs w:val="28"/>
              </w:rPr>
              <w:t xml:space="preserve"> </w:t>
            </w:r>
            <w:r w:rsidRPr="006C0584">
              <w:rPr>
                <w:sz w:val="28"/>
                <w:szCs w:val="28"/>
              </w:rPr>
              <w:t>акционерное общество</w:t>
            </w:r>
            <w:r w:rsidRPr="00C000B2">
              <w:rPr>
                <w:sz w:val="28"/>
                <w:szCs w:val="28"/>
              </w:rPr>
              <w:t>)</w:t>
            </w:r>
          </w:p>
        </w:tc>
      </w:tr>
      <w:tr w:rsidR="006C0584" w:rsidRPr="00C000B2" w:rsidTr="00060FD1">
        <w:trPr>
          <w:cantSplit/>
          <w:trHeight w:val="276"/>
          <w:jc w:val="center"/>
        </w:trPr>
        <w:tc>
          <w:tcPr>
            <w:tcW w:w="9705" w:type="dxa"/>
            <w:shd w:val="clear" w:color="auto" w:fill="auto"/>
            <w:noWrap/>
          </w:tcPr>
          <w:p w:rsidR="006C0584" w:rsidRPr="00C000B2" w:rsidRDefault="00060FD1" w:rsidP="00870F3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Производственный кооператив</w:t>
            </w:r>
          </w:p>
        </w:tc>
      </w:tr>
      <w:tr w:rsidR="006C0584" w:rsidRPr="00C000B2" w:rsidTr="00060FD1">
        <w:trPr>
          <w:cantSplit/>
          <w:trHeight w:val="276"/>
          <w:jc w:val="center"/>
        </w:trPr>
        <w:tc>
          <w:tcPr>
            <w:tcW w:w="9705" w:type="dxa"/>
            <w:shd w:val="clear" w:color="auto" w:fill="auto"/>
            <w:noWrap/>
          </w:tcPr>
          <w:p w:rsidR="006C0584" w:rsidRPr="00C000B2" w:rsidRDefault="00060FD1" w:rsidP="00870F3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Государственное унитарное предприятие</w:t>
            </w:r>
          </w:p>
        </w:tc>
      </w:tr>
      <w:tr w:rsidR="00060FD1" w:rsidRPr="00C000B2" w:rsidTr="00060FD1">
        <w:trPr>
          <w:cantSplit/>
          <w:trHeight w:val="276"/>
          <w:jc w:val="center"/>
        </w:trPr>
        <w:tc>
          <w:tcPr>
            <w:tcW w:w="9705" w:type="dxa"/>
            <w:shd w:val="clear" w:color="auto" w:fill="auto"/>
            <w:noWrap/>
          </w:tcPr>
          <w:p w:rsidR="00060FD1" w:rsidRPr="00C000B2" w:rsidRDefault="00060FD1" w:rsidP="00870F3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Муниципальное унитарное предприятие</w:t>
            </w:r>
          </w:p>
        </w:tc>
      </w:tr>
    </w:tbl>
    <w:p w:rsidR="00135B20" w:rsidRPr="00C000B2" w:rsidRDefault="00135B20" w:rsidP="006C0584">
      <w:pPr>
        <w:spacing w:line="360" w:lineRule="auto"/>
        <w:contextualSpacing/>
        <w:jc w:val="both"/>
        <w:rPr>
          <w:sz w:val="28"/>
          <w:szCs w:val="28"/>
          <w:lang w:eastAsia="ru-RU"/>
        </w:rPr>
      </w:pPr>
    </w:p>
    <w:p w:rsidR="00060FD1" w:rsidRPr="00C000B2" w:rsidRDefault="00060FD1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Графа «Местоположение (Стр</w:t>
      </w:r>
      <w:r w:rsidRPr="00C000B2">
        <w:rPr>
          <w:sz w:val="28"/>
          <w:szCs w:val="28"/>
          <w:lang w:eastAsia="ru-RU"/>
        </w:rPr>
        <w:t>а</w:t>
      </w:r>
      <w:r w:rsidRPr="00C000B2">
        <w:rPr>
          <w:sz w:val="28"/>
          <w:szCs w:val="28"/>
          <w:lang w:eastAsia="ru-RU"/>
        </w:rPr>
        <w:t xml:space="preserve">на)» Разделов 2, 3 заполняется в соответствии с Общероссийским классификатором стран мира </w:t>
      </w:r>
      <w:proofErr w:type="gramStart"/>
      <w:r w:rsidRPr="00C000B2">
        <w:rPr>
          <w:sz w:val="28"/>
          <w:szCs w:val="28"/>
          <w:lang w:eastAsia="ru-RU"/>
        </w:rPr>
        <w:t>ОК</w:t>
      </w:r>
      <w:proofErr w:type="gramEnd"/>
      <w:r w:rsidRPr="00C000B2">
        <w:rPr>
          <w:sz w:val="28"/>
          <w:szCs w:val="28"/>
          <w:lang w:eastAsia="ru-RU"/>
        </w:rPr>
        <w:t xml:space="preserve"> (МК (ИСО 3166) 004-97) 025-2001, утвержден Приказом </w:t>
      </w:r>
      <w:proofErr w:type="spellStart"/>
      <w:r w:rsidRPr="00C000B2">
        <w:rPr>
          <w:sz w:val="28"/>
          <w:szCs w:val="28"/>
          <w:lang w:eastAsia="ru-RU"/>
        </w:rPr>
        <w:t>Росстандарта</w:t>
      </w:r>
      <w:proofErr w:type="spellEnd"/>
      <w:r w:rsidRPr="00C000B2">
        <w:rPr>
          <w:sz w:val="28"/>
          <w:szCs w:val="28"/>
          <w:lang w:eastAsia="ru-RU"/>
        </w:rPr>
        <w:t xml:space="preserve"> от 26.09.2013 №1099-ст. </w:t>
      </w:r>
    </w:p>
    <w:p w:rsidR="002D57AC" w:rsidRPr="00C000B2" w:rsidRDefault="002D57AC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графе «Доля участия в капитале, %» Разделов 3, 4 указывается текущая доля участия в капитале предприятия. Заполнение графы производится в процентах с точностью до 2 знаков после запятой.</w:t>
      </w:r>
    </w:p>
    <w:p w:rsidR="00060FD1" w:rsidRPr="00C000B2" w:rsidRDefault="00060FD1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В графе </w:t>
      </w:r>
      <w:r w:rsidRPr="00C000B2">
        <w:rPr>
          <w:sz w:val="28"/>
          <w:szCs w:val="28"/>
          <w:lang w:eastAsia="ru-RU"/>
        </w:rPr>
        <w:t>«</w:t>
      </w:r>
      <w:r w:rsidR="002D57AC" w:rsidRPr="00C000B2">
        <w:rPr>
          <w:sz w:val="28"/>
          <w:szCs w:val="28"/>
          <w:lang w:eastAsia="ru-RU"/>
        </w:rPr>
        <w:t>Доля участия в уставном к</w:t>
      </w:r>
      <w:r w:rsidR="002D57AC" w:rsidRPr="00C000B2">
        <w:rPr>
          <w:sz w:val="28"/>
          <w:szCs w:val="28"/>
          <w:lang w:eastAsia="ru-RU"/>
        </w:rPr>
        <w:t>а</w:t>
      </w:r>
      <w:r w:rsidR="002D57AC" w:rsidRPr="00C000B2">
        <w:rPr>
          <w:sz w:val="28"/>
          <w:szCs w:val="28"/>
          <w:lang w:eastAsia="ru-RU"/>
        </w:rPr>
        <w:t>питале, %</w:t>
      </w:r>
      <w:r w:rsidRPr="00C000B2">
        <w:rPr>
          <w:sz w:val="28"/>
          <w:szCs w:val="28"/>
          <w:lang w:eastAsia="ru-RU"/>
        </w:rPr>
        <w:t xml:space="preserve">» </w:t>
      </w:r>
      <w:r w:rsidRPr="00C000B2">
        <w:rPr>
          <w:sz w:val="28"/>
          <w:szCs w:val="28"/>
          <w:lang w:eastAsia="ru-RU"/>
        </w:rPr>
        <w:t>Раздел</w:t>
      </w:r>
      <w:r w:rsidR="002D57AC" w:rsidRPr="00C000B2">
        <w:rPr>
          <w:sz w:val="28"/>
          <w:szCs w:val="28"/>
          <w:lang w:eastAsia="ru-RU"/>
        </w:rPr>
        <w:t xml:space="preserve">а 2 </w:t>
      </w:r>
      <w:r w:rsidRPr="00C000B2">
        <w:rPr>
          <w:sz w:val="28"/>
          <w:szCs w:val="28"/>
          <w:lang w:eastAsia="ru-RU"/>
        </w:rPr>
        <w:t xml:space="preserve">указывается текущая доля участия в </w:t>
      </w:r>
      <w:r w:rsidR="002D57AC" w:rsidRPr="00C000B2">
        <w:rPr>
          <w:sz w:val="28"/>
          <w:szCs w:val="28"/>
          <w:lang w:eastAsia="ru-RU"/>
        </w:rPr>
        <w:t xml:space="preserve">уставном </w:t>
      </w:r>
      <w:r w:rsidRPr="00C000B2">
        <w:rPr>
          <w:sz w:val="28"/>
          <w:szCs w:val="28"/>
          <w:lang w:eastAsia="ru-RU"/>
        </w:rPr>
        <w:t>капитале предприятия. Заполнение графы производится в процентах с точностью до 2 знаков после запятой.</w:t>
      </w:r>
    </w:p>
    <w:p w:rsidR="00C96AA3" w:rsidRPr="00C000B2" w:rsidRDefault="00C96AA3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В графе 1 Раздела </w:t>
      </w:r>
      <w:r w:rsidRPr="00C000B2">
        <w:rPr>
          <w:sz w:val="28"/>
          <w:szCs w:val="28"/>
          <w:lang w:eastAsia="ru-RU"/>
        </w:rPr>
        <w:t>4</w:t>
      </w:r>
      <w:r w:rsidRPr="00C000B2">
        <w:rPr>
          <w:sz w:val="28"/>
          <w:szCs w:val="28"/>
          <w:lang w:eastAsia="ru-RU"/>
        </w:rPr>
        <w:t xml:space="preserve"> указывается год </w:t>
      </w:r>
      <w:r w:rsidRPr="00C000B2">
        <w:rPr>
          <w:sz w:val="28"/>
          <w:szCs w:val="28"/>
          <w:lang w:eastAsia="ru-RU"/>
        </w:rPr>
        <w:t xml:space="preserve">рождения представителей руководства отчитывающегося Субъекта ТЭК </w:t>
      </w:r>
      <w:r w:rsidRPr="00C000B2">
        <w:rPr>
          <w:sz w:val="28"/>
          <w:szCs w:val="28"/>
          <w:lang w:eastAsia="ru-RU"/>
        </w:rPr>
        <w:t>в формате ГГГГ в соответствии  с официальными документами, зарегистрированными в установленном порядке.</w:t>
      </w:r>
    </w:p>
    <w:p w:rsidR="00135B20" w:rsidRPr="00C000B2" w:rsidRDefault="00135B20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Графа «</w:t>
      </w:r>
      <w:r w:rsidRPr="00C000B2">
        <w:rPr>
          <w:sz w:val="28"/>
          <w:szCs w:val="28"/>
          <w:lang w:eastAsia="ru-RU"/>
        </w:rPr>
        <w:t>Образование</w:t>
      </w:r>
      <w:r w:rsidRPr="00C000B2">
        <w:rPr>
          <w:sz w:val="28"/>
          <w:szCs w:val="28"/>
          <w:lang w:eastAsia="ru-RU"/>
        </w:rPr>
        <w:t xml:space="preserve">» Раздела </w:t>
      </w:r>
      <w:r w:rsidRPr="00C000B2">
        <w:rPr>
          <w:sz w:val="28"/>
          <w:szCs w:val="28"/>
          <w:lang w:eastAsia="ru-RU"/>
        </w:rPr>
        <w:t>4</w:t>
      </w:r>
      <w:r w:rsidRPr="00C000B2">
        <w:rPr>
          <w:sz w:val="28"/>
          <w:szCs w:val="28"/>
          <w:lang w:eastAsia="ru-RU"/>
        </w:rPr>
        <w:t xml:space="preserve"> заполняется в соответствии с перечнем </w:t>
      </w:r>
      <w:r w:rsidRPr="00C000B2">
        <w:rPr>
          <w:sz w:val="28"/>
          <w:szCs w:val="28"/>
          <w:lang w:eastAsia="ru-RU"/>
        </w:rPr>
        <w:t xml:space="preserve">«ступеней» образования, приведенном в Таблице </w:t>
      </w:r>
      <w:r w:rsidR="006C0584" w:rsidRPr="00C000B2">
        <w:rPr>
          <w:sz w:val="28"/>
          <w:szCs w:val="28"/>
          <w:lang w:eastAsia="ru-RU"/>
        </w:rPr>
        <w:t>5</w:t>
      </w:r>
      <w:r w:rsidRPr="00C000B2">
        <w:rPr>
          <w:sz w:val="28"/>
          <w:szCs w:val="28"/>
          <w:lang w:eastAsia="ru-RU"/>
        </w:rPr>
        <w:t>.</w:t>
      </w:r>
    </w:p>
    <w:p w:rsidR="00C96AA3" w:rsidRPr="00C000B2" w:rsidRDefault="00B169DE" w:rsidP="007E454C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Таблица </w:t>
      </w:r>
      <w:r w:rsidR="006C0584" w:rsidRPr="00C000B2">
        <w:rPr>
          <w:sz w:val="28"/>
          <w:szCs w:val="28"/>
          <w:lang w:eastAsia="ru-RU"/>
        </w:rPr>
        <w:t>5</w:t>
      </w:r>
      <w:r w:rsidR="00C96AA3" w:rsidRPr="00C000B2">
        <w:rPr>
          <w:sz w:val="28"/>
          <w:szCs w:val="28"/>
          <w:lang w:eastAsia="ru-RU"/>
        </w:rPr>
        <w:t xml:space="preserve">. </w:t>
      </w:r>
      <w:r w:rsidR="00C96AA3" w:rsidRPr="00C000B2">
        <w:rPr>
          <w:sz w:val="28"/>
          <w:szCs w:val="28"/>
          <w:lang w:eastAsia="ru-RU"/>
        </w:rPr>
        <w:t>«Ступени» образования</w:t>
      </w:r>
    </w:p>
    <w:tbl>
      <w:tblPr>
        <w:tblW w:w="0" w:type="auto"/>
        <w:jc w:val="center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5"/>
      </w:tblGrid>
      <w:tr w:rsidR="00C96AA3" w:rsidRPr="00C000B2" w:rsidTr="00BC3C03">
        <w:trPr>
          <w:cantSplit/>
          <w:trHeight w:val="276"/>
          <w:tblHeader/>
          <w:jc w:val="center"/>
        </w:trPr>
        <w:tc>
          <w:tcPr>
            <w:tcW w:w="5315" w:type="dxa"/>
            <w:shd w:val="clear" w:color="auto" w:fill="auto"/>
            <w:noWrap/>
            <w:vAlign w:val="center"/>
            <w:hideMark/>
          </w:tcPr>
          <w:p w:rsidR="00C96AA3" w:rsidRPr="00C000B2" w:rsidRDefault="00C96AA3" w:rsidP="00C96AA3">
            <w:pPr>
              <w:spacing w:after="100" w:afterAutospacing="1" w:line="276" w:lineRule="auto"/>
              <w:jc w:val="center"/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000B2"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C96AA3" w:rsidRPr="00C000B2" w:rsidTr="00B169DE">
        <w:trPr>
          <w:cantSplit/>
          <w:trHeight w:val="276"/>
          <w:jc w:val="center"/>
        </w:trPr>
        <w:tc>
          <w:tcPr>
            <w:tcW w:w="5315" w:type="dxa"/>
            <w:shd w:val="clear" w:color="auto" w:fill="auto"/>
            <w:noWrap/>
          </w:tcPr>
          <w:p w:rsidR="00C96AA3" w:rsidRPr="00C000B2" w:rsidRDefault="00C96AA3" w:rsidP="00870F3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Начальное образование</w:t>
            </w:r>
          </w:p>
        </w:tc>
      </w:tr>
      <w:tr w:rsidR="00C96AA3" w:rsidRPr="00C000B2" w:rsidTr="00B169DE">
        <w:trPr>
          <w:cantSplit/>
          <w:trHeight w:val="276"/>
          <w:jc w:val="center"/>
        </w:trPr>
        <w:tc>
          <w:tcPr>
            <w:tcW w:w="5315" w:type="dxa"/>
            <w:shd w:val="clear" w:color="auto" w:fill="auto"/>
            <w:noWrap/>
          </w:tcPr>
          <w:p w:rsidR="00C96AA3" w:rsidRPr="00C000B2" w:rsidRDefault="00C96AA3" w:rsidP="00870F3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lastRenderedPageBreak/>
              <w:t xml:space="preserve">Неполное среднее </w:t>
            </w:r>
            <w:r w:rsidRPr="00C000B2">
              <w:rPr>
                <w:sz w:val="28"/>
                <w:szCs w:val="28"/>
              </w:rPr>
              <w:t>образование</w:t>
            </w:r>
          </w:p>
        </w:tc>
      </w:tr>
      <w:tr w:rsidR="00C96AA3" w:rsidRPr="00C000B2" w:rsidTr="00B169DE">
        <w:trPr>
          <w:cantSplit/>
          <w:trHeight w:val="276"/>
          <w:jc w:val="center"/>
        </w:trPr>
        <w:tc>
          <w:tcPr>
            <w:tcW w:w="5315" w:type="dxa"/>
            <w:shd w:val="clear" w:color="auto" w:fill="auto"/>
            <w:noWrap/>
          </w:tcPr>
          <w:p w:rsidR="00C96AA3" w:rsidRPr="00C000B2" w:rsidRDefault="00C96AA3" w:rsidP="00870F3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 xml:space="preserve">Полное среднее </w:t>
            </w:r>
            <w:r w:rsidRPr="00C000B2">
              <w:rPr>
                <w:sz w:val="28"/>
                <w:szCs w:val="28"/>
              </w:rPr>
              <w:t>образование</w:t>
            </w:r>
          </w:p>
        </w:tc>
      </w:tr>
      <w:tr w:rsidR="00C96AA3" w:rsidRPr="00C000B2" w:rsidTr="00B169DE">
        <w:trPr>
          <w:cantSplit/>
          <w:trHeight w:val="276"/>
          <w:jc w:val="center"/>
        </w:trPr>
        <w:tc>
          <w:tcPr>
            <w:tcW w:w="5315" w:type="dxa"/>
            <w:shd w:val="clear" w:color="auto" w:fill="auto"/>
            <w:noWrap/>
          </w:tcPr>
          <w:p w:rsidR="00C96AA3" w:rsidRPr="00C000B2" w:rsidRDefault="00C96AA3" w:rsidP="00870F3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Среднее профессиональное</w:t>
            </w:r>
            <w:r w:rsidR="00B169DE" w:rsidRPr="00C000B2">
              <w:rPr>
                <w:sz w:val="28"/>
                <w:szCs w:val="28"/>
              </w:rPr>
              <w:t xml:space="preserve"> </w:t>
            </w:r>
            <w:r w:rsidR="00B169DE" w:rsidRPr="00C000B2">
              <w:rPr>
                <w:sz w:val="28"/>
                <w:szCs w:val="28"/>
              </w:rPr>
              <w:t>образование</w:t>
            </w:r>
          </w:p>
        </w:tc>
      </w:tr>
      <w:tr w:rsidR="00C96AA3" w:rsidRPr="00C000B2" w:rsidTr="00B169DE">
        <w:trPr>
          <w:cantSplit/>
          <w:trHeight w:val="276"/>
          <w:jc w:val="center"/>
        </w:trPr>
        <w:tc>
          <w:tcPr>
            <w:tcW w:w="5315" w:type="dxa"/>
            <w:shd w:val="clear" w:color="auto" w:fill="auto"/>
            <w:noWrap/>
          </w:tcPr>
          <w:p w:rsidR="00C96AA3" w:rsidRPr="00C000B2" w:rsidRDefault="00B169DE" w:rsidP="00870F3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Высшее образование (бакалавр)</w:t>
            </w:r>
          </w:p>
        </w:tc>
      </w:tr>
      <w:tr w:rsidR="00C96AA3" w:rsidRPr="00C000B2" w:rsidTr="00B169DE">
        <w:trPr>
          <w:cantSplit/>
          <w:trHeight w:val="276"/>
          <w:jc w:val="center"/>
        </w:trPr>
        <w:tc>
          <w:tcPr>
            <w:tcW w:w="5315" w:type="dxa"/>
            <w:shd w:val="clear" w:color="auto" w:fill="auto"/>
            <w:noWrap/>
          </w:tcPr>
          <w:p w:rsidR="00C96AA3" w:rsidRPr="00C000B2" w:rsidRDefault="00B169DE" w:rsidP="00B169DE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Высшее образование (</w:t>
            </w:r>
            <w:r w:rsidRPr="00C000B2">
              <w:rPr>
                <w:sz w:val="28"/>
                <w:szCs w:val="28"/>
              </w:rPr>
              <w:t>магистр)</w:t>
            </w:r>
          </w:p>
        </w:tc>
      </w:tr>
      <w:tr w:rsidR="00B169DE" w:rsidRPr="00C000B2" w:rsidTr="00B169DE">
        <w:trPr>
          <w:cantSplit/>
          <w:trHeight w:val="276"/>
          <w:jc w:val="center"/>
        </w:trPr>
        <w:tc>
          <w:tcPr>
            <w:tcW w:w="5315" w:type="dxa"/>
            <w:shd w:val="clear" w:color="auto" w:fill="auto"/>
            <w:noWrap/>
          </w:tcPr>
          <w:p w:rsidR="00B169DE" w:rsidRPr="00C000B2" w:rsidRDefault="00B169DE" w:rsidP="00B169DE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Высшее образование (</w:t>
            </w:r>
            <w:r w:rsidRPr="00C000B2">
              <w:rPr>
                <w:sz w:val="28"/>
                <w:szCs w:val="28"/>
              </w:rPr>
              <w:t>специалист)</w:t>
            </w:r>
          </w:p>
        </w:tc>
      </w:tr>
      <w:tr w:rsidR="00B169DE" w:rsidRPr="00C000B2" w:rsidTr="00B169DE">
        <w:trPr>
          <w:cantSplit/>
          <w:trHeight w:val="276"/>
          <w:jc w:val="center"/>
        </w:trPr>
        <w:tc>
          <w:tcPr>
            <w:tcW w:w="5315" w:type="dxa"/>
            <w:shd w:val="clear" w:color="auto" w:fill="auto"/>
            <w:noWrap/>
          </w:tcPr>
          <w:p w:rsidR="00B169DE" w:rsidRPr="00C000B2" w:rsidRDefault="00B169DE" w:rsidP="00870F3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Кандидат наук</w:t>
            </w:r>
          </w:p>
        </w:tc>
      </w:tr>
      <w:tr w:rsidR="00B169DE" w:rsidRPr="00C000B2" w:rsidTr="00B169DE">
        <w:trPr>
          <w:cantSplit/>
          <w:trHeight w:val="276"/>
          <w:jc w:val="center"/>
        </w:trPr>
        <w:tc>
          <w:tcPr>
            <w:tcW w:w="5315" w:type="dxa"/>
            <w:shd w:val="clear" w:color="auto" w:fill="auto"/>
            <w:noWrap/>
          </w:tcPr>
          <w:p w:rsidR="00B169DE" w:rsidRPr="00C000B2" w:rsidRDefault="00B169DE" w:rsidP="00870F38">
            <w:pPr>
              <w:rPr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Доктор наук</w:t>
            </w:r>
          </w:p>
        </w:tc>
      </w:tr>
    </w:tbl>
    <w:p w:rsidR="00C96AA3" w:rsidRPr="00C000B2" w:rsidRDefault="00C96AA3" w:rsidP="00C96AA3">
      <w:pPr>
        <w:spacing w:line="360" w:lineRule="auto"/>
        <w:contextualSpacing/>
        <w:jc w:val="both"/>
        <w:rPr>
          <w:sz w:val="28"/>
          <w:szCs w:val="28"/>
          <w:lang w:eastAsia="ru-RU"/>
        </w:rPr>
      </w:pPr>
    </w:p>
    <w:p w:rsidR="00135B20" w:rsidRPr="00C000B2" w:rsidRDefault="00135B20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В графе </w:t>
      </w:r>
      <w:r w:rsidRPr="00C000B2">
        <w:rPr>
          <w:sz w:val="28"/>
          <w:szCs w:val="28"/>
          <w:lang w:eastAsia="ru-RU"/>
        </w:rPr>
        <w:t>4</w:t>
      </w:r>
      <w:r w:rsidRPr="00C000B2">
        <w:rPr>
          <w:sz w:val="28"/>
          <w:szCs w:val="28"/>
          <w:lang w:eastAsia="ru-RU"/>
        </w:rPr>
        <w:t xml:space="preserve"> Раздела 4 </w:t>
      </w:r>
      <w:r w:rsidRPr="00C000B2">
        <w:rPr>
          <w:sz w:val="28"/>
          <w:szCs w:val="28"/>
          <w:lang w:eastAsia="ru-RU"/>
        </w:rPr>
        <w:t>через точку с запятой (символ «;») указываю</w:t>
      </w:r>
      <w:r w:rsidRPr="00C000B2">
        <w:rPr>
          <w:sz w:val="28"/>
          <w:szCs w:val="28"/>
          <w:lang w:eastAsia="ru-RU"/>
        </w:rPr>
        <w:t xml:space="preserve">тся краткое наименование </w:t>
      </w:r>
      <w:r w:rsidRPr="00C000B2">
        <w:rPr>
          <w:sz w:val="28"/>
          <w:szCs w:val="28"/>
          <w:lang w:eastAsia="ru-RU"/>
        </w:rPr>
        <w:t xml:space="preserve">работодателя, занимаемая должность, период работы в </w:t>
      </w:r>
      <w:r w:rsidRPr="00C000B2">
        <w:rPr>
          <w:sz w:val="28"/>
          <w:szCs w:val="28"/>
          <w:lang w:eastAsia="ru-RU"/>
        </w:rPr>
        <w:t xml:space="preserve"> </w:t>
      </w:r>
      <w:r w:rsidRPr="00C000B2">
        <w:rPr>
          <w:sz w:val="28"/>
          <w:szCs w:val="28"/>
          <w:lang w:eastAsia="ru-RU"/>
        </w:rPr>
        <w:t>формате ММ</w:t>
      </w:r>
      <w:proofErr w:type="gramStart"/>
      <w:r w:rsidRPr="00C000B2">
        <w:rPr>
          <w:sz w:val="28"/>
          <w:szCs w:val="28"/>
          <w:lang w:eastAsia="ru-RU"/>
        </w:rPr>
        <w:t>.Г</w:t>
      </w:r>
      <w:proofErr w:type="gramEnd"/>
      <w:r w:rsidRPr="00C000B2">
        <w:rPr>
          <w:sz w:val="28"/>
          <w:szCs w:val="28"/>
          <w:lang w:eastAsia="ru-RU"/>
        </w:rPr>
        <w:t xml:space="preserve">ГГГ-ММ.ГГГГ в </w:t>
      </w:r>
      <w:r w:rsidRPr="00C000B2">
        <w:rPr>
          <w:sz w:val="28"/>
          <w:szCs w:val="28"/>
          <w:lang w:eastAsia="ru-RU"/>
        </w:rPr>
        <w:t>соответствии с официальными документами, зарегистрированными в установленном порядке.</w:t>
      </w:r>
    </w:p>
    <w:p w:rsidR="002722B9" w:rsidRPr="00C000B2" w:rsidRDefault="002722B9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граф</w:t>
      </w:r>
      <w:r w:rsidRPr="00C000B2">
        <w:rPr>
          <w:sz w:val="28"/>
          <w:szCs w:val="28"/>
          <w:lang w:eastAsia="ru-RU"/>
        </w:rPr>
        <w:t>е</w:t>
      </w:r>
      <w:r w:rsidRPr="00C000B2">
        <w:rPr>
          <w:sz w:val="28"/>
          <w:szCs w:val="28"/>
          <w:lang w:eastAsia="ru-RU"/>
        </w:rPr>
        <w:t xml:space="preserve"> «Наименование территориально-обособленного подразделения» Раздела </w:t>
      </w:r>
      <w:r w:rsidRPr="00C000B2">
        <w:rPr>
          <w:sz w:val="28"/>
          <w:szCs w:val="28"/>
          <w:lang w:eastAsia="ru-RU"/>
        </w:rPr>
        <w:t>5</w:t>
      </w:r>
      <w:r w:rsidRPr="00C000B2">
        <w:rPr>
          <w:sz w:val="28"/>
          <w:szCs w:val="28"/>
          <w:lang w:eastAsia="ru-RU"/>
        </w:rPr>
        <w:t xml:space="preserve"> указывается краткое наименование </w:t>
      </w:r>
      <w:r w:rsidRPr="00C000B2">
        <w:rPr>
          <w:sz w:val="28"/>
          <w:szCs w:val="28"/>
          <w:lang w:eastAsia="ru-RU"/>
        </w:rPr>
        <w:t xml:space="preserve">подразделения </w:t>
      </w:r>
      <w:r w:rsidRPr="00C000B2">
        <w:rPr>
          <w:sz w:val="28"/>
          <w:szCs w:val="28"/>
          <w:lang w:eastAsia="ru-RU"/>
        </w:rPr>
        <w:t>в соответствии с официальными документами, зарегистрированными в установленном порядке.</w:t>
      </w:r>
    </w:p>
    <w:p w:rsidR="002722B9" w:rsidRPr="00C000B2" w:rsidRDefault="002722B9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Графа «Местоположение (Субъект РФ)» Разделов </w:t>
      </w:r>
      <w:r w:rsidRPr="00C000B2">
        <w:rPr>
          <w:sz w:val="28"/>
          <w:szCs w:val="28"/>
          <w:lang w:eastAsia="ru-RU"/>
        </w:rPr>
        <w:t xml:space="preserve">5, </w:t>
      </w:r>
      <w:r w:rsidRPr="00C000B2">
        <w:rPr>
          <w:sz w:val="28"/>
          <w:szCs w:val="28"/>
          <w:lang w:eastAsia="ru-RU"/>
        </w:rPr>
        <w:t>8 и 9 заполняется в соответствии с «Конституцией Российской Федерации» (принята всенародным голосованием 12.12.1993) (с учетом поправок, внесенных Законами РФ о поправках к Конституции РФ от 30.12.2008 N 6-ФКЗ, от 30.12.2008 N 7-ФКЗ, от 05.02.2014 N 2-ФКЗ, от 21.07.2014 N 11-ФКЗ), № 65-ст.</w:t>
      </w:r>
    </w:p>
    <w:p w:rsidR="002722B9" w:rsidRPr="00C000B2" w:rsidRDefault="002722B9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Если </w:t>
      </w:r>
      <w:r w:rsidRPr="00C000B2">
        <w:rPr>
          <w:sz w:val="28"/>
          <w:szCs w:val="28"/>
          <w:lang w:eastAsia="ru-RU"/>
        </w:rPr>
        <w:t xml:space="preserve">подразделение является дочерним или зависимым обществом отчитывающегося Субъекта ТЭК, </w:t>
      </w:r>
      <w:r w:rsidRPr="00C000B2">
        <w:rPr>
          <w:sz w:val="28"/>
          <w:szCs w:val="28"/>
          <w:lang w:eastAsia="ru-RU"/>
        </w:rPr>
        <w:t>графа «Дочернее или зависимое общество (Да</w:t>
      </w:r>
      <w:proofErr w:type="gramStart"/>
      <w:r w:rsidRPr="00C000B2">
        <w:rPr>
          <w:sz w:val="28"/>
          <w:szCs w:val="28"/>
          <w:lang w:eastAsia="ru-RU"/>
        </w:rPr>
        <w:t>/Н</w:t>
      </w:r>
      <w:proofErr w:type="gramEnd"/>
      <w:r w:rsidRPr="00C000B2">
        <w:rPr>
          <w:sz w:val="28"/>
          <w:szCs w:val="28"/>
          <w:lang w:eastAsia="ru-RU"/>
        </w:rPr>
        <w:t xml:space="preserve">ет)»  Раздела </w:t>
      </w:r>
      <w:r w:rsidR="00C96AA3" w:rsidRPr="00C000B2">
        <w:rPr>
          <w:sz w:val="28"/>
          <w:szCs w:val="28"/>
          <w:lang w:eastAsia="ru-RU"/>
        </w:rPr>
        <w:t xml:space="preserve">5 </w:t>
      </w:r>
      <w:r w:rsidRPr="00C000B2">
        <w:rPr>
          <w:sz w:val="28"/>
          <w:szCs w:val="28"/>
          <w:lang w:eastAsia="ru-RU"/>
        </w:rPr>
        <w:t>заполняется показателем «Да», в противном случае – показателем «Нет».</w:t>
      </w:r>
    </w:p>
    <w:p w:rsidR="009C2636" w:rsidRPr="00C000B2" w:rsidRDefault="009C2636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Если подразделение </w:t>
      </w:r>
      <w:r w:rsidRPr="00C000B2">
        <w:rPr>
          <w:sz w:val="28"/>
          <w:szCs w:val="28"/>
          <w:lang w:eastAsia="ru-RU"/>
        </w:rPr>
        <w:t>имеет статус филиала</w:t>
      </w:r>
      <w:r w:rsidRPr="00C000B2">
        <w:rPr>
          <w:sz w:val="28"/>
          <w:szCs w:val="28"/>
          <w:lang w:eastAsia="ru-RU"/>
        </w:rPr>
        <w:t xml:space="preserve"> отчитывающегося Субъекта ТЭК, графа «Имеет статус филиала (Да</w:t>
      </w:r>
      <w:proofErr w:type="gramStart"/>
      <w:r w:rsidRPr="00C000B2">
        <w:rPr>
          <w:sz w:val="28"/>
          <w:szCs w:val="28"/>
          <w:lang w:eastAsia="ru-RU"/>
        </w:rPr>
        <w:t>/Н</w:t>
      </w:r>
      <w:proofErr w:type="gramEnd"/>
      <w:r w:rsidRPr="00C000B2">
        <w:rPr>
          <w:sz w:val="28"/>
          <w:szCs w:val="28"/>
          <w:lang w:eastAsia="ru-RU"/>
        </w:rPr>
        <w:t>ет)»  Раздела</w:t>
      </w:r>
      <w:r w:rsidR="00C96AA3" w:rsidRPr="00C000B2">
        <w:rPr>
          <w:sz w:val="28"/>
          <w:szCs w:val="28"/>
          <w:lang w:eastAsia="ru-RU"/>
        </w:rPr>
        <w:t xml:space="preserve"> 5</w:t>
      </w:r>
      <w:r w:rsidRPr="00C000B2">
        <w:rPr>
          <w:sz w:val="28"/>
          <w:szCs w:val="28"/>
          <w:lang w:eastAsia="ru-RU"/>
        </w:rPr>
        <w:t xml:space="preserve"> заполняется показателем «Да», в противном случае – показателем «Нет».</w:t>
      </w:r>
    </w:p>
    <w:p w:rsidR="009E52CC" w:rsidRPr="00C000B2" w:rsidRDefault="009E52CC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графе «Номер лицензии</w:t>
      </w:r>
      <w:r w:rsidRPr="00C000B2">
        <w:rPr>
          <w:sz w:val="28"/>
          <w:szCs w:val="28"/>
          <w:lang w:eastAsia="ru-RU"/>
        </w:rPr>
        <w:t>» Раздела 6</w:t>
      </w:r>
      <w:r w:rsidRPr="00C000B2">
        <w:rPr>
          <w:sz w:val="28"/>
          <w:szCs w:val="28"/>
          <w:lang w:eastAsia="ru-RU"/>
        </w:rPr>
        <w:t xml:space="preserve"> указываются серия и номер лицензии, дающей </w:t>
      </w:r>
      <w:proofErr w:type="spellStart"/>
      <w:r w:rsidRPr="00C000B2">
        <w:rPr>
          <w:sz w:val="28"/>
          <w:szCs w:val="28"/>
          <w:lang w:eastAsia="ru-RU"/>
        </w:rPr>
        <w:t>недропользователю</w:t>
      </w:r>
      <w:proofErr w:type="spellEnd"/>
      <w:r w:rsidRPr="00C000B2">
        <w:rPr>
          <w:sz w:val="28"/>
          <w:szCs w:val="28"/>
          <w:lang w:eastAsia="ru-RU"/>
        </w:rPr>
        <w:t xml:space="preserve"> право осуществлять </w:t>
      </w:r>
      <w:r w:rsidRPr="00C000B2">
        <w:rPr>
          <w:sz w:val="28"/>
          <w:szCs w:val="28"/>
          <w:lang w:eastAsia="ru-RU"/>
        </w:rPr>
        <w:t xml:space="preserve">некоторую </w:t>
      </w:r>
      <w:r w:rsidRPr="00C000B2">
        <w:rPr>
          <w:sz w:val="28"/>
          <w:szCs w:val="28"/>
          <w:lang w:eastAsia="ru-RU"/>
        </w:rPr>
        <w:lastRenderedPageBreak/>
        <w:t>деятельность, в соответствии с официальными документами, зарегистрированными в установленном порядке.</w:t>
      </w:r>
    </w:p>
    <w:p w:rsidR="009E52CC" w:rsidRPr="00C000B2" w:rsidRDefault="009E52CC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графе «</w:t>
      </w:r>
      <w:r w:rsidR="00420367" w:rsidRPr="00C000B2">
        <w:rPr>
          <w:sz w:val="28"/>
          <w:szCs w:val="28"/>
          <w:lang w:eastAsia="ru-RU"/>
        </w:rPr>
        <w:t>Д</w:t>
      </w:r>
      <w:r w:rsidRPr="00C000B2">
        <w:rPr>
          <w:sz w:val="28"/>
          <w:szCs w:val="28"/>
          <w:lang w:eastAsia="ru-RU"/>
        </w:rPr>
        <w:t>ата выдачи» Раздела 6</w:t>
      </w:r>
      <w:r w:rsidRPr="00C000B2">
        <w:rPr>
          <w:sz w:val="28"/>
          <w:szCs w:val="28"/>
          <w:lang w:eastAsia="ru-RU"/>
        </w:rPr>
        <w:t xml:space="preserve"> указывается </w:t>
      </w:r>
      <w:r w:rsidRPr="00C000B2">
        <w:rPr>
          <w:sz w:val="28"/>
          <w:szCs w:val="28"/>
          <w:lang w:eastAsia="ru-RU"/>
        </w:rPr>
        <w:t>дата выдачи</w:t>
      </w:r>
      <w:r w:rsidRPr="00C000B2">
        <w:rPr>
          <w:sz w:val="28"/>
          <w:szCs w:val="28"/>
          <w:lang w:eastAsia="ru-RU"/>
        </w:rPr>
        <w:t xml:space="preserve"> лицензии, дающей </w:t>
      </w:r>
      <w:proofErr w:type="spellStart"/>
      <w:r w:rsidRPr="00C000B2">
        <w:rPr>
          <w:sz w:val="28"/>
          <w:szCs w:val="28"/>
          <w:lang w:eastAsia="ru-RU"/>
        </w:rPr>
        <w:t>недропользователю</w:t>
      </w:r>
      <w:proofErr w:type="spellEnd"/>
      <w:r w:rsidRPr="00C000B2">
        <w:rPr>
          <w:sz w:val="28"/>
          <w:szCs w:val="28"/>
          <w:lang w:eastAsia="ru-RU"/>
        </w:rPr>
        <w:t xml:space="preserve"> право осуществлять некоторую деятельность, в формате ДД.ММ</w:t>
      </w:r>
      <w:proofErr w:type="gramStart"/>
      <w:r w:rsidRPr="00C000B2">
        <w:rPr>
          <w:sz w:val="28"/>
          <w:szCs w:val="28"/>
          <w:lang w:eastAsia="ru-RU"/>
        </w:rPr>
        <w:t>.Г</w:t>
      </w:r>
      <w:proofErr w:type="gramEnd"/>
      <w:r w:rsidRPr="00C000B2">
        <w:rPr>
          <w:sz w:val="28"/>
          <w:szCs w:val="28"/>
          <w:lang w:eastAsia="ru-RU"/>
        </w:rPr>
        <w:t>ГГГ в соответствии с официальными документами, зарегистрированными в установленном порядке.</w:t>
      </w:r>
    </w:p>
    <w:p w:rsidR="009E52CC" w:rsidRPr="00C000B2" w:rsidRDefault="009E52CC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графе «Срок действия</w:t>
      </w:r>
      <w:r w:rsidRPr="00C000B2">
        <w:rPr>
          <w:sz w:val="28"/>
          <w:szCs w:val="28"/>
          <w:lang w:eastAsia="ru-RU"/>
        </w:rPr>
        <w:t>» Раздела 6</w:t>
      </w:r>
      <w:r w:rsidRPr="00C000B2">
        <w:rPr>
          <w:sz w:val="28"/>
          <w:szCs w:val="28"/>
          <w:lang w:eastAsia="ru-RU"/>
        </w:rPr>
        <w:t xml:space="preserve"> указывается срок действия лицензии, дающей </w:t>
      </w:r>
      <w:proofErr w:type="spellStart"/>
      <w:r w:rsidRPr="00C000B2">
        <w:rPr>
          <w:sz w:val="28"/>
          <w:szCs w:val="28"/>
          <w:lang w:eastAsia="ru-RU"/>
        </w:rPr>
        <w:t>недропользователю</w:t>
      </w:r>
      <w:proofErr w:type="spellEnd"/>
      <w:r w:rsidRPr="00C000B2">
        <w:rPr>
          <w:sz w:val="28"/>
          <w:szCs w:val="28"/>
          <w:lang w:eastAsia="ru-RU"/>
        </w:rPr>
        <w:t xml:space="preserve"> право осуществлять некоторую деятельность, в формате ДД.ММ</w:t>
      </w:r>
      <w:proofErr w:type="gramStart"/>
      <w:r w:rsidRPr="00C000B2">
        <w:rPr>
          <w:sz w:val="28"/>
          <w:szCs w:val="28"/>
          <w:lang w:eastAsia="ru-RU"/>
        </w:rPr>
        <w:t>.Г</w:t>
      </w:r>
      <w:proofErr w:type="gramEnd"/>
      <w:r w:rsidRPr="00C000B2">
        <w:rPr>
          <w:sz w:val="28"/>
          <w:szCs w:val="28"/>
          <w:lang w:eastAsia="ru-RU"/>
        </w:rPr>
        <w:t>ГГГ в соответствии с официальными документами, зарегистрированными в установленном порядке.</w:t>
      </w:r>
    </w:p>
    <w:p w:rsidR="009E52CC" w:rsidRPr="00C000B2" w:rsidRDefault="009E52CC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графе «</w:t>
      </w:r>
      <w:r w:rsidR="00424CE3" w:rsidRPr="00C000B2">
        <w:rPr>
          <w:sz w:val="28"/>
          <w:szCs w:val="28"/>
          <w:lang w:eastAsia="ru-RU"/>
        </w:rPr>
        <w:t>Вид деятельности</w:t>
      </w:r>
      <w:r w:rsidRPr="00C000B2">
        <w:rPr>
          <w:sz w:val="28"/>
          <w:szCs w:val="28"/>
          <w:lang w:eastAsia="ru-RU"/>
        </w:rPr>
        <w:t xml:space="preserve">» Раздела 6 указывается </w:t>
      </w:r>
      <w:r w:rsidR="00424CE3" w:rsidRPr="00C000B2">
        <w:rPr>
          <w:sz w:val="28"/>
          <w:szCs w:val="28"/>
          <w:lang w:eastAsia="ru-RU"/>
        </w:rPr>
        <w:t xml:space="preserve">разрешенный лицензией вид деятельности </w:t>
      </w:r>
      <w:r w:rsidRPr="00C000B2">
        <w:rPr>
          <w:sz w:val="28"/>
          <w:szCs w:val="28"/>
          <w:lang w:eastAsia="ru-RU"/>
        </w:rPr>
        <w:t>в соответствии с официальными документами, зарегистрированными в установленном порядке.</w:t>
      </w:r>
      <w:r w:rsidR="00EC65BB" w:rsidRPr="00C000B2">
        <w:rPr>
          <w:sz w:val="28"/>
          <w:szCs w:val="28"/>
          <w:lang w:eastAsia="ru-RU"/>
        </w:rPr>
        <w:t xml:space="preserve"> </w:t>
      </w:r>
      <w:r w:rsidR="00EC65BB" w:rsidRPr="00C000B2">
        <w:rPr>
          <w:sz w:val="28"/>
          <w:szCs w:val="28"/>
          <w:lang w:eastAsia="ru-RU"/>
        </w:rPr>
        <w:t xml:space="preserve">Примеры </w:t>
      </w:r>
      <w:r w:rsidR="00EC65BB" w:rsidRPr="00C000B2">
        <w:rPr>
          <w:sz w:val="28"/>
          <w:szCs w:val="28"/>
          <w:lang w:eastAsia="ru-RU"/>
        </w:rPr>
        <w:t>видов деятельности</w:t>
      </w:r>
      <w:r w:rsidR="00EC65BB" w:rsidRPr="00C000B2">
        <w:rPr>
          <w:sz w:val="28"/>
          <w:szCs w:val="28"/>
          <w:lang w:eastAsia="ru-RU"/>
        </w:rPr>
        <w:t xml:space="preserve"> приведены в Таблице </w:t>
      </w:r>
      <w:r w:rsidR="006C0584" w:rsidRPr="00C000B2">
        <w:rPr>
          <w:sz w:val="28"/>
          <w:szCs w:val="28"/>
          <w:lang w:eastAsia="ru-RU"/>
        </w:rPr>
        <w:t>6</w:t>
      </w:r>
      <w:r w:rsidR="00EC65BB" w:rsidRPr="00C000B2">
        <w:rPr>
          <w:sz w:val="28"/>
          <w:szCs w:val="28"/>
          <w:lang w:eastAsia="ru-RU"/>
        </w:rPr>
        <w:t xml:space="preserve"> (перечень включает наименования отдельных </w:t>
      </w:r>
      <w:r w:rsidR="00EC65BB" w:rsidRPr="00C000B2">
        <w:rPr>
          <w:sz w:val="28"/>
          <w:szCs w:val="28"/>
          <w:lang w:eastAsia="ru-RU"/>
        </w:rPr>
        <w:t>видов деятельности</w:t>
      </w:r>
      <w:r w:rsidR="00EC65BB" w:rsidRPr="00C000B2">
        <w:rPr>
          <w:sz w:val="28"/>
          <w:szCs w:val="28"/>
          <w:lang w:eastAsia="ru-RU"/>
        </w:rPr>
        <w:t>, является не полным).</w:t>
      </w:r>
    </w:p>
    <w:p w:rsidR="00EC65BB" w:rsidRPr="00C000B2" w:rsidRDefault="00EC65BB" w:rsidP="00EC65BB">
      <w:pPr>
        <w:spacing w:line="360" w:lineRule="auto"/>
        <w:jc w:val="center"/>
        <w:rPr>
          <w:sz w:val="28"/>
          <w:szCs w:val="28"/>
        </w:rPr>
      </w:pPr>
      <w:r w:rsidRPr="00C000B2">
        <w:rPr>
          <w:sz w:val="28"/>
          <w:szCs w:val="28"/>
        </w:rPr>
        <w:t xml:space="preserve">Таблица </w:t>
      </w:r>
      <w:r w:rsidR="006C0584" w:rsidRPr="00C000B2">
        <w:rPr>
          <w:sz w:val="28"/>
          <w:szCs w:val="28"/>
        </w:rPr>
        <w:t>6</w:t>
      </w:r>
      <w:r w:rsidRPr="00C000B2">
        <w:rPr>
          <w:sz w:val="28"/>
          <w:szCs w:val="28"/>
        </w:rPr>
        <w:t xml:space="preserve">. Виды </w:t>
      </w:r>
      <w:r w:rsidRPr="00C000B2">
        <w:rPr>
          <w:sz w:val="28"/>
          <w:szCs w:val="28"/>
        </w:rPr>
        <w:t>деятельности (пример в части пользования недрами)</w:t>
      </w:r>
    </w:p>
    <w:tbl>
      <w:tblPr>
        <w:tblStyle w:val="1"/>
        <w:tblW w:w="6875" w:type="dxa"/>
        <w:jc w:val="center"/>
        <w:tblInd w:w="2662" w:type="dxa"/>
        <w:tblLook w:val="04A0" w:firstRow="1" w:lastRow="0" w:firstColumn="1" w:lastColumn="0" w:noHBand="0" w:noVBand="1"/>
      </w:tblPr>
      <w:tblGrid>
        <w:gridCol w:w="6875"/>
      </w:tblGrid>
      <w:tr w:rsidR="00EC65BB" w:rsidRPr="00C000B2" w:rsidTr="00EC65BB">
        <w:trPr>
          <w:trHeight w:val="300"/>
          <w:jc w:val="center"/>
        </w:trPr>
        <w:tc>
          <w:tcPr>
            <w:tcW w:w="6875" w:type="dxa"/>
            <w:hideMark/>
          </w:tcPr>
          <w:p w:rsidR="00EC65BB" w:rsidRPr="00C000B2" w:rsidRDefault="00EC65BB" w:rsidP="00870F3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C000B2">
              <w:rPr>
                <w:b/>
                <w:color w:val="000000"/>
                <w:sz w:val="28"/>
                <w:szCs w:val="28"/>
              </w:rPr>
              <w:t>Наименование направления</w:t>
            </w:r>
          </w:p>
        </w:tc>
      </w:tr>
      <w:tr w:rsidR="00EC65BB" w:rsidRPr="00C000B2" w:rsidTr="00EC65BB">
        <w:trPr>
          <w:trHeight w:val="300"/>
          <w:jc w:val="center"/>
        </w:trPr>
        <w:tc>
          <w:tcPr>
            <w:tcW w:w="6875" w:type="dxa"/>
            <w:hideMark/>
          </w:tcPr>
          <w:p w:rsidR="00EC65BB" w:rsidRPr="00C000B2" w:rsidRDefault="00EC65BB" w:rsidP="00870F38">
            <w:pPr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Геологическое изучение недр</w:t>
            </w:r>
          </w:p>
        </w:tc>
      </w:tr>
      <w:tr w:rsidR="00EC65BB" w:rsidRPr="00C000B2" w:rsidTr="00EC65BB">
        <w:trPr>
          <w:trHeight w:val="300"/>
          <w:jc w:val="center"/>
        </w:trPr>
        <w:tc>
          <w:tcPr>
            <w:tcW w:w="6875" w:type="dxa"/>
            <w:hideMark/>
          </w:tcPr>
          <w:p w:rsidR="00EC65BB" w:rsidRPr="00C000B2" w:rsidRDefault="00EC65BB" w:rsidP="00870F38">
            <w:pPr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Добыча полезных ископаемых</w:t>
            </w:r>
          </w:p>
        </w:tc>
      </w:tr>
      <w:tr w:rsidR="00EC65BB" w:rsidRPr="00C000B2" w:rsidTr="00EC65BB">
        <w:trPr>
          <w:trHeight w:val="300"/>
          <w:jc w:val="center"/>
        </w:trPr>
        <w:tc>
          <w:tcPr>
            <w:tcW w:w="6875" w:type="dxa"/>
            <w:hideMark/>
          </w:tcPr>
          <w:p w:rsidR="00EC65BB" w:rsidRPr="00C000B2" w:rsidRDefault="00EC65BB" w:rsidP="00870F38">
            <w:pPr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Строительство и эксплуатация подземных сооружений, не связанных с добычей полезных ископаемых</w:t>
            </w:r>
          </w:p>
        </w:tc>
      </w:tr>
      <w:tr w:rsidR="00EC65BB" w:rsidRPr="00C000B2" w:rsidTr="00EC65BB">
        <w:trPr>
          <w:trHeight w:val="300"/>
          <w:jc w:val="center"/>
        </w:trPr>
        <w:tc>
          <w:tcPr>
            <w:tcW w:w="6875" w:type="dxa"/>
          </w:tcPr>
          <w:p w:rsidR="00EC65BB" w:rsidRPr="00C000B2" w:rsidRDefault="00EC65BB" w:rsidP="00870F38">
            <w:pPr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Образование особо охраняемых объектов</w:t>
            </w:r>
          </w:p>
        </w:tc>
      </w:tr>
    </w:tbl>
    <w:p w:rsidR="00EC65BB" w:rsidRPr="00C000B2" w:rsidRDefault="00EC65BB" w:rsidP="00EC65BB">
      <w:pPr>
        <w:spacing w:line="360" w:lineRule="auto"/>
        <w:ind w:left="851"/>
        <w:contextualSpacing/>
        <w:jc w:val="both"/>
        <w:rPr>
          <w:sz w:val="28"/>
          <w:szCs w:val="28"/>
          <w:lang w:eastAsia="ru-RU"/>
        </w:rPr>
      </w:pPr>
    </w:p>
    <w:p w:rsidR="00424CE3" w:rsidRPr="00C000B2" w:rsidRDefault="00424CE3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графе «Выдавший офиц</w:t>
      </w:r>
      <w:r w:rsidRPr="00C000B2">
        <w:rPr>
          <w:sz w:val="28"/>
          <w:szCs w:val="28"/>
          <w:lang w:eastAsia="ru-RU"/>
        </w:rPr>
        <w:t>и</w:t>
      </w:r>
      <w:r w:rsidRPr="00C000B2">
        <w:rPr>
          <w:sz w:val="28"/>
          <w:szCs w:val="28"/>
          <w:lang w:eastAsia="ru-RU"/>
        </w:rPr>
        <w:t>альный орган» указываются краткое наименование организации в соответствии с официальными документами, зарегистрированными в установленном порядке, год и номер протокола.</w:t>
      </w:r>
    </w:p>
    <w:p w:rsidR="00FA06FC" w:rsidRPr="00C000B2" w:rsidRDefault="00FA06FC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строке 001 Раздела 7 указывается среднесписочная численность сотрудников отчитывающегося Субъекта ТЭК за последний календарный год. Единица измерения показателя – «Человек».</w:t>
      </w:r>
    </w:p>
    <w:p w:rsidR="00FA06FC" w:rsidRPr="00C000B2" w:rsidRDefault="00FA06FC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lastRenderedPageBreak/>
        <w:t>В строке 002 Раздела 7 указывается среднесписочная численность управленческого и административного персонала отчитывающегося Субъекта ТЭК за последний календарный год. Единица измерения показателя – «Человек».</w:t>
      </w:r>
    </w:p>
    <w:p w:rsidR="00FA06FC" w:rsidRPr="00C000B2" w:rsidRDefault="00FA06FC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строке 003 Раздела 7 указывается среднесписочная численность рабочего персонала отчитывающегося Субъекта ТЭК за последний календарный год. Единица измерения показателя – «Человек».</w:t>
      </w:r>
    </w:p>
    <w:p w:rsidR="00FA06FC" w:rsidRPr="00C000B2" w:rsidRDefault="00FA06FC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строке 004 Раздела 7 указывается доля сотрудников отчитывающегося Субъекта ТЭК (за последний календарный год), имеющих высшее профессиональное образование. Заполнение графы производится в процентах с точностью до 2 знаков после запятой.</w:t>
      </w:r>
    </w:p>
    <w:p w:rsidR="00FA06FC" w:rsidRPr="00C000B2" w:rsidRDefault="00FA06FC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В строке 005 Раздела 7 указывается фонд оплаты труда отчитывающегося Субъекта ТЭК в последнем календарном году. Заполнение графы производится в </w:t>
      </w:r>
      <w:proofErr w:type="gramStart"/>
      <w:r w:rsidRPr="00C000B2">
        <w:rPr>
          <w:sz w:val="28"/>
          <w:szCs w:val="28"/>
          <w:lang w:eastAsia="ru-RU"/>
        </w:rPr>
        <w:t>тысячах рублей</w:t>
      </w:r>
      <w:proofErr w:type="gramEnd"/>
      <w:r w:rsidRPr="00C000B2">
        <w:rPr>
          <w:sz w:val="28"/>
          <w:szCs w:val="28"/>
          <w:lang w:eastAsia="ru-RU"/>
        </w:rPr>
        <w:t xml:space="preserve"> с точностью до 3 знаков после запятой.</w:t>
      </w:r>
    </w:p>
    <w:p w:rsidR="00067E75" w:rsidRPr="00C000B2" w:rsidRDefault="00067E75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строке 006</w:t>
      </w:r>
      <w:r w:rsidRPr="00C000B2">
        <w:rPr>
          <w:sz w:val="28"/>
          <w:szCs w:val="28"/>
          <w:lang w:eastAsia="ru-RU"/>
        </w:rPr>
        <w:t xml:space="preserve"> Раздела 7 указывается </w:t>
      </w:r>
      <w:r w:rsidRPr="00C000B2">
        <w:rPr>
          <w:sz w:val="28"/>
          <w:szCs w:val="28"/>
          <w:lang w:eastAsia="ru-RU"/>
        </w:rPr>
        <w:t>о</w:t>
      </w:r>
      <w:r w:rsidRPr="00C000B2">
        <w:rPr>
          <w:sz w:val="28"/>
          <w:szCs w:val="28"/>
          <w:lang w:eastAsia="ru-RU"/>
        </w:rPr>
        <w:t>бъем денежных средств, направленных отчитывающ</w:t>
      </w:r>
      <w:r w:rsidRPr="00C000B2">
        <w:rPr>
          <w:sz w:val="28"/>
          <w:szCs w:val="28"/>
          <w:lang w:eastAsia="ru-RU"/>
        </w:rPr>
        <w:t>им</w:t>
      </w:r>
      <w:r w:rsidRPr="00C000B2">
        <w:rPr>
          <w:sz w:val="28"/>
          <w:szCs w:val="28"/>
          <w:lang w:eastAsia="ru-RU"/>
        </w:rPr>
        <w:t>ся Субъект</w:t>
      </w:r>
      <w:r w:rsidRPr="00C000B2">
        <w:rPr>
          <w:sz w:val="28"/>
          <w:szCs w:val="28"/>
          <w:lang w:eastAsia="ru-RU"/>
        </w:rPr>
        <w:t>ом</w:t>
      </w:r>
      <w:r w:rsidRPr="00C000B2">
        <w:rPr>
          <w:sz w:val="28"/>
          <w:szCs w:val="28"/>
          <w:lang w:eastAsia="ru-RU"/>
        </w:rPr>
        <w:t xml:space="preserve"> ТЭК на социальное обеспечение</w:t>
      </w:r>
      <w:r w:rsidRPr="00C000B2">
        <w:rPr>
          <w:sz w:val="28"/>
          <w:szCs w:val="28"/>
          <w:lang w:eastAsia="ru-RU"/>
        </w:rPr>
        <w:t xml:space="preserve"> </w:t>
      </w:r>
      <w:r w:rsidRPr="00C000B2">
        <w:rPr>
          <w:sz w:val="28"/>
          <w:szCs w:val="28"/>
          <w:lang w:eastAsia="ru-RU"/>
        </w:rPr>
        <w:t xml:space="preserve">в последнем календарном году. Заполнение графы производится в </w:t>
      </w:r>
      <w:proofErr w:type="gramStart"/>
      <w:r w:rsidRPr="00C000B2">
        <w:rPr>
          <w:sz w:val="28"/>
          <w:szCs w:val="28"/>
          <w:lang w:eastAsia="ru-RU"/>
        </w:rPr>
        <w:t>тысячах рублей</w:t>
      </w:r>
      <w:proofErr w:type="gramEnd"/>
      <w:r w:rsidRPr="00C000B2">
        <w:rPr>
          <w:sz w:val="28"/>
          <w:szCs w:val="28"/>
          <w:lang w:eastAsia="ru-RU"/>
        </w:rPr>
        <w:t xml:space="preserve"> с точностью до 3 знаков после запятой.</w:t>
      </w:r>
    </w:p>
    <w:p w:rsidR="0084039D" w:rsidRPr="00C000B2" w:rsidRDefault="0084039D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графе  «Категория объекта производственной деятельности» Разделов 8 и 9 приводятся наименования категорий производственных объектов, находящихся на балансе предприятия в конце отчетного периода. Примеры наименований груп</w:t>
      </w:r>
      <w:r w:rsidR="00EC65BB" w:rsidRPr="00C000B2">
        <w:rPr>
          <w:sz w:val="28"/>
          <w:szCs w:val="28"/>
          <w:lang w:eastAsia="ru-RU"/>
        </w:rPr>
        <w:t xml:space="preserve">п объектов приведены в Таблице </w:t>
      </w:r>
      <w:r w:rsidR="006C0584" w:rsidRPr="00C000B2">
        <w:rPr>
          <w:sz w:val="28"/>
          <w:szCs w:val="28"/>
          <w:lang w:eastAsia="ru-RU"/>
        </w:rPr>
        <w:t>7</w:t>
      </w:r>
      <w:r w:rsidRPr="00C000B2">
        <w:rPr>
          <w:sz w:val="28"/>
          <w:szCs w:val="28"/>
          <w:lang w:eastAsia="ru-RU"/>
        </w:rPr>
        <w:t xml:space="preserve"> (перечень включает наименования отдельных групп объектов, является не полным).</w:t>
      </w:r>
    </w:p>
    <w:p w:rsidR="00700D70" w:rsidRPr="00C000B2" w:rsidRDefault="00700D70" w:rsidP="00700D70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Таблица</w:t>
      </w:r>
      <w:r w:rsidR="006C0584" w:rsidRPr="00C000B2">
        <w:rPr>
          <w:sz w:val="28"/>
          <w:szCs w:val="28"/>
          <w:lang w:eastAsia="ru-RU"/>
        </w:rPr>
        <w:t xml:space="preserve"> 7</w:t>
      </w:r>
      <w:r w:rsidRPr="00C000B2">
        <w:rPr>
          <w:sz w:val="28"/>
          <w:szCs w:val="28"/>
          <w:lang w:eastAsia="ru-RU"/>
        </w:rPr>
        <w:t>. Категория объекта производственной деятельности</w:t>
      </w:r>
    </w:p>
    <w:tbl>
      <w:tblPr>
        <w:tblW w:w="5153" w:type="pct"/>
        <w:tblLayout w:type="fixed"/>
        <w:tblLook w:val="04A0" w:firstRow="1" w:lastRow="0" w:firstColumn="1" w:lastColumn="0" w:noHBand="0" w:noVBand="1"/>
      </w:tblPr>
      <w:tblGrid>
        <w:gridCol w:w="4786"/>
        <w:gridCol w:w="2977"/>
        <w:gridCol w:w="2977"/>
      </w:tblGrid>
      <w:tr w:rsidR="00441850" w:rsidRPr="00C000B2" w:rsidTr="00DE6288">
        <w:trPr>
          <w:trHeight w:val="1124"/>
          <w:tblHeader/>
        </w:trPr>
        <w:tc>
          <w:tcPr>
            <w:tcW w:w="2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jc w:val="center"/>
              <w:rPr>
                <w:b/>
                <w:color w:val="000000"/>
                <w:sz w:val="28"/>
                <w:szCs w:val="28"/>
              </w:rPr>
            </w:pPr>
            <w:r w:rsidRPr="00C000B2">
              <w:rPr>
                <w:b/>
                <w:color w:val="000000"/>
                <w:sz w:val="28"/>
                <w:szCs w:val="28"/>
              </w:rPr>
              <w:t>Группы производственных объектов</w:t>
            </w:r>
          </w:p>
        </w:tc>
        <w:tc>
          <w:tcPr>
            <w:tcW w:w="1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jc w:val="center"/>
              <w:rPr>
                <w:b/>
                <w:color w:val="000000"/>
                <w:sz w:val="28"/>
                <w:szCs w:val="28"/>
              </w:rPr>
            </w:pPr>
            <w:r w:rsidRPr="00C000B2">
              <w:rPr>
                <w:b/>
                <w:color w:val="000000"/>
                <w:sz w:val="28"/>
                <w:szCs w:val="28"/>
              </w:rPr>
              <w:t xml:space="preserve">Единицы измерения, </w:t>
            </w:r>
            <w:proofErr w:type="gramStart"/>
            <w:r w:rsidRPr="00C000B2">
              <w:rPr>
                <w:b/>
                <w:color w:val="000000"/>
                <w:sz w:val="28"/>
                <w:szCs w:val="28"/>
              </w:rPr>
              <w:t>характеризующая</w:t>
            </w:r>
            <w:proofErr w:type="gramEnd"/>
            <w:r w:rsidRPr="00C000B2">
              <w:rPr>
                <w:b/>
                <w:color w:val="000000"/>
                <w:sz w:val="28"/>
                <w:szCs w:val="28"/>
              </w:rPr>
              <w:t xml:space="preserve"> функционал объекта </w:t>
            </w:r>
          </w:p>
        </w:tc>
        <w:tc>
          <w:tcPr>
            <w:tcW w:w="1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jc w:val="center"/>
              <w:rPr>
                <w:b/>
                <w:color w:val="000000"/>
                <w:sz w:val="28"/>
                <w:szCs w:val="28"/>
              </w:rPr>
            </w:pPr>
            <w:r w:rsidRPr="00C000B2">
              <w:rPr>
                <w:b/>
                <w:color w:val="000000"/>
                <w:sz w:val="28"/>
                <w:szCs w:val="28"/>
              </w:rPr>
              <w:t>Функциональная характеристика</w:t>
            </w:r>
          </w:p>
        </w:tc>
      </w:tr>
      <w:tr w:rsidR="00441850" w:rsidRPr="00C000B2" w:rsidTr="00DE6288">
        <w:trPr>
          <w:trHeight w:val="300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Нефтяные скважины на суше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тонн в сутки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Проектный дебит</w:t>
            </w:r>
          </w:p>
        </w:tc>
      </w:tr>
      <w:tr w:rsidR="00441850" w:rsidRPr="00C000B2" w:rsidTr="00DE6288">
        <w:trPr>
          <w:trHeight w:val="300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Нефтяные скважины на шельфе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тонн в сутки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Проектный дебит</w:t>
            </w:r>
          </w:p>
        </w:tc>
      </w:tr>
      <w:tr w:rsidR="00441850" w:rsidRPr="00C000B2" w:rsidTr="00DE6288">
        <w:trPr>
          <w:trHeight w:val="300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Газовые скважины на суше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куб. м в сутки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Проектный дебит</w:t>
            </w:r>
          </w:p>
        </w:tc>
      </w:tr>
      <w:tr w:rsidR="00441850" w:rsidRPr="00C000B2" w:rsidTr="00DE6288">
        <w:trPr>
          <w:trHeight w:val="300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Газовые скважины на шельфе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куб. м в сутки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Проектный дебит</w:t>
            </w:r>
          </w:p>
        </w:tc>
      </w:tr>
      <w:tr w:rsidR="00441850" w:rsidRPr="00C000B2" w:rsidTr="00DE6288">
        <w:trPr>
          <w:trHeight w:val="300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Морские стационарные платформы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300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lastRenderedPageBreak/>
              <w:t>Плавучие буровые установки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>/ст. – мес.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Коммерческая скорость бурения</w:t>
            </w:r>
          </w:p>
        </w:tc>
      </w:tr>
      <w:tr w:rsidR="00441850" w:rsidRPr="00C000B2" w:rsidTr="00DE6288">
        <w:trPr>
          <w:trHeight w:val="300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Плавучие хранилища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куб. м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Вместимость</w:t>
            </w:r>
          </w:p>
        </w:tc>
      </w:tr>
      <w:tr w:rsidR="00441850" w:rsidRPr="00C000B2" w:rsidTr="00DE6288">
        <w:trPr>
          <w:trHeight w:val="300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Танкеры для транспорта нефти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куб. м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Вместимость</w:t>
            </w:r>
          </w:p>
        </w:tc>
      </w:tr>
      <w:tr w:rsidR="00441850" w:rsidRPr="00C000B2" w:rsidTr="00DE6288">
        <w:trPr>
          <w:trHeight w:val="300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Танкеры-</w:t>
            </w:r>
            <w:proofErr w:type="spellStart"/>
            <w:r w:rsidRPr="00C000B2">
              <w:rPr>
                <w:color w:val="000000"/>
                <w:sz w:val="28"/>
                <w:szCs w:val="28"/>
              </w:rPr>
              <w:t>газовозы</w:t>
            </w:r>
            <w:proofErr w:type="spellEnd"/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куб. м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Вместимость</w:t>
            </w:r>
          </w:p>
        </w:tc>
      </w:tr>
      <w:tr w:rsidR="00441850" w:rsidRPr="00C000B2" w:rsidTr="00DE6288">
        <w:trPr>
          <w:trHeight w:val="300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Сухопутные буровые установки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>/ст. – мес.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Коммерческая скорость бурения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Дожимные насосные станции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куб. м в сутки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Кустовые насосные станции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куб. м в сутки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Насосные станции перекачки нефти и газового конденсата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куб. м в сутки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Компрессорные станции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куб. м в сутки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 xml:space="preserve">Резервуары, в </w:t>
            </w:r>
            <w:proofErr w:type="spellStart"/>
            <w:r w:rsidRPr="00C000B2">
              <w:rPr>
                <w:color w:val="000000"/>
                <w:sz w:val="28"/>
                <w:szCs w:val="28"/>
              </w:rPr>
              <w:t>т.ч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>.: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куб. м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Вместимость</w:t>
            </w:r>
          </w:p>
        </w:tc>
      </w:tr>
      <w:tr w:rsidR="00441850" w:rsidRPr="00C000B2" w:rsidTr="00DE6288">
        <w:trPr>
          <w:trHeight w:val="20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нефтяные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куб. м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Вместимость</w:t>
            </w:r>
          </w:p>
        </w:tc>
      </w:tr>
      <w:tr w:rsidR="00441850" w:rsidRPr="00C000B2" w:rsidTr="00DE6288">
        <w:trPr>
          <w:trHeight w:val="20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газового конденсата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куб. м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Вместимость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прочих жидких и сжиженных углеводородов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куб. м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Вместимость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водяные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куб. м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Вместимость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 xml:space="preserve">Установки подготовки/сепарации/ стабилизации углеводородов, в </w:t>
            </w:r>
            <w:proofErr w:type="spellStart"/>
            <w:r w:rsidRPr="00C000B2">
              <w:rPr>
                <w:color w:val="000000"/>
                <w:sz w:val="28"/>
                <w:szCs w:val="28"/>
              </w:rPr>
              <w:t>т.ч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>.: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нефти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sz w:val="28"/>
                <w:szCs w:val="28"/>
              </w:rPr>
              <w:t>млн</w:t>
            </w:r>
            <w:proofErr w:type="gramEnd"/>
            <w:r w:rsidRPr="00C000B2">
              <w:rPr>
                <w:sz w:val="28"/>
                <w:szCs w:val="28"/>
              </w:rPr>
              <w:t xml:space="preserve">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газового конденсата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sz w:val="28"/>
                <w:szCs w:val="28"/>
              </w:rPr>
              <w:t>млн</w:t>
            </w:r>
            <w:proofErr w:type="gramEnd"/>
            <w:r w:rsidRPr="00C000B2">
              <w:rPr>
                <w:sz w:val="28"/>
                <w:szCs w:val="28"/>
              </w:rPr>
              <w:t xml:space="preserve">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природного газа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куб. м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попутного газа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куб. м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 xml:space="preserve">Установки/Заводы переработки (конверсии) углеводородов, в </w:t>
            </w:r>
            <w:proofErr w:type="spellStart"/>
            <w:r w:rsidRPr="00C000B2">
              <w:rPr>
                <w:color w:val="000000"/>
                <w:sz w:val="28"/>
                <w:szCs w:val="28"/>
              </w:rPr>
              <w:t>т.ч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>.: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нефти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sz w:val="28"/>
                <w:szCs w:val="28"/>
              </w:rPr>
              <w:t>млн</w:t>
            </w:r>
            <w:proofErr w:type="gramEnd"/>
            <w:r w:rsidRPr="00C000B2">
              <w:rPr>
                <w:sz w:val="28"/>
                <w:szCs w:val="28"/>
              </w:rPr>
              <w:t xml:space="preserve">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газового конденсата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sz w:val="28"/>
                <w:szCs w:val="28"/>
              </w:rPr>
              <w:t>млн</w:t>
            </w:r>
            <w:proofErr w:type="gramEnd"/>
            <w:r w:rsidRPr="00C000B2">
              <w:rPr>
                <w:sz w:val="28"/>
                <w:szCs w:val="28"/>
              </w:rPr>
              <w:t xml:space="preserve">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природного газа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куб. м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попутного газа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куб. м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 xml:space="preserve">Установки/Заводы производства продуктов переработки, сжижения и сепарации, в </w:t>
            </w:r>
            <w:proofErr w:type="spellStart"/>
            <w:r w:rsidRPr="00C000B2">
              <w:rPr>
                <w:color w:val="000000"/>
                <w:sz w:val="28"/>
                <w:szCs w:val="28"/>
              </w:rPr>
              <w:t>т.ч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>.: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моторного топлива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сжиженный природный газ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широкая фракция лёгких углеводородов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сжиженные углеводородные газы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стабильный газовый бензин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 xml:space="preserve">Объекты внешней сдачи/отгрузки/перевалки, в </w:t>
            </w:r>
            <w:proofErr w:type="spellStart"/>
            <w:r w:rsidRPr="00C000B2">
              <w:rPr>
                <w:color w:val="000000"/>
                <w:sz w:val="28"/>
                <w:szCs w:val="28"/>
              </w:rPr>
              <w:t>т.ч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>.: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трубопроводного транспорта нефти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lastRenderedPageBreak/>
              <w:t>железнодорожного транспорта нефти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автомобильного транспорта нефти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внутреннего водного транспорта нефти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морского транспорта нефти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трубопроводного транспорта газового конденсата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железнодорожного транспорта газового конденсата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автомобильного транспорта газового конденсата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трубопроводного транспорта природного газа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куб. м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трубопроводного транспорта попутного газа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куб. м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морского транспорта СПГ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автомобильного транспорта СПГ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трубопроводного транспорта природного газа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куб. м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26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трубопроводного транспорта прочих углеводородов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Электростанции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кВт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Мощность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Трансформаторные подстанции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кВт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Мощность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Линии электропередачи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кВт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Мощность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 xml:space="preserve">Морские трубопроводы, в </w:t>
            </w:r>
            <w:proofErr w:type="spellStart"/>
            <w:r w:rsidRPr="00C000B2">
              <w:rPr>
                <w:color w:val="000000"/>
                <w:sz w:val="28"/>
                <w:szCs w:val="28"/>
              </w:rPr>
              <w:t>т.ч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>.: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 w:firstLineChars="235" w:firstLine="658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нефтесборные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 w:firstLineChars="235" w:firstLine="658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газосборные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куб. м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 w:firstLineChars="235" w:firstLine="658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нефти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 w:firstLineChars="235" w:firstLine="658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газа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куб. м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 xml:space="preserve">Трубопроводы на суше (включая переходы через реки), в </w:t>
            </w:r>
            <w:proofErr w:type="spellStart"/>
            <w:r w:rsidRPr="00C000B2">
              <w:rPr>
                <w:color w:val="000000"/>
                <w:sz w:val="28"/>
                <w:szCs w:val="28"/>
              </w:rPr>
              <w:t>т.ч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>.: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 w:firstLineChars="235" w:firstLine="658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нефтесборные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 w:firstLineChars="235" w:firstLine="658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газосборные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куб. м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 w:firstLineChars="235" w:firstLine="658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для нефти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 w:firstLineChars="235" w:firstLine="658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для газового конденсата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 w:firstLineChars="235" w:firstLine="658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для газа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proofErr w:type="gramStart"/>
            <w:r w:rsidRPr="00C000B2">
              <w:rPr>
                <w:color w:val="000000"/>
                <w:sz w:val="28"/>
                <w:szCs w:val="28"/>
              </w:rPr>
              <w:t>млн</w:t>
            </w:r>
            <w:proofErr w:type="gramEnd"/>
            <w:r w:rsidRPr="00C000B2">
              <w:rPr>
                <w:color w:val="000000"/>
                <w:sz w:val="28"/>
                <w:szCs w:val="28"/>
              </w:rPr>
              <w:t xml:space="preserve"> куб. м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 w:firstLineChars="235" w:firstLine="658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для ШФЛУ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 w:firstLineChars="235" w:firstLine="658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для прочих жидких и СУГ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тонн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441850" w:rsidRPr="00C000B2" w:rsidTr="00DE6288">
        <w:trPr>
          <w:trHeight w:val="288"/>
        </w:trPr>
        <w:tc>
          <w:tcPr>
            <w:tcW w:w="2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firstLineChars="7" w:firstLine="20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lastRenderedPageBreak/>
              <w:t>Водоводы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тыс. куб. м в год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850" w:rsidRPr="00C000B2" w:rsidRDefault="00441850" w:rsidP="00DE6288">
            <w:pPr>
              <w:ind w:left="49"/>
              <w:rPr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Производительность</w:t>
            </w:r>
          </w:p>
        </w:tc>
      </w:tr>
    </w:tbl>
    <w:p w:rsidR="00441850" w:rsidRPr="00C000B2" w:rsidRDefault="00441850" w:rsidP="00700D70">
      <w:pPr>
        <w:spacing w:line="360" w:lineRule="auto"/>
        <w:ind w:left="851"/>
        <w:contextualSpacing/>
        <w:jc w:val="both"/>
        <w:rPr>
          <w:sz w:val="28"/>
          <w:szCs w:val="28"/>
          <w:lang w:eastAsia="ru-RU"/>
        </w:rPr>
      </w:pPr>
    </w:p>
    <w:p w:rsidR="00700D70" w:rsidRPr="00C000B2" w:rsidRDefault="00700D70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графе 1 Раздела 8 указывается количество объектов производственной деятельности. Заполнение графы производится в штуках с точностью до 0 знака после запятой.</w:t>
      </w:r>
    </w:p>
    <w:p w:rsidR="00700D70" w:rsidRPr="00C000B2" w:rsidRDefault="00700D70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графе «Наименование объекта» Раздела 9 указывается краткое наименование объекта производственной деятельности в соответствии с официальными документами, зарегистрированными в установленном порядке.</w:t>
      </w:r>
    </w:p>
    <w:p w:rsidR="00700D70" w:rsidRPr="00C000B2" w:rsidRDefault="00700D70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Графа «Вид углеводородного сырья» Раздела 9 заполняется в соответствии с Общероссийским классификатором продукции по видам экономической деятельности </w:t>
      </w:r>
      <w:proofErr w:type="gramStart"/>
      <w:r w:rsidRPr="00C000B2">
        <w:rPr>
          <w:sz w:val="28"/>
          <w:szCs w:val="28"/>
          <w:lang w:eastAsia="ru-RU"/>
        </w:rPr>
        <w:t>ОК</w:t>
      </w:r>
      <w:proofErr w:type="gramEnd"/>
      <w:r w:rsidRPr="00C000B2">
        <w:rPr>
          <w:sz w:val="28"/>
          <w:szCs w:val="28"/>
          <w:lang w:eastAsia="ru-RU"/>
        </w:rPr>
        <w:t xml:space="preserve"> 034-2014 (КПЕС 2008, Утвержден Приказом </w:t>
      </w:r>
      <w:proofErr w:type="spellStart"/>
      <w:r w:rsidRPr="00C000B2">
        <w:rPr>
          <w:sz w:val="28"/>
          <w:szCs w:val="28"/>
          <w:lang w:eastAsia="ru-RU"/>
        </w:rPr>
        <w:t>Росстандарта</w:t>
      </w:r>
      <w:proofErr w:type="spellEnd"/>
      <w:r w:rsidRPr="00C000B2">
        <w:rPr>
          <w:sz w:val="28"/>
          <w:szCs w:val="28"/>
          <w:lang w:eastAsia="ru-RU"/>
        </w:rPr>
        <w:t xml:space="preserve"> от 31.01.2014 N 14-ст):</w:t>
      </w:r>
    </w:p>
    <w:p w:rsidR="00DE6288" w:rsidRPr="00C000B2" w:rsidRDefault="00DE6288" w:rsidP="00DE6288">
      <w:pPr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Таблица </w:t>
      </w:r>
      <w:r w:rsidR="006C0584" w:rsidRPr="00C000B2">
        <w:rPr>
          <w:sz w:val="28"/>
          <w:szCs w:val="28"/>
          <w:lang w:eastAsia="ru-RU"/>
        </w:rPr>
        <w:t>8</w:t>
      </w:r>
      <w:r w:rsidRPr="00C000B2">
        <w:rPr>
          <w:sz w:val="28"/>
          <w:szCs w:val="28"/>
          <w:lang w:eastAsia="ru-RU"/>
        </w:rPr>
        <w:t>. Виды углеводородного сырья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856"/>
        <w:gridCol w:w="6155"/>
      </w:tblGrid>
      <w:tr w:rsidR="00DE6288" w:rsidRPr="00C000B2" w:rsidTr="001B69AA">
        <w:trPr>
          <w:trHeight w:val="300"/>
          <w:tblHeader/>
        </w:trPr>
        <w:tc>
          <w:tcPr>
            <w:tcW w:w="11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6288" w:rsidRPr="00C000B2" w:rsidRDefault="00DE6288" w:rsidP="00DE6288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000B2">
              <w:rPr>
                <w:b/>
                <w:bCs/>
                <w:sz w:val="28"/>
                <w:szCs w:val="28"/>
              </w:rPr>
              <w:t>Код по ОКПД</w:t>
            </w:r>
            <w:proofErr w:type="gramStart"/>
            <w:r w:rsidRPr="00C000B2">
              <w:rPr>
                <w:b/>
                <w:bCs/>
                <w:sz w:val="28"/>
                <w:szCs w:val="28"/>
              </w:rPr>
              <w:t>2</w:t>
            </w:r>
            <w:proofErr w:type="gramEnd"/>
          </w:p>
        </w:tc>
        <w:tc>
          <w:tcPr>
            <w:tcW w:w="8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6288" w:rsidRPr="00C000B2" w:rsidRDefault="00DE6288" w:rsidP="00DE6288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000B2">
              <w:rPr>
                <w:b/>
                <w:bCs/>
                <w:sz w:val="28"/>
                <w:szCs w:val="28"/>
              </w:rPr>
              <w:t>Детализация</w:t>
            </w:r>
          </w:p>
        </w:tc>
        <w:tc>
          <w:tcPr>
            <w:tcW w:w="29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6288" w:rsidRPr="00C000B2" w:rsidRDefault="00DE6288" w:rsidP="00DE6288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000B2">
              <w:rPr>
                <w:b/>
                <w:bCs/>
                <w:sz w:val="28"/>
                <w:szCs w:val="28"/>
              </w:rPr>
              <w:t>Пример</w:t>
            </w:r>
          </w:p>
        </w:tc>
      </w:tr>
      <w:tr w:rsidR="00DE6288" w:rsidRPr="00C000B2" w:rsidTr="00DE6288">
        <w:trPr>
          <w:trHeight w:val="240"/>
        </w:trPr>
        <w:tc>
          <w:tcPr>
            <w:tcW w:w="11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6288" w:rsidRPr="00C000B2" w:rsidRDefault="00DE6288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06.10.10.100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6288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Н</w:t>
            </w:r>
            <w:r w:rsidR="00DE6288" w:rsidRPr="00C000B2">
              <w:rPr>
                <w:color w:val="000000"/>
                <w:sz w:val="28"/>
                <w:szCs w:val="28"/>
              </w:rPr>
              <w:t>а 0 уровней</w:t>
            </w:r>
          </w:p>
        </w:tc>
        <w:tc>
          <w:tcPr>
            <w:tcW w:w="2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6288" w:rsidRPr="00C000B2" w:rsidRDefault="00DE6288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Нефть сырая</w:t>
            </w:r>
          </w:p>
        </w:tc>
      </w:tr>
      <w:tr w:rsidR="001B69AA" w:rsidRPr="00C000B2" w:rsidTr="00DE6288">
        <w:trPr>
          <w:trHeight w:val="240"/>
        </w:trPr>
        <w:tc>
          <w:tcPr>
            <w:tcW w:w="11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06.10.10.200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870F3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На 0 уровней</w:t>
            </w:r>
          </w:p>
        </w:tc>
        <w:tc>
          <w:tcPr>
            <w:tcW w:w="2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 xml:space="preserve">Нефть товарная обезвоженная, обессоленная и стабилизированная </w:t>
            </w:r>
          </w:p>
        </w:tc>
      </w:tr>
      <w:tr w:rsidR="001B69AA" w:rsidRPr="00C000B2" w:rsidTr="00DE6288">
        <w:trPr>
          <w:trHeight w:val="240"/>
        </w:trPr>
        <w:tc>
          <w:tcPr>
            <w:tcW w:w="11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06.10.10.410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870F3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На 0 уровней</w:t>
            </w:r>
          </w:p>
        </w:tc>
        <w:tc>
          <w:tcPr>
            <w:tcW w:w="2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 xml:space="preserve">Конденсат газовый нестабильный </w:t>
            </w:r>
          </w:p>
        </w:tc>
      </w:tr>
      <w:tr w:rsidR="00DE6288" w:rsidRPr="00C000B2" w:rsidTr="00DE6288">
        <w:trPr>
          <w:trHeight w:val="240"/>
        </w:trPr>
        <w:tc>
          <w:tcPr>
            <w:tcW w:w="11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6288" w:rsidRPr="00C000B2" w:rsidRDefault="00DE6288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20.14.11 - 20.14.12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6288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</w:t>
            </w:r>
            <w:r w:rsidR="00DE6288" w:rsidRPr="00C000B2">
              <w:rPr>
                <w:color w:val="000000"/>
                <w:sz w:val="28"/>
                <w:szCs w:val="28"/>
              </w:rPr>
              <w:t>о нижнего уровня</w:t>
            </w:r>
          </w:p>
        </w:tc>
        <w:tc>
          <w:tcPr>
            <w:tcW w:w="2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6288" w:rsidRPr="00C000B2" w:rsidRDefault="00DE6288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proofErr w:type="spellStart"/>
            <w:r w:rsidRPr="00C000B2">
              <w:rPr>
                <w:color w:val="000000"/>
                <w:sz w:val="28"/>
                <w:szCs w:val="28"/>
              </w:rPr>
              <w:t>Цикланы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C000B2">
              <w:rPr>
                <w:color w:val="000000"/>
                <w:sz w:val="28"/>
                <w:szCs w:val="28"/>
              </w:rPr>
              <w:t>циклоалканы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 xml:space="preserve">), </w:t>
            </w:r>
            <w:proofErr w:type="spellStart"/>
            <w:r w:rsidRPr="00C000B2">
              <w:rPr>
                <w:color w:val="000000"/>
                <w:sz w:val="28"/>
                <w:szCs w:val="28"/>
              </w:rPr>
              <w:t>циклены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C000B2">
              <w:rPr>
                <w:color w:val="000000"/>
                <w:sz w:val="28"/>
                <w:szCs w:val="28"/>
              </w:rPr>
              <w:t>циклоалкены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 xml:space="preserve">) и </w:t>
            </w:r>
            <w:proofErr w:type="spellStart"/>
            <w:r w:rsidRPr="00C000B2">
              <w:rPr>
                <w:color w:val="000000"/>
                <w:sz w:val="28"/>
                <w:szCs w:val="28"/>
              </w:rPr>
              <w:t>циклотерпены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1B69AA" w:rsidRPr="00C000B2" w:rsidTr="00DE6288">
        <w:trPr>
          <w:trHeight w:val="240"/>
        </w:trPr>
        <w:tc>
          <w:tcPr>
            <w:tcW w:w="11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20.14.22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870F3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До нижнего уровня</w:t>
            </w:r>
          </w:p>
        </w:tc>
        <w:tc>
          <w:tcPr>
            <w:tcW w:w="2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 xml:space="preserve">Спирт </w:t>
            </w:r>
            <w:proofErr w:type="spellStart"/>
            <w:r w:rsidRPr="00C000B2">
              <w:rPr>
                <w:color w:val="000000"/>
                <w:sz w:val="28"/>
                <w:szCs w:val="28"/>
              </w:rPr>
              <w:t>пропиловый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 xml:space="preserve"> (пропан–1–</w:t>
            </w:r>
            <w:proofErr w:type="spellStart"/>
            <w:r w:rsidRPr="00C000B2">
              <w:rPr>
                <w:color w:val="000000"/>
                <w:sz w:val="28"/>
                <w:szCs w:val="28"/>
              </w:rPr>
              <w:t>ол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 xml:space="preserve">) </w:t>
            </w:r>
          </w:p>
        </w:tc>
      </w:tr>
      <w:tr w:rsidR="001B69AA" w:rsidRPr="00C000B2" w:rsidTr="00DE6288">
        <w:trPr>
          <w:trHeight w:val="240"/>
        </w:trPr>
        <w:tc>
          <w:tcPr>
            <w:tcW w:w="11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20.14.24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870F3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До нижнего уровня</w:t>
            </w:r>
          </w:p>
        </w:tc>
        <w:tc>
          <w:tcPr>
            <w:tcW w:w="2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proofErr w:type="spellStart"/>
            <w:r w:rsidRPr="00C000B2">
              <w:rPr>
                <w:color w:val="000000"/>
                <w:sz w:val="28"/>
                <w:szCs w:val="28"/>
              </w:rPr>
              <w:t>Фенолоспирты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 xml:space="preserve"> и их производные </w:t>
            </w:r>
          </w:p>
        </w:tc>
      </w:tr>
      <w:tr w:rsidR="001B69AA" w:rsidRPr="00C000B2" w:rsidTr="00DE6288">
        <w:trPr>
          <w:trHeight w:val="240"/>
        </w:trPr>
        <w:tc>
          <w:tcPr>
            <w:tcW w:w="11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20.14.32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870F3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До нижнего уровня</w:t>
            </w:r>
          </w:p>
        </w:tc>
        <w:tc>
          <w:tcPr>
            <w:tcW w:w="2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 xml:space="preserve">Кислоты масляные, их соли и сложные эфиры </w:t>
            </w:r>
          </w:p>
        </w:tc>
      </w:tr>
      <w:tr w:rsidR="001B69AA" w:rsidRPr="00C000B2" w:rsidTr="00DE6288">
        <w:trPr>
          <w:trHeight w:val="240"/>
        </w:trPr>
        <w:tc>
          <w:tcPr>
            <w:tcW w:w="11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20.14.34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870F3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До нижнего уровня</w:t>
            </w:r>
          </w:p>
        </w:tc>
        <w:tc>
          <w:tcPr>
            <w:tcW w:w="2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 xml:space="preserve">Кислота фталевая, ее соли и сложные эфиры </w:t>
            </w:r>
          </w:p>
        </w:tc>
      </w:tr>
      <w:tr w:rsidR="001B69AA" w:rsidRPr="00C000B2" w:rsidTr="00DE6288">
        <w:trPr>
          <w:trHeight w:val="240"/>
        </w:trPr>
        <w:tc>
          <w:tcPr>
            <w:tcW w:w="11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20.16.10 - 20.16.59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870F3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До нижнего уровня</w:t>
            </w:r>
          </w:p>
        </w:tc>
        <w:tc>
          <w:tcPr>
            <w:tcW w:w="2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 xml:space="preserve">Пластмассы в первичных формах прочие, не включенные в другие группировки </w:t>
            </w:r>
          </w:p>
        </w:tc>
      </w:tr>
      <w:tr w:rsidR="001B69AA" w:rsidRPr="00C000B2" w:rsidTr="00DE6288">
        <w:trPr>
          <w:trHeight w:val="240"/>
        </w:trPr>
        <w:tc>
          <w:tcPr>
            <w:tcW w:w="11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20.17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870F3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До нижнего уровня</w:t>
            </w:r>
          </w:p>
        </w:tc>
        <w:tc>
          <w:tcPr>
            <w:tcW w:w="2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 xml:space="preserve">Каучуки </w:t>
            </w:r>
            <w:proofErr w:type="spellStart"/>
            <w:r w:rsidRPr="00C000B2">
              <w:rPr>
                <w:color w:val="000000"/>
                <w:sz w:val="28"/>
                <w:szCs w:val="28"/>
              </w:rPr>
              <w:t>изопреновые</w:t>
            </w:r>
            <w:proofErr w:type="spellEnd"/>
            <w:r w:rsidRPr="00C000B2">
              <w:rPr>
                <w:color w:val="000000"/>
                <w:sz w:val="28"/>
                <w:szCs w:val="28"/>
              </w:rPr>
              <w:t xml:space="preserve"> и сополимеры изопрена </w:t>
            </w:r>
          </w:p>
        </w:tc>
      </w:tr>
      <w:tr w:rsidR="001B69AA" w:rsidRPr="00C000B2" w:rsidTr="00DE6288">
        <w:trPr>
          <w:trHeight w:val="240"/>
        </w:trPr>
        <w:tc>
          <w:tcPr>
            <w:tcW w:w="11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19.20.21 - 19.20.29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870F3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 xml:space="preserve">До нижнего </w:t>
            </w:r>
            <w:r w:rsidRPr="00C000B2">
              <w:rPr>
                <w:color w:val="000000"/>
                <w:sz w:val="28"/>
                <w:szCs w:val="28"/>
              </w:rPr>
              <w:lastRenderedPageBreak/>
              <w:t>уровня</w:t>
            </w:r>
          </w:p>
        </w:tc>
        <w:tc>
          <w:tcPr>
            <w:tcW w:w="2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lastRenderedPageBreak/>
              <w:t xml:space="preserve">Мазут топочный </w:t>
            </w:r>
          </w:p>
        </w:tc>
      </w:tr>
      <w:tr w:rsidR="001B69AA" w:rsidRPr="00C000B2" w:rsidTr="00DE6288">
        <w:trPr>
          <w:trHeight w:val="240"/>
        </w:trPr>
        <w:tc>
          <w:tcPr>
            <w:tcW w:w="11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lastRenderedPageBreak/>
              <w:t>19.20.31-19.20.32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870F3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До нижнего уровня</w:t>
            </w:r>
          </w:p>
        </w:tc>
        <w:tc>
          <w:tcPr>
            <w:tcW w:w="2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 xml:space="preserve">Пропан и бутан </w:t>
            </w:r>
            <w:proofErr w:type="gramStart"/>
            <w:r w:rsidRPr="00C000B2">
              <w:rPr>
                <w:sz w:val="28"/>
                <w:szCs w:val="28"/>
              </w:rPr>
              <w:t>сжиженные</w:t>
            </w:r>
            <w:proofErr w:type="gramEnd"/>
            <w:r w:rsidRPr="00C000B2">
              <w:rPr>
                <w:sz w:val="28"/>
                <w:szCs w:val="28"/>
              </w:rPr>
              <w:t xml:space="preserve"> </w:t>
            </w:r>
          </w:p>
        </w:tc>
      </w:tr>
      <w:tr w:rsidR="001B69AA" w:rsidRPr="00C000B2" w:rsidTr="00DE6288">
        <w:trPr>
          <w:trHeight w:val="240"/>
        </w:trPr>
        <w:tc>
          <w:tcPr>
            <w:tcW w:w="11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19.20.41-19.20.42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870F38">
            <w:pPr>
              <w:rPr>
                <w:rFonts w:eastAsiaTheme="minorHAnsi"/>
                <w:color w:val="000000"/>
                <w:sz w:val="28"/>
                <w:szCs w:val="28"/>
              </w:rPr>
            </w:pPr>
            <w:r w:rsidRPr="00C000B2">
              <w:rPr>
                <w:color w:val="000000"/>
                <w:sz w:val="28"/>
                <w:szCs w:val="28"/>
              </w:rPr>
              <w:t>До нижнего уровня</w:t>
            </w:r>
          </w:p>
        </w:tc>
        <w:tc>
          <w:tcPr>
            <w:tcW w:w="29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9AA" w:rsidRPr="00C000B2" w:rsidRDefault="001B69AA" w:rsidP="00DE6288">
            <w:pPr>
              <w:rPr>
                <w:rFonts w:eastAsiaTheme="minorHAnsi"/>
                <w:sz w:val="28"/>
                <w:szCs w:val="28"/>
              </w:rPr>
            </w:pPr>
            <w:r w:rsidRPr="00C000B2">
              <w:rPr>
                <w:sz w:val="28"/>
                <w:szCs w:val="28"/>
              </w:rPr>
              <w:t>Вазелин (</w:t>
            </w:r>
            <w:proofErr w:type="spellStart"/>
            <w:r w:rsidRPr="00C000B2">
              <w:rPr>
                <w:sz w:val="28"/>
                <w:szCs w:val="28"/>
              </w:rPr>
              <w:t>петролатум</w:t>
            </w:r>
            <w:proofErr w:type="spellEnd"/>
            <w:r w:rsidRPr="00C000B2">
              <w:rPr>
                <w:sz w:val="28"/>
                <w:szCs w:val="28"/>
              </w:rPr>
              <w:t xml:space="preserve">); парафин; воск нефтяной прочий </w:t>
            </w:r>
          </w:p>
        </w:tc>
      </w:tr>
    </w:tbl>
    <w:p w:rsidR="00DE6288" w:rsidRPr="00C000B2" w:rsidRDefault="00DE6288" w:rsidP="00DE6288">
      <w:pPr>
        <w:spacing w:line="360" w:lineRule="auto"/>
        <w:contextualSpacing/>
        <w:jc w:val="both"/>
        <w:rPr>
          <w:sz w:val="28"/>
          <w:szCs w:val="28"/>
          <w:lang w:eastAsia="ru-RU"/>
        </w:rPr>
      </w:pPr>
    </w:p>
    <w:p w:rsidR="00C96AA3" w:rsidRPr="00C000B2" w:rsidRDefault="00C96AA3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 xml:space="preserve">В графе 1 Раздела 9 указывается </w:t>
      </w:r>
      <w:r w:rsidRPr="00C000B2">
        <w:rPr>
          <w:sz w:val="28"/>
          <w:szCs w:val="28"/>
          <w:lang w:eastAsia="ru-RU"/>
        </w:rPr>
        <w:t xml:space="preserve">год ввода в эксплуатацию </w:t>
      </w:r>
      <w:r w:rsidRPr="00C000B2">
        <w:rPr>
          <w:sz w:val="28"/>
          <w:szCs w:val="28"/>
          <w:lang w:eastAsia="ru-RU"/>
        </w:rPr>
        <w:t>объекта производственной деятельности</w:t>
      </w:r>
      <w:r w:rsidRPr="00C000B2">
        <w:rPr>
          <w:sz w:val="28"/>
          <w:szCs w:val="28"/>
          <w:lang w:eastAsia="ru-RU"/>
        </w:rPr>
        <w:t xml:space="preserve"> в формате ГГГГ в соответствии  с официальными документами, зарегистрированными в установленном порядке.</w:t>
      </w:r>
    </w:p>
    <w:p w:rsidR="00700D70" w:rsidRPr="00C000B2" w:rsidRDefault="00C96AA3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графе 2</w:t>
      </w:r>
      <w:r w:rsidR="00700D70" w:rsidRPr="00C000B2">
        <w:rPr>
          <w:sz w:val="28"/>
          <w:szCs w:val="28"/>
          <w:lang w:eastAsia="ru-RU"/>
        </w:rPr>
        <w:t xml:space="preserve"> Раздела 9 указывается установленная мощность объекта производственной деятельности. Заполнение графы производится в </w:t>
      </w:r>
      <w:proofErr w:type="gramStart"/>
      <w:r w:rsidR="00700D70" w:rsidRPr="00C000B2">
        <w:rPr>
          <w:sz w:val="28"/>
          <w:szCs w:val="28"/>
          <w:lang w:eastAsia="ru-RU"/>
        </w:rPr>
        <w:t>тысячах тонн</w:t>
      </w:r>
      <w:proofErr w:type="gramEnd"/>
      <w:r w:rsidR="00700D70" w:rsidRPr="00C000B2">
        <w:rPr>
          <w:sz w:val="28"/>
          <w:szCs w:val="28"/>
          <w:lang w:eastAsia="ru-RU"/>
        </w:rPr>
        <w:t xml:space="preserve"> в год с точностью до 3 знака после запятой.</w:t>
      </w:r>
    </w:p>
    <w:p w:rsidR="00700D70" w:rsidRPr="00C000B2" w:rsidRDefault="00C96AA3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графе 3</w:t>
      </w:r>
      <w:r w:rsidR="00700D70" w:rsidRPr="00C000B2">
        <w:rPr>
          <w:sz w:val="28"/>
          <w:szCs w:val="28"/>
          <w:lang w:eastAsia="ru-RU"/>
        </w:rPr>
        <w:t xml:space="preserve"> Раздела 9 указывается фактическая мощность объекта производственной деятельности за отчетный период. Заполнение графы производится в </w:t>
      </w:r>
      <w:proofErr w:type="gramStart"/>
      <w:r w:rsidR="00700D70" w:rsidRPr="00C000B2">
        <w:rPr>
          <w:sz w:val="28"/>
          <w:szCs w:val="28"/>
          <w:lang w:eastAsia="ru-RU"/>
        </w:rPr>
        <w:t>тысячах тонн</w:t>
      </w:r>
      <w:proofErr w:type="gramEnd"/>
      <w:r w:rsidR="00700D70" w:rsidRPr="00C000B2">
        <w:rPr>
          <w:sz w:val="28"/>
          <w:szCs w:val="28"/>
          <w:lang w:eastAsia="ru-RU"/>
        </w:rPr>
        <w:t xml:space="preserve"> в год с точностью до 3 знака после запятой.</w:t>
      </w:r>
    </w:p>
    <w:p w:rsidR="00700D70" w:rsidRPr="00C000B2" w:rsidRDefault="00C96AA3" w:rsidP="0099077C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000B2">
        <w:rPr>
          <w:sz w:val="28"/>
          <w:szCs w:val="28"/>
          <w:lang w:eastAsia="ru-RU"/>
        </w:rPr>
        <w:t>В графе 4</w:t>
      </w:r>
      <w:r w:rsidR="00700D70" w:rsidRPr="00C000B2">
        <w:rPr>
          <w:sz w:val="28"/>
          <w:szCs w:val="28"/>
          <w:lang w:eastAsia="ru-RU"/>
        </w:rPr>
        <w:t xml:space="preserve"> Раздела 9 указывается установленная вместимость хранилища углеводородного сырья или продуктов его переработки объекта производственной деятельности. Заполнение графы производится в тоннах с точностью до 3 знака после запятой.</w:t>
      </w:r>
      <w:bookmarkStart w:id="0" w:name="_GoBack"/>
      <w:bookmarkEnd w:id="0"/>
    </w:p>
    <w:sectPr w:rsidR="00700D70" w:rsidRPr="00C000B2" w:rsidSect="009730ED">
      <w:headerReference w:type="even" r:id="rId13"/>
      <w:headerReference w:type="default" r:id="rId14"/>
      <w:pgSz w:w="11907" w:h="16840" w:code="9"/>
      <w:pgMar w:top="851" w:right="851" w:bottom="1418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25C" w:rsidRDefault="00A4625C" w:rsidP="00683A23">
      <w:r>
        <w:separator/>
      </w:r>
    </w:p>
  </w:endnote>
  <w:endnote w:type="continuationSeparator" w:id="0">
    <w:p w:rsidR="00A4625C" w:rsidRDefault="00A4625C" w:rsidP="0068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25C" w:rsidRDefault="00A4625C" w:rsidP="00683A23">
      <w:r>
        <w:separator/>
      </w:r>
    </w:p>
  </w:footnote>
  <w:footnote w:type="continuationSeparator" w:id="0">
    <w:p w:rsidR="00A4625C" w:rsidRDefault="00A4625C" w:rsidP="00683A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288" w:rsidRDefault="00DE6288" w:rsidP="00DE6288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DE6288" w:rsidRDefault="00DE6288" w:rsidP="00DE628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228131"/>
      <w:docPartObj>
        <w:docPartGallery w:val="Page Numbers (Top of Page)"/>
        <w:docPartUnique/>
      </w:docPartObj>
    </w:sdtPr>
    <w:sdtContent>
      <w:p w:rsidR="00DE6288" w:rsidRDefault="00DE6288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0B2">
          <w:rPr>
            <w:noProof/>
          </w:rPr>
          <w:t>11</w:t>
        </w:r>
        <w:r>
          <w:fldChar w:fldCharType="end"/>
        </w:r>
      </w:p>
    </w:sdtContent>
  </w:sdt>
  <w:p w:rsidR="00DE6288" w:rsidRDefault="00DE6288" w:rsidP="00DE628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627F0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63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D6E7F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63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70E4D"/>
    <w:multiLevelType w:val="hybridMultilevel"/>
    <w:tmpl w:val="AB7AF9DC"/>
    <w:lvl w:ilvl="0" w:tplc="7F5EAB80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06AF5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63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67AB8"/>
    <w:multiLevelType w:val="hybridMultilevel"/>
    <w:tmpl w:val="115E884E"/>
    <w:lvl w:ilvl="0" w:tplc="B5F8A0FC">
      <w:start w:val="1"/>
      <w:numFmt w:val="decimal"/>
      <w:lvlText w:val="%1."/>
      <w:lvlJc w:val="left"/>
      <w:pPr>
        <w:ind w:left="2913" w:hanging="360"/>
      </w:pPr>
      <w:rPr>
        <w:rFonts w:ascii="Times New Roman" w:hAnsi="Times New Roman" w:cs="Times New Roman" w:hint="default"/>
        <w:b w:val="0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50AFE"/>
    <w:multiLevelType w:val="hybridMultilevel"/>
    <w:tmpl w:val="A7C4B272"/>
    <w:lvl w:ilvl="0" w:tplc="AD9A83D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7F5EAB8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6C6707B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63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D039D"/>
    <w:multiLevelType w:val="hybridMultilevel"/>
    <w:tmpl w:val="115E884E"/>
    <w:lvl w:ilvl="0" w:tplc="B5F8A0FC">
      <w:start w:val="1"/>
      <w:numFmt w:val="decimal"/>
      <w:lvlText w:val="%1."/>
      <w:lvlJc w:val="left"/>
      <w:pPr>
        <w:ind w:left="2913" w:hanging="360"/>
      </w:pPr>
      <w:rPr>
        <w:rFonts w:ascii="Times New Roman" w:hAnsi="Times New Roman" w:cs="Times New Roman" w:hint="default"/>
        <w:b w:val="0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23E40"/>
    <w:multiLevelType w:val="hybridMultilevel"/>
    <w:tmpl w:val="115E884E"/>
    <w:lvl w:ilvl="0" w:tplc="B5F8A0FC">
      <w:start w:val="1"/>
      <w:numFmt w:val="decimal"/>
      <w:lvlText w:val="%1."/>
      <w:lvlJc w:val="left"/>
      <w:pPr>
        <w:ind w:left="2913" w:hanging="360"/>
      </w:pPr>
      <w:rPr>
        <w:rFonts w:ascii="Times New Roman" w:hAnsi="Times New Roman" w:cs="Times New Roman" w:hint="default"/>
        <w:b w:val="0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1631C"/>
    <w:multiLevelType w:val="multilevel"/>
    <w:tmpl w:val="FDD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15104F"/>
    <w:multiLevelType w:val="hybridMultilevel"/>
    <w:tmpl w:val="1B8C1642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F5EAB8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5D867E5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637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3021F0"/>
    <w:multiLevelType w:val="hybridMultilevel"/>
    <w:tmpl w:val="C358BEC0"/>
    <w:lvl w:ilvl="0" w:tplc="7F5EAB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A3E74A0"/>
    <w:multiLevelType w:val="multilevel"/>
    <w:tmpl w:val="BC06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1B7DCD"/>
    <w:multiLevelType w:val="hybridMultilevel"/>
    <w:tmpl w:val="DF42A0F2"/>
    <w:lvl w:ilvl="0" w:tplc="3E84AB30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7"/>
  </w:num>
  <w:num w:numId="14">
    <w:abstractNumId w:val="13"/>
  </w:num>
  <w:num w:numId="15">
    <w:abstractNumId w:val="4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0F"/>
    <w:rsid w:val="00025420"/>
    <w:rsid w:val="00060FD1"/>
    <w:rsid w:val="00067E75"/>
    <w:rsid w:val="000E278E"/>
    <w:rsid w:val="0010080E"/>
    <w:rsid w:val="0010398B"/>
    <w:rsid w:val="00123ABB"/>
    <w:rsid w:val="00135B20"/>
    <w:rsid w:val="00141903"/>
    <w:rsid w:val="001447FA"/>
    <w:rsid w:val="00163BCA"/>
    <w:rsid w:val="00164758"/>
    <w:rsid w:val="001B69AA"/>
    <w:rsid w:val="001F306C"/>
    <w:rsid w:val="001F5C7C"/>
    <w:rsid w:val="00205DE3"/>
    <w:rsid w:val="002101A7"/>
    <w:rsid w:val="002148CE"/>
    <w:rsid w:val="00244EA6"/>
    <w:rsid w:val="00257B3B"/>
    <w:rsid w:val="00263D70"/>
    <w:rsid w:val="002722B9"/>
    <w:rsid w:val="002C1180"/>
    <w:rsid w:val="002D57AC"/>
    <w:rsid w:val="002D58B6"/>
    <w:rsid w:val="002F7F6A"/>
    <w:rsid w:val="003538A2"/>
    <w:rsid w:val="00362414"/>
    <w:rsid w:val="003A64ED"/>
    <w:rsid w:val="003C536E"/>
    <w:rsid w:val="003E68C6"/>
    <w:rsid w:val="00405C30"/>
    <w:rsid w:val="00420367"/>
    <w:rsid w:val="0042405A"/>
    <w:rsid w:val="00424CE3"/>
    <w:rsid w:val="00441850"/>
    <w:rsid w:val="004B0AC5"/>
    <w:rsid w:val="00584CDB"/>
    <w:rsid w:val="005A6DD2"/>
    <w:rsid w:val="005B29EE"/>
    <w:rsid w:val="005D197D"/>
    <w:rsid w:val="00606B97"/>
    <w:rsid w:val="00610D28"/>
    <w:rsid w:val="0064722D"/>
    <w:rsid w:val="006610A7"/>
    <w:rsid w:val="00671C03"/>
    <w:rsid w:val="00683A23"/>
    <w:rsid w:val="006A69A2"/>
    <w:rsid w:val="006A6C7A"/>
    <w:rsid w:val="006C0584"/>
    <w:rsid w:val="006C2D67"/>
    <w:rsid w:val="006D1958"/>
    <w:rsid w:val="006E0333"/>
    <w:rsid w:val="006E2688"/>
    <w:rsid w:val="006E68AE"/>
    <w:rsid w:val="006F138C"/>
    <w:rsid w:val="00700D70"/>
    <w:rsid w:val="00700DB9"/>
    <w:rsid w:val="00770BBA"/>
    <w:rsid w:val="007A4E7D"/>
    <w:rsid w:val="007C0A55"/>
    <w:rsid w:val="007C5C63"/>
    <w:rsid w:val="007E454C"/>
    <w:rsid w:val="008300F6"/>
    <w:rsid w:val="00830732"/>
    <w:rsid w:val="0084039D"/>
    <w:rsid w:val="00841E26"/>
    <w:rsid w:val="00855BF7"/>
    <w:rsid w:val="0087085C"/>
    <w:rsid w:val="00875B3A"/>
    <w:rsid w:val="008927F6"/>
    <w:rsid w:val="008D000B"/>
    <w:rsid w:val="00911D8B"/>
    <w:rsid w:val="00941A45"/>
    <w:rsid w:val="00953A82"/>
    <w:rsid w:val="009649D3"/>
    <w:rsid w:val="009730ED"/>
    <w:rsid w:val="009837C5"/>
    <w:rsid w:val="0099077C"/>
    <w:rsid w:val="009C2636"/>
    <w:rsid w:val="009E52CC"/>
    <w:rsid w:val="00A006AB"/>
    <w:rsid w:val="00A23F9B"/>
    <w:rsid w:val="00A24C0C"/>
    <w:rsid w:val="00A4625C"/>
    <w:rsid w:val="00A467E3"/>
    <w:rsid w:val="00A62336"/>
    <w:rsid w:val="00A65D90"/>
    <w:rsid w:val="00A9560D"/>
    <w:rsid w:val="00A9563B"/>
    <w:rsid w:val="00AA0AAC"/>
    <w:rsid w:val="00AB09FD"/>
    <w:rsid w:val="00AC5355"/>
    <w:rsid w:val="00B050E7"/>
    <w:rsid w:val="00B169DE"/>
    <w:rsid w:val="00B44F7D"/>
    <w:rsid w:val="00B95834"/>
    <w:rsid w:val="00BB5A2A"/>
    <w:rsid w:val="00BC3C03"/>
    <w:rsid w:val="00BD159E"/>
    <w:rsid w:val="00BD5DD2"/>
    <w:rsid w:val="00BF6123"/>
    <w:rsid w:val="00C000B2"/>
    <w:rsid w:val="00C12DB2"/>
    <w:rsid w:val="00C24A9A"/>
    <w:rsid w:val="00C7473B"/>
    <w:rsid w:val="00C93935"/>
    <w:rsid w:val="00C96AA3"/>
    <w:rsid w:val="00CA1303"/>
    <w:rsid w:val="00CB1B2E"/>
    <w:rsid w:val="00CB7082"/>
    <w:rsid w:val="00CE74AF"/>
    <w:rsid w:val="00D11F3C"/>
    <w:rsid w:val="00D70E45"/>
    <w:rsid w:val="00D941F3"/>
    <w:rsid w:val="00DA154F"/>
    <w:rsid w:val="00DB6322"/>
    <w:rsid w:val="00DB7E4A"/>
    <w:rsid w:val="00DE6288"/>
    <w:rsid w:val="00DE73AD"/>
    <w:rsid w:val="00DF687D"/>
    <w:rsid w:val="00E13971"/>
    <w:rsid w:val="00E47B3C"/>
    <w:rsid w:val="00E539A8"/>
    <w:rsid w:val="00E5644D"/>
    <w:rsid w:val="00EA1656"/>
    <w:rsid w:val="00EC65BB"/>
    <w:rsid w:val="00EF248D"/>
    <w:rsid w:val="00F3103F"/>
    <w:rsid w:val="00F57703"/>
    <w:rsid w:val="00F668B2"/>
    <w:rsid w:val="00F87674"/>
    <w:rsid w:val="00FA06FC"/>
    <w:rsid w:val="00FB7CD3"/>
    <w:rsid w:val="00FD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538A2"/>
    <w:pPr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D680F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FD68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rsid w:val="00FD680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D680F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FD6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730E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0E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38A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538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8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8A2"/>
    <w:rPr>
      <w:rFonts w:ascii="Tahoma" w:eastAsia="Times New Roman" w:hAnsi="Tahoma" w:cs="Tahoma"/>
      <w:sz w:val="16"/>
      <w:szCs w:val="16"/>
    </w:rPr>
  </w:style>
  <w:style w:type="table" w:customStyle="1" w:styleId="1">
    <w:name w:val="Сетка таблицы1"/>
    <w:basedOn w:val="TableNormal"/>
    <w:next w:val="TableGrid"/>
    <w:uiPriority w:val="99"/>
    <w:rsid w:val="00700D7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700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96AA3"/>
  </w:style>
  <w:style w:type="paragraph" w:styleId="NormalWeb">
    <w:name w:val="Normal (Web)"/>
    <w:basedOn w:val="Normal"/>
    <w:uiPriority w:val="99"/>
    <w:semiHidden/>
    <w:unhideWhenUsed/>
    <w:rsid w:val="006C0584"/>
    <w:pPr>
      <w:spacing w:before="100" w:beforeAutospacing="1" w:after="100" w:afterAutospacing="1"/>
    </w:pPr>
    <w:rPr>
      <w:lang w:val="en-US"/>
    </w:rPr>
  </w:style>
  <w:style w:type="paragraph" w:styleId="NoSpacing">
    <w:name w:val="No Spacing"/>
    <w:uiPriority w:val="1"/>
    <w:qFormat/>
    <w:rsid w:val="00BC3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W34J7XJ4QP77-2-23551</_dlc_DocId>
    <_dlc_DocIdUrl xmlns="4be7f21c-b655-4ba8-867a-de1811392c1d">
      <Url>http://shrp.dkp.lanit.ru/sites/gis-tek/_layouts/15/DocIdRedir.aspx?ID=W34J7XJ4QP77-2-23551</Url>
      <Description>W34J7XJ4QP77-2-23551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7DFEF-D568-4498-B9CF-1714CC657905}"/>
</file>

<file path=customXml/itemProps2.xml><?xml version="1.0" encoding="utf-8"?>
<ds:datastoreItem xmlns:ds="http://schemas.openxmlformats.org/officeDocument/2006/customXml" ds:itemID="{F1876DF2-6534-4084-AA37-D8C5810CF105}"/>
</file>

<file path=customXml/itemProps3.xml><?xml version="1.0" encoding="utf-8"?>
<ds:datastoreItem xmlns:ds="http://schemas.openxmlformats.org/officeDocument/2006/customXml" ds:itemID="{9CA5029C-7562-474F-BAFE-8E65D42D1A39}"/>
</file>

<file path=customXml/itemProps4.xml><?xml version="1.0" encoding="utf-8"?>
<ds:datastoreItem xmlns:ds="http://schemas.openxmlformats.org/officeDocument/2006/customXml" ds:itemID="{A68007BC-2768-40F5-9C71-54742E5B5883}"/>
</file>

<file path=customXml/itemProps5.xml><?xml version="1.0" encoding="utf-8"?>
<ds:datastoreItem xmlns:ds="http://schemas.openxmlformats.org/officeDocument/2006/customXml" ds:itemID="{7D5F99D4-FF54-4723-B789-4ED9EC5CA7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11</Pages>
  <Words>2655</Words>
  <Characters>15139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ЗАО "АПБЭ"</Company>
  <LinksUpToDate>false</LinksUpToDate>
  <CharactersWithSpaces>17759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</dc:creator>
  <cp:keywords/>
  <dc:description/>
  <cp:lastModifiedBy>Deloitte &amp; Touche</cp:lastModifiedBy>
  <cp:revision>240</cp:revision>
  <dcterms:created xsi:type="dcterms:W3CDTF">2015-04-06T09:57:00Z</dcterms:created>
  <dcterms:modified xsi:type="dcterms:W3CDTF">2015-07-24T09:35:00Z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ee71d560-aa77-46bb-8738-d055f3c7f158</vt:lpwstr>
  </property>
  <property fmtid="{D5CDD505-2E9C-101B-9397-08002B2CF9AE}" pid="3" name="ContentTypeId">
    <vt:lpwstr>0x0101003BB183519E00C34FAA19C34BDCC076CF</vt:lpwstr>
  </property>
</Properties>
</file>