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0"/>
          <w:szCs w:val="40"/>
        </w:rPr>
        <w:t xml:space="preserve">The Two-Call Token Flow</w:t>
      </w:r>
    </w:p>
    <w:p>
      <w:pPr>
        <w:pBdr>
          <w:bottom w:val="single" w:color="1F4E79" w:sz="8" w:space="6"/>
        </w:pBdr>
        <w:spacing w:after="300"/>
      </w:pPr>
      <w:r>
        <w:rPr>
          <w:color w:val="5A6169"/>
          <w:sz w:val="22"/>
          <w:szCs w:val="22"/>
        </w:rPr>
        <w:t xml:space="preserve">What each API does, what you get back, and what happens during validation</w:t>
      </w:r>
    </w:p>
    <w:p>
      <w:pPr>
        <w:pStyle w:val="Heading1"/>
        <w:spacing w:after="160" w:before="400"/>
      </w:pPr>
      <w:r>
        <w:rPr>
          <w:b/>
          <w:bCs/>
          <w:color w:val="1F4E79"/>
          <w:sz w:val="30"/>
          <w:szCs w:val="30"/>
        </w:rPr>
        <w:t xml:space="preserve">The short version</w:t>
      </w:r>
    </w:p>
    <w:p>
      <w:pPr>
        <w:spacing w:after="140" w:line="300"/>
      </w:pPr>
      <w:r>
        <w:t xml:space="preserve">You make two calls. They do completely different jobs.</w:t>
      </w:r>
    </w:p>
    <w:tbl>
      <w:tblPr>
        <w:tblW w:type="dxa" w:w="9360"/>
        <w:tblBorders>
          <w:top w:val="single" w:color="D0D3D8" w:sz="4"/>
          <w:left w:val="single" w:color="D0D3D8" w:sz="4"/>
          <w:bottom w:val="single" w:color="D0D3D8" w:sz="4"/>
          <w:right w:val="single" w:color="D0D3D8" w:sz="4"/>
          <w:insideH w:val="single" w:color="D0D3D8" w:sz="4"/>
          <w:insideV w:val="single" w:color="D0D3D8" w:sz="4"/>
        </w:tblBorders>
      </w:tblPr>
      <w:tblGrid>
        <w:gridCol w:w="1800"/>
        <w:gridCol w:w="3400"/>
        <w:gridCol w:w="4160"/>
      </w:tblGrid>
      <w:tr>
        <w:trPr>
          <w:tblHeader/>
        </w:trPr>
        <w:tc>
          <w:tcPr>
            <w:tcW w:type="dxa" w:w="1800"/>
            <w:shd w:fill="1F4E79" w:color="auto" w:val="clear"/>
            <w:tcMar>
              <w:top w:type="dxa" w:w="80"/>
              <w:left w:type="dxa" w:w="120"/>
              <w:bottom w:type="dxa" w:w="80"/>
              <w:right w:type="dxa" w:w="120"/>
            </w:tcMar>
          </w:tcPr>
          <w:p>
            <w:pPr>
              <w:spacing w:after="0" w:line="260"/>
            </w:pPr>
            <w:r>
              <w:rPr>
                <w:b/>
                <w:bCs/>
                <w:color w:val="FFFFFF"/>
                <w:sz w:val="19"/>
                <w:szCs w:val="19"/>
              </w:rPr>
              <w:t xml:space="preserve"/>
            </w:r>
          </w:p>
        </w:tc>
        <w:tc>
          <w:tcPr>
            <w:tcW w:type="dxa" w:w="3400"/>
            <w:shd w:fill="1F4E79" w:color="auto" w:val="clear"/>
            <w:tcMar>
              <w:top w:type="dxa" w:w="80"/>
              <w:left w:type="dxa" w:w="120"/>
              <w:bottom w:type="dxa" w:w="80"/>
              <w:right w:type="dxa" w:w="120"/>
            </w:tcMar>
          </w:tcPr>
          <w:p>
            <w:pPr>
              <w:spacing w:after="0" w:line="260"/>
            </w:pPr>
            <w:r>
              <w:rPr>
                <w:b/>
                <w:bCs/>
                <w:color w:val="FFFFFF"/>
                <w:sz w:val="19"/>
                <w:szCs w:val="19"/>
              </w:rPr>
              <w:t xml:space="preserve">Call 1</w:t>
            </w:r>
          </w:p>
        </w:tc>
        <w:tc>
          <w:tcPr>
            <w:tcW w:type="dxa" w:w="4160"/>
            <w:shd w:fill="1F4E79" w:color="auto" w:val="clear"/>
            <w:tcMar>
              <w:top w:type="dxa" w:w="80"/>
              <w:left w:type="dxa" w:w="120"/>
              <w:bottom w:type="dxa" w:w="80"/>
              <w:right w:type="dxa" w:w="120"/>
            </w:tcMar>
          </w:tcPr>
          <w:p>
            <w:pPr>
              <w:spacing w:after="0" w:line="260"/>
            </w:pPr>
            <w:r>
              <w:rPr>
                <w:b/>
                <w:bCs/>
                <w:color w:val="FFFFFF"/>
                <w:sz w:val="19"/>
                <w:szCs w:val="19"/>
              </w:rPr>
              <w:t xml:space="preserve">Call 2</w:t>
            </w:r>
          </w:p>
        </w:tc>
      </w:tr>
      <w:tr>
        <w:tc>
          <w:tcPr>
            <w:tcW w:type="dxa" w:w="1800"/>
            <w:tcMar>
              <w:top w:type="dxa" w:w="80"/>
              <w:left w:type="dxa" w:w="120"/>
              <w:bottom w:type="dxa" w:w="80"/>
              <w:right w:type="dxa" w:w="120"/>
            </w:tcMar>
          </w:tcPr>
          <w:p>
            <w:pPr>
              <w:spacing w:after="0" w:line="260"/>
            </w:pPr>
            <w:r>
              <w:t xml:space="preserve">Endpoint</w:t>
            </w:r>
          </w:p>
        </w:tc>
        <w:tc>
          <w:tcPr>
            <w:tcW w:type="dxa" w:w="3400"/>
            <w:tcMar>
              <w:top w:type="dxa" w:w="80"/>
              <w:left w:type="dxa" w:w="120"/>
              <w:bottom w:type="dxa" w:w="80"/>
              <w:right w:type="dxa" w:w="120"/>
            </w:tcMar>
          </w:tcPr>
          <w:p>
            <w:pPr>
              <w:spacing w:after="0" w:line="260"/>
            </w:pPr>
            <w:r>
              <w:t xml:space="preserve">oauth2.googleapis.com/token</w:t>
            </w:r>
          </w:p>
        </w:tc>
        <w:tc>
          <w:tcPr>
            <w:tcW w:type="dxa" w:w="4160"/>
            <w:tcMar>
              <w:top w:type="dxa" w:w="80"/>
              <w:left w:type="dxa" w:w="120"/>
              <w:bottom w:type="dxa" w:w="80"/>
              <w:right w:type="dxa" w:w="120"/>
            </w:tcMar>
          </w:tcPr>
          <w:p>
            <w:pPr>
              <w:spacing w:after="0" w:line="260"/>
            </w:pPr>
            <w:r>
              <w:t xml:space="preserve">iamcredentials.googleapis.com/…:generateIdToken</w:t>
            </w:r>
          </w:p>
        </w:tc>
      </w:tr>
      <w:tr>
        <w:tc>
          <w:tcPr>
            <w:tcW w:type="dxa" w:w="1800"/>
            <w:tcMar>
              <w:top w:type="dxa" w:w="80"/>
              <w:left w:type="dxa" w:w="120"/>
              <w:bottom w:type="dxa" w:w="80"/>
              <w:right w:type="dxa" w:w="120"/>
            </w:tcMar>
          </w:tcPr>
          <w:p>
            <w:pPr>
              <w:spacing w:after="0" w:line="260"/>
            </w:pPr>
            <w:r>
              <w:t xml:space="preserve">You get back</w:t>
            </w:r>
          </w:p>
        </w:tc>
        <w:tc>
          <w:tcPr>
            <w:tcW w:type="dxa" w:w="3400"/>
            <w:tcMar>
              <w:top w:type="dxa" w:w="80"/>
              <w:left w:type="dxa" w:w="120"/>
              <w:bottom w:type="dxa" w:w="80"/>
              <w:right w:type="dxa" w:w="120"/>
            </w:tcMar>
          </w:tcPr>
          <w:p>
            <w:pPr>
              <w:spacing w:after="0" w:line="260"/>
            </w:pPr>
            <w:r>
              <w:t xml:space="preserve">access_token (ya29.…)</w:t>
            </w:r>
          </w:p>
        </w:tc>
        <w:tc>
          <w:tcPr>
            <w:tcW w:type="dxa" w:w="4160"/>
            <w:tcMar>
              <w:top w:type="dxa" w:w="80"/>
              <w:left w:type="dxa" w:w="120"/>
              <w:bottom w:type="dxa" w:w="80"/>
              <w:right w:type="dxa" w:w="120"/>
            </w:tcMar>
          </w:tcPr>
          <w:p>
            <w:pPr>
              <w:spacing w:after="0" w:line="260"/>
            </w:pPr>
            <w:r>
              <w:t xml:space="preserve">token (eyJ…)</w:t>
            </w:r>
          </w:p>
        </w:tc>
      </w:tr>
      <w:tr>
        <w:tc>
          <w:tcPr>
            <w:tcW w:type="dxa" w:w="1800"/>
            <w:tcMar>
              <w:top w:type="dxa" w:w="80"/>
              <w:left w:type="dxa" w:w="120"/>
              <w:bottom w:type="dxa" w:w="80"/>
              <w:right w:type="dxa" w:w="120"/>
            </w:tcMar>
          </w:tcPr>
          <w:p>
            <w:pPr>
              <w:spacing w:after="0" w:line="260"/>
            </w:pPr>
            <w:r>
              <w:t xml:space="preserve">Is it a JWT?</w:t>
            </w:r>
          </w:p>
        </w:tc>
        <w:tc>
          <w:tcPr>
            <w:tcW w:type="dxa" w:w="3400"/>
            <w:tcMar>
              <w:top w:type="dxa" w:w="80"/>
              <w:left w:type="dxa" w:w="120"/>
              <w:bottom w:type="dxa" w:w="80"/>
              <w:right w:type="dxa" w:w="120"/>
            </w:tcMar>
          </w:tcPr>
          <w:p>
            <w:pPr>
              <w:spacing w:after="0" w:line="260"/>
            </w:pPr>
            <w:r>
              <w:t xml:space="preserve">No — opaque string</w:t>
            </w:r>
          </w:p>
        </w:tc>
        <w:tc>
          <w:tcPr>
            <w:tcW w:type="dxa" w:w="4160"/>
            <w:tcMar>
              <w:top w:type="dxa" w:w="80"/>
              <w:left w:type="dxa" w:w="120"/>
              <w:bottom w:type="dxa" w:w="80"/>
              <w:right w:type="dxa" w:w="120"/>
            </w:tcMar>
          </w:tcPr>
          <w:p>
            <w:pPr>
              <w:spacing w:after="0" w:line="260"/>
            </w:pPr>
            <w:r>
              <w:t xml:space="preserve">Yes — real JWT</w:t>
            </w:r>
          </w:p>
        </w:tc>
      </w:tr>
      <w:tr>
        <w:tc>
          <w:tcPr>
            <w:tcW w:type="dxa" w:w="1800"/>
            <w:tcMar>
              <w:top w:type="dxa" w:w="80"/>
              <w:left w:type="dxa" w:w="120"/>
              <w:bottom w:type="dxa" w:w="80"/>
              <w:right w:type="dxa" w:w="120"/>
            </w:tcMar>
          </w:tcPr>
          <w:p>
            <w:pPr>
              <w:spacing w:after="0" w:line="260"/>
            </w:pPr>
            <w:r>
              <w:t xml:space="preserve">What it proves</w:t>
            </w:r>
          </w:p>
        </w:tc>
        <w:tc>
          <w:tcPr>
            <w:tcW w:type="dxa" w:w="3400"/>
            <w:tcMar>
              <w:top w:type="dxa" w:w="80"/>
              <w:left w:type="dxa" w:w="120"/>
              <w:bottom w:type="dxa" w:w="80"/>
              <w:right w:type="dxa" w:w="120"/>
            </w:tcMar>
          </w:tcPr>
          <w:p>
            <w:pPr>
              <w:spacing w:after="0" w:line="260"/>
            </w:pPr>
            <w:r>
              <w:t xml:space="preserve">You're allowed to act as this service account</w:t>
            </w:r>
          </w:p>
        </w:tc>
        <w:tc>
          <w:tcPr>
            <w:tcW w:type="dxa" w:w="4160"/>
            <w:tcMar>
              <w:top w:type="dxa" w:w="80"/>
              <w:left w:type="dxa" w:w="120"/>
              <w:bottom w:type="dxa" w:w="80"/>
              <w:right w:type="dxa" w:w="120"/>
            </w:tcMar>
          </w:tcPr>
          <w:p>
            <w:pPr>
              <w:spacing w:after="0" w:line="260"/>
            </w:pPr>
            <w:r>
              <w:t xml:space="preserve">You are this service account, calling this specific URL</w:t>
            </w:r>
          </w:p>
        </w:tc>
      </w:tr>
      <w:tr>
        <w:tc>
          <w:tcPr>
            <w:tcW w:type="dxa" w:w="1800"/>
            <w:tcMar>
              <w:top w:type="dxa" w:w="80"/>
              <w:left w:type="dxa" w:w="120"/>
              <w:bottom w:type="dxa" w:w="80"/>
              <w:right w:type="dxa" w:w="120"/>
            </w:tcMar>
          </w:tcPr>
          <w:p>
            <w:pPr>
              <w:spacing w:after="0" w:line="260"/>
            </w:pPr>
            <w:r>
              <w:t xml:space="preserve">Who you show it to</w:t>
            </w:r>
          </w:p>
        </w:tc>
        <w:tc>
          <w:tcPr>
            <w:tcW w:type="dxa" w:w="3400"/>
            <w:tcMar>
              <w:top w:type="dxa" w:w="80"/>
              <w:left w:type="dxa" w:w="120"/>
              <w:bottom w:type="dxa" w:w="80"/>
              <w:right w:type="dxa" w:w="120"/>
            </w:tcMar>
          </w:tcPr>
          <w:p>
            <w:pPr>
              <w:spacing w:after="0" w:line="260"/>
            </w:pPr>
            <w:r>
              <w:t xml:space="preserve">Google</w:t>
            </w:r>
          </w:p>
        </w:tc>
        <w:tc>
          <w:tcPr>
            <w:tcW w:type="dxa" w:w="4160"/>
            <w:tcMar>
              <w:top w:type="dxa" w:w="80"/>
              <w:left w:type="dxa" w:w="120"/>
              <w:bottom w:type="dxa" w:w="80"/>
              <w:right w:type="dxa" w:w="120"/>
            </w:tcMar>
          </w:tcPr>
          <w:p>
            <w:pPr>
              <w:spacing w:after="0" w:line="260"/>
            </w:pPr>
            <w:r>
              <w:t xml:space="preserve">The target service</w:t>
            </w:r>
          </w:p>
        </w:tc>
      </w:tr>
    </w:tbl>
    <w:p>
      <w:pPr>
        <w:spacing w:after="160"/>
      </w:pPr>
    </w:p>
    <w:p>
      <w:pPr>
        <w:spacing w:after="140" w:line="300"/>
      </w:pPr>
      <w:r>
        <w:t xml:space="preserve">The first call gets you a key to Google's building. The second call uses that key to collect an ID badge printed with a specific door on it.</w:t>
      </w:r>
    </w:p>
    <w:p>
      <w:pPr>
        <w:pBdr>
          <w:bottom w:val="single" w:color="D0D3D8" w:sz="6" w:space="1"/>
        </w:pBdr>
        <w:spacing w:after="200" w:before="200"/>
      </w:pPr>
    </w:p>
    <w:p>
      <w:pPr>
        <w:pStyle w:val="Heading1"/>
        <w:spacing w:after="160" w:before="400"/>
      </w:pPr>
      <w:r>
        <w:rPr>
          <w:b/>
          <w:bCs/>
          <w:color w:val="1F4E79"/>
          <w:sz w:val="30"/>
          <w:szCs w:val="30"/>
        </w:rPr>
        <w:t xml:space="preserve">Call 1 — get an access token</w:t>
      </w:r>
    </w:p>
    <w:p>
      <w:pPr>
        <w:shd w:fill="F2F3F5" w:color="auto" w:val="clear"/>
        <w:spacing w:after="0" w:before="60" w:line="260"/>
        <w:ind w:left="215" w:right="215"/>
      </w:pPr>
      <w:r>
        <w:rPr>
          <w:rFonts w:ascii="Consolas" w:cs="Consolas" w:eastAsia="Consolas" w:hAnsi="Consolas"/>
          <w:sz w:val="18"/>
          <w:szCs w:val="18"/>
        </w:rPr>
        <w:t xml:space="preserve">POST https://oauth2.googleapis.com/token</w:t>
      </w:r>
    </w:p>
    <w:p>
      <w:pPr>
        <w:shd w:fill="F2F3F5" w:color="auto" w:val="clear"/>
        <w:spacing w:after="160" w:before="0" w:line="260"/>
        <w:ind w:left="215" w:right="215"/>
      </w:pPr>
      <w:r>
        <w:rPr>
          <w:rFonts w:ascii="Consolas" w:cs="Consolas" w:eastAsia="Consolas" w:hAnsi="Consolas"/>
          <w:sz w:val="18"/>
          <w:szCs w:val="18"/>
        </w:rPr>
        <w:t xml:space="preserve">  client_id, client_secret, refresh_token, grant_type=refresh_token</w:t>
      </w:r>
    </w:p>
    <w:p>
      <w:pPr>
        <w:spacing w:after="140" w:line="300"/>
      </w:pPr>
      <w:r>
        <w:t xml:space="preserve">This is plain OAuth 2.0 refresh. You hand over a long-lived refresh token and get back a short-lived access token.</w:t>
      </w:r>
    </w:p>
    <w:p>
      <w:pPr>
        <w:shd w:fill="F2F3F5" w:color="auto" w:val="clear"/>
        <w:spacing w:after="0" w:before="60" w:line="260"/>
        <w:ind w:left="215" w:right="215"/>
      </w:pPr>
      <w:r>
        <w:rPr>
          <w:rFonts w:ascii="Consolas" w:cs="Consolas" w:eastAsia="Consolas" w:hAnsi="Consolas"/>
          <w:sz w:val="18"/>
          <w:szCs w:val="18"/>
        </w:rPr>
        <w:t xml:space="preserve">{</w:t>
      </w:r>
    </w:p>
    <w:p>
      <w:pPr>
        <w:shd w:fill="F2F3F5" w:color="auto" w:val="clear"/>
        <w:spacing w:after="0" w:before="0" w:line="260"/>
        <w:ind w:left="215" w:right="215"/>
      </w:pPr>
      <w:r>
        <w:rPr>
          <w:rFonts w:ascii="Consolas" w:cs="Consolas" w:eastAsia="Consolas" w:hAnsi="Consolas"/>
          <w:sz w:val="18"/>
          <w:szCs w:val="18"/>
        </w:rPr>
        <w:t xml:space="preserve">  "access_token": "ya29.a0AdMD6Ejq_WXbDIFe0vrm27qUmKsx…",</w:t>
      </w:r>
    </w:p>
    <w:p>
      <w:pPr>
        <w:shd w:fill="F2F3F5" w:color="auto" w:val="clear"/>
        <w:spacing w:after="0" w:before="0" w:line="260"/>
        <w:ind w:left="215" w:right="215"/>
      </w:pPr>
      <w:r>
        <w:rPr>
          <w:rFonts w:ascii="Consolas" w:cs="Consolas" w:eastAsia="Consolas" w:hAnsi="Consolas"/>
          <w:sz w:val="18"/>
          <w:szCs w:val="18"/>
        </w:rPr>
        <w:t xml:space="preserve">  "expires_in": 3599,</w:t>
      </w:r>
    </w:p>
    <w:p>
      <w:pPr>
        <w:shd w:fill="F2F3F5" w:color="auto" w:val="clear"/>
        <w:spacing w:after="0" w:before="0" w:line="260"/>
        <w:ind w:left="215" w:right="215"/>
      </w:pPr>
      <w:r>
        <w:rPr>
          <w:rFonts w:ascii="Consolas" w:cs="Consolas" w:eastAsia="Consolas" w:hAnsi="Consolas"/>
          <w:sz w:val="18"/>
          <w:szCs w:val="18"/>
        </w:rPr>
        <w:t xml:space="preserve">  "scope": "…/auth/cloud-platform …/auth/run …",</w:t>
      </w:r>
    </w:p>
    <w:p>
      <w:pPr>
        <w:shd w:fill="F2F3F5" w:color="auto" w:val="clear"/>
        <w:spacing w:after="0" w:before="0" w:line="260"/>
        <w:ind w:left="215" w:right="215"/>
      </w:pPr>
      <w:r>
        <w:rPr>
          <w:rFonts w:ascii="Consolas" w:cs="Consolas" w:eastAsia="Consolas" w:hAnsi="Consolas"/>
          <w:sz w:val="18"/>
          <w:szCs w:val="18"/>
        </w:rPr>
        <w:t xml:space="preserve">  "token_type": "Bearer"</w:t>
      </w:r>
    </w:p>
    <w:p>
      <w:pPr>
        <w:shd w:fill="F2F3F5" w:color="auto" w:val="clear"/>
        <w:spacing w:after="160" w:before="0" w:line="260"/>
        <w:ind w:left="215" w:right="215"/>
      </w:pPr>
      <w:r>
        <w:rPr>
          <w:rFonts w:ascii="Consolas" w:cs="Consolas" w:eastAsia="Consolas" w:hAnsi="Consolas"/>
          <w:sz w:val="18"/>
          <w:szCs w:val="18"/>
        </w:rPr>
        <w:t xml:space="preserve">}</w:t>
      </w:r>
    </w:p>
    <w:p>
      <w:pPr>
        <w:spacing w:after="140" w:line="300"/>
      </w:pPr>
      <w:r>
        <w:rPr>
          <w:b/>
          <w:bCs/>
        </w:rPr>
        <w:t xml:space="preserve">This is not a JWT.</w:t>
      </w:r>
      <w:r>
        <w:t xml:space="preserve"> It has no dots, no segments, nothing to decode. Paste it into jwt.io and you get an error. It is an opaque handle — a random-looking string that means something inside Google’s servers and nothing anywhere else. You cannot read it, and neither can anyone else; only Google can look it up.</w:t>
      </w:r>
    </w:p>
    <w:p>
      <w:pPr>
        <w:spacing w:after="140" w:line="300"/>
      </w:pPr>
      <w:r>
        <w:t xml:space="preserve">Two things to notice:</w:t>
      </w:r>
    </w:p>
    <w:p>
      <w:pPr>
        <w:pStyle w:val="ListParagraph"/>
        <w:numPr>
          <w:ilvl w:val="0"/>
          <w:numId w:val="2"/>
        </w:numPr>
        <w:spacing w:after="90" w:line="300"/>
      </w:pPr>
      <w:r>
        <w:rPr>
          <w:rFonts w:ascii="Consolas" w:cs="Consolas" w:eastAsia="Consolas" w:hAnsi="Consolas"/>
          <w:sz w:val="19"/>
          <w:szCs w:val="19"/>
        </w:rPr>
        <w:t xml:space="preserve">expires_in: 3599</w:t>
      </w:r>
      <w:r>
        <w:t xml:space="preserve"> — one hour. This is why it is short-lived and the refresh token is not.</w:t>
      </w:r>
    </w:p>
    <w:p>
      <w:pPr>
        <w:pStyle w:val="ListParagraph"/>
        <w:numPr>
          <w:ilvl w:val="0"/>
          <w:numId w:val="2"/>
        </w:numPr>
        <w:spacing w:after="90" w:line="300"/>
      </w:pPr>
      <w:r>
        <w:rPr>
          <w:rFonts w:ascii="Consolas" w:cs="Consolas" w:eastAsia="Consolas" w:hAnsi="Consolas"/>
          <w:sz w:val="19"/>
          <w:szCs w:val="19"/>
        </w:rPr>
        <w:t xml:space="preserve">scope</w:t>
      </w:r>
      <w:r>
        <w:t xml:space="preserve"> — this is what the token is permitted to do. </w:t>
      </w:r>
      <w:r>
        <w:rPr>
          <w:rFonts w:ascii="Consolas" w:cs="Consolas" w:eastAsia="Consolas" w:hAnsi="Consolas"/>
          <w:sz w:val="19"/>
          <w:szCs w:val="19"/>
        </w:rPr>
        <w:t xml:space="preserve">cloud-platform</w:t>
      </w:r>
      <w:r>
        <w:t xml:space="preserve"> is what lets it call the IAM Credentials API in the next step. Without that scope, call 2 returns 403.</w:t>
      </w:r>
    </w:p>
    <w:p>
      <w:pPr>
        <w:spacing w:after="140" w:line="300"/>
      </w:pPr>
      <w:r>
        <w:t xml:space="preserve">At this point you have permission, but no identity statement you can hand to anyone else. An access token is for talking to Google.</w:t>
      </w:r>
    </w:p>
    <w:p>
      <w:pPr>
        <w:pBdr>
          <w:bottom w:val="single" w:color="D0D3D8" w:sz="6" w:space="1"/>
        </w:pBdr>
        <w:spacing w:after="200" w:before="200"/>
      </w:pPr>
    </w:p>
    <w:p>
      <w:pPr>
        <w:pStyle w:val="Heading1"/>
        <w:spacing w:after="160" w:before="400"/>
      </w:pPr>
      <w:r>
        <w:rPr>
          <w:b/>
          <w:bCs/>
          <w:color w:val="1F4E79"/>
          <w:sz w:val="30"/>
          <w:szCs w:val="30"/>
        </w:rPr>
        <w:t xml:space="preserve">Call 2 — mint an ID token</w:t>
      </w:r>
    </w:p>
    <w:p>
      <w:pPr>
        <w:shd w:fill="F2F3F5" w:color="auto" w:val="clear"/>
        <w:spacing w:after="0" w:before="60" w:line="260"/>
        <w:ind w:left="215" w:right="215"/>
      </w:pPr>
      <w:r>
        <w:rPr>
          <w:rFonts w:ascii="Consolas" w:cs="Consolas" w:eastAsia="Consolas" w:hAnsi="Consolas"/>
          <w:sz w:val="18"/>
          <w:szCs w:val="18"/>
        </w:rPr>
        <w:t xml:space="preserve">POST https://iamcredentials.googleapis.com/v1/projects/-/serviceAccounts/</w:t>
      </w:r>
    </w:p>
    <w:p>
      <w:pPr>
        <w:shd w:fill="F2F3F5" w:color="auto" w:val="clear"/>
        <w:spacing w:after="0" w:before="0" w:line="260"/>
        <w:ind w:left="215" w:right="215"/>
      </w:pPr>
      <w:r>
        <w:rPr>
          <w:rFonts w:ascii="Consolas" w:cs="Consolas" w:eastAsia="Consolas" w:hAnsi="Consolas"/>
          <w:sz w:val="18"/>
          <w:szCs w:val="18"/>
        </w:rPr>
        <w:t xml:space="preserve">     adtgcp-ccs-dev-insight-sa@…iam.gserviceaccount.com:generateIdToken</w:t>
      </w:r>
    </w:p>
    <w:p>
      <w:pPr>
        <w:shd w:fill="F2F3F5" w:color="auto" w:val="clear"/>
        <w:spacing w:after="0" w:before="0" w:line="260"/>
        <w:ind w:left="215" w:right="215"/>
      </w:pPr>
      <w:r>
        <w:rPr>
          <w:rFonts w:ascii="Consolas" w:cs="Consolas" w:eastAsia="Consolas" w:hAnsi="Consolas"/>
          <w:sz w:val="18"/>
          <w:szCs w:val="18"/>
        </w:rPr>
        <w:t xml:space="preserve"> </w:t>
      </w:r>
    </w:p>
    <w:p>
      <w:pPr>
        <w:shd w:fill="F2F3F5" w:color="auto" w:val="clear"/>
        <w:spacing w:after="0" w:before="0" w:line="260"/>
        <w:ind w:left="215" w:right="215"/>
      </w:pPr>
      <w:r>
        <w:rPr>
          <w:rFonts w:ascii="Consolas" w:cs="Consolas" w:eastAsia="Consolas" w:hAnsi="Consolas"/>
          <w:sz w:val="18"/>
          <w:szCs w:val="18"/>
        </w:rPr>
        <w:t xml:space="preserve">Authorization: Bearer &lt;access_token from call 1&gt;</w:t>
      </w:r>
    </w:p>
    <w:p>
      <w:pPr>
        <w:shd w:fill="F2F3F5" w:color="auto" w:val="clear"/>
        <w:spacing w:after="0" w:before="0" w:line="260"/>
        <w:ind w:left="215" w:right="215"/>
      </w:pPr>
      <w:r>
        <w:rPr>
          <w:rFonts w:ascii="Consolas" w:cs="Consolas" w:eastAsia="Consolas" w:hAnsi="Consolas"/>
          <w:sz w:val="18"/>
          <w:szCs w:val="18"/>
        </w:rPr>
        <w:t xml:space="preserve"> </w:t>
      </w:r>
    </w:p>
    <w:p>
      <w:pPr>
        <w:shd w:fill="F2F3F5" w:color="auto" w:val="clear"/>
        <w:spacing w:after="160" w:before="0" w:line="260"/>
        <w:ind w:left="215" w:right="215"/>
      </w:pPr>
      <w:r>
        <w:rPr>
          <w:rFonts w:ascii="Consolas" w:cs="Consolas" w:eastAsia="Consolas" w:hAnsi="Consolas"/>
          <w:sz w:val="18"/>
          <w:szCs w:val="18"/>
        </w:rPr>
        <w:t xml:space="preserve">{ "audience": "https://dev.agentassist.adt.com", "includeEmail": true }</w:t>
      </w:r>
    </w:p>
    <w:p>
      <w:pPr>
        <w:spacing w:after="140" w:line="300"/>
      </w:pPr>
      <w:r>
        <w:t xml:space="preserve">Here the access token is doing its job: it is the </w:t>
      </w:r>
      <w:r>
        <w:rPr>
          <w:rFonts w:ascii="Consolas" w:cs="Consolas" w:eastAsia="Consolas" w:hAnsi="Consolas"/>
          <w:sz w:val="19"/>
          <w:szCs w:val="19"/>
        </w:rPr>
        <w:t xml:space="preserve">Authorization</w:t>
      </w:r>
      <w:r>
        <w:t xml:space="preserve"> header proving you are allowed to make this request. Specifically, it proves you hold </w:t>
      </w:r>
      <w:r>
        <w:rPr>
          <w:b/>
          <w:bCs/>
        </w:rPr>
        <w:t xml:space="preserve">roles/iam.serviceAccountTokenCreator</w:t>
      </w:r>
      <w:r>
        <w:t xml:space="preserve"> on that service account. That is the permission that makes this whole thing work — you are asking Google to mint credentials on behalf of a service account, which is impersonation, and Google will not do it for just anyone.</w:t>
      </w:r>
    </w:p>
    <w:p>
      <w:pPr>
        <w:spacing w:after="140" w:line="300"/>
      </w:pPr>
      <w:r>
        <w:t xml:space="preserve">The service account email in the URL is </w:t>
      </w:r>
      <w:r>
        <w:rPr>
          <w:b/>
          <w:bCs/>
        </w:rPr>
        <w:t xml:space="preserve">who the token will claim to be</w:t>
      </w:r>
      <w:r>
        <w:t xml:space="preserve">. The </w:t>
      </w:r>
      <w:r>
        <w:rPr>
          <w:rFonts w:ascii="Consolas" w:cs="Consolas" w:eastAsia="Consolas" w:hAnsi="Consolas"/>
          <w:sz w:val="19"/>
          <w:szCs w:val="19"/>
        </w:rPr>
        <w:t xml:space="preserve">audience</w:t>
      </w:r>
      <w:r>
        <w:t xml:space="preserve"> in the body is </w:t>
      </w:r>
      <w:r>
        <w:rPr>
          <w:b/>
          <w:bCs/>
        </w:rPr>
        <w:t xml:space="preserve">who the token is addressed to</w:t>
      </w:r>
      <w:r>
        <w:t xml:space="preserve">.</w:t>
      </w:r>
    </w:p>
    <w:p>
      <w:pPr>
        <w:spacing w:after="140" w:line="300"/>
      </w:pPr>
      <w:r>
        <w:t xml:space="preserve">You get back:</w:t>
      </w:r>
    </w:p>
    <w:p>
      <w:pPr>
        <w:shd w:fill="F2F3F5" w:color="auto" w:val="clear"/>
        <w:spacing w:after="160" w:before="60" w:line="260"/>
        <w:ind w:left="215" w:right="215"/>
      </w:pPr>
      <w:r>
        <w:rPr>
          <w:rFonts w:ascii="Consolas" w:cs="Consolas" w:eastAsia="Consolas" w:hAnsi="Consolas"/>
          <w:sz w:val="18"/>
          <w:szCs w:val="18"/>
        </w:rPr>
        <w:t xml:space="preserve">{ "token": "eyJhbGciOiJSUzI1NiIsImtpZCI6…" }</w:t>
      </w:r>
    </w:p>
    <w:p>
      <w:pPr>
        <w:spacing w:after="140" w:line="300"/>
      </w:pPr>
      <w:r>
        <w:rPr>
          <w:b/>
          <w:bCs/>
        </w:rPr>
        <w:t xml:space="preserve">This one is a JWT.</w:t>
      </w:r>
      <w:r>
        <w:t xml:space="preserve"> Three base64 segments separated by dots. Decoding the header from your response gives:</w:t>
      </w:r>
    </w:p>
    <w:p>
      <w:pPr>
        <w:shd w:fill="F2F3F5" w:color="auto" w:val="clear"/>
        <w:spacing w:after="160" w:before="60" w:line="260"/>
        <w:ind w:left="215" w:right="215"/>
      </w:pPr>
      <w:r>
        <w:rPr>
          <w:rFonts w:ascii="Consolas" w:cs="Consolas" w:eastAsia="Consolas" w:hAnsi="Consolas"/>
          <w:sz w:val="18"/>
          <w:szCs w:val="18"/>
        </w:rPr>
        <w:t xml:space="preserve">{ "alg": "RS256", "kid": "f10f87405a979c1df36df26606734f33cd85c271", "typ": "JWT" }</w:t>
      </w:r>
    </w:p>
    <w:p>
      <w:pPr>
        <w:spacing w:after="140" w:line="300"/>
      </w:pPr>
      <w:r>
        <w:t xml:space="preserve">and the payload starts:</w:t>
      </w:r>
    </w:p>
    <w:p>
      <w:pPr>
        <w:shd w:fill="F2F3F5" w:color="auto" w:val="clear"/>
        <w:spacing w:after="0" w:before="60" w:line="260"/>
        <w:ind w:left="215" w:right="215"/>
      </w:pPr>
      <w:r>
        <w:rPr>
          <w:rFonts w:ascii="Consolas" w:cs="Consolas" w:eastAsia="Consolas" w:hAnsi="Consolas"/>
          <w:sz w:val="18"/>
          <w:szCs w:val="18"/>
        </w:rPr>
        <w:t xml:space="preserve">{</w:t>
      </w:r>
    </w:p>
    <w:p>
      <w:pPr>
        <w:shd w:fill="F2F3F5" w:color="auto" w:val="clear"/>
        <w:spacing w:after="0" w:before="0" w:line="260"/>
        <w:ind w:left="215" w:right="215"/>
      </w:pPr>
      <w:r>
        <w:rPr>
          <w:rFonts w:ascii="Consolas" w:cs="Consolas" w:eastAsia="Consolas" w:hAnsi="Consolas"/>
          <w:sz w:val="18"/>
          <w:szCs w:val="18"/>
        </w:rPr>
        <w:t xml:space="preserve">  "aud": "https://dev.agentassist.adt.com",</w:t>
      </w:r>
    </w:p>
    <w:p>
      <w:pPr>
        <w:shd w:fill="F2F3F5" w:color="auto" w:val="clear"/>
        <w:spacing w:after="0" w:before="0" w:line="260"/>
        <w:ind w:left="215" w:right="215"/>
      </w:pPr>
      <w:r>
        <w:rPr>
          <w:rFonts w:ascii="Consolas" w:cs="Consolas" w:eastAsia="Consolas" w:hAnsi="Consolas"/>
          <w:sz w:val="18"/>
          <w:szCs w:val="18"/>
        </w:rPr>
        <w:t xml:space="preserve">  "azp": "117796580182926227113",</w:t>
      </w:r>
    </w:p>
    <w:p>
      <w:pPr>
        <w:shd w:fill="F2F3F5" w:color="auto" w:val="clear"/>
        <w:spacing w:after="0" w:before="0" w:line="260"/>
        <w:ind w:left="215" w:right="215"/>
      </w:pPr>
      <w:r>
        <w:rPr>
          <w:rFonts w:ascii="Consolas" w:cs="Consolas" w:eastAsia="Consolas" w:hAnsi="Consolas"/>
          <w:sz w:val="18"/>
          <w:szCs w:val="18"/>
        </w:rPr>
        <w:t xml:space="preserve">  "email": "adtgcp-ccs-dev-insight-sa@adtgcp-ent-dev-ccs-tlcm-fe10.iam.gserviceaccount.com",</w:t>
      </w:r>
    </w:p>
    <w:p>
      <w:pPr>
        <w:shd w:fill="F2F3F5" w:color="auto" w:val="clear"/>
        <w:spacing w:after="0" w:before="0" w:line="260"/>
        <w:ind w:left="215" w:right="215"/>
      </w:pPr>
      <w:r>
        <w:rPr>
          <w:rFonts w:ascii="Consolas" w:cs="Consolas" w:eastAsia="Consolas" w:hAnsi="Consolas"/>
          <w:sz w:val="18"/>
          <w:szCs w:val="18"/>
        </w:rPr>
        <w:t xml:space="preserve">  …</w:t>
      </w:r>
    </w:p>
    <w:p>
      <w:pPr>
        <w:shd w:fill="F2F3F5" w:color="auto" w:val="clear"/>
        <w:spacing w:after="160" w:before="0" w:line="260"/>
        <w:ind w:left="215" w:right="215"/>
      </w:pPr>
      <w:r>
        <w:rPr>
          <w:rFonts w:ascii="Consolas" w:cs="Consolas" w:eastAsia="Consolas" w:hAnsi="Consolas"/>
          <w:sz w:val="18"/>
          <w:szCs w:val="18"/>
        </w:rPr>
        <w:t xml:space="preserve">}</w:t>
      </w:r>
    </w:p>
    <w:p>
      <w:pPr>
        <w:spacing w:after="140" w:line="300"/>
      </w:pPr>
      <w:r>
        <w:t xml:space="preserve">Plus </w:t>
      </w:r>
      <w:r>
        <w:rPr>
          <w:rFonts w:ascii="Consolas" w:cs="Consolas" w:eastAsia="Consolas" w:hAnsi="Consolas"/>
          <w:sz w:val="19"/>
          <w:szCs w:val="19"/>
        </w:rPr>
        <w:t xml:space="preserve">iss</w:t>
      </w:r>
      <w:r>
        <w:t xml:space="preserve"> (Google), </w:t>
      </w:r>
      <w:r>
        <w:rPr>
          <w:rFonts w:ascii="Consolas" w:cs="Consolas" w:eastAsia="Consolas" w:hAnsi="Consolas"/>
          <w:sz w:val="19"/>
          <w:szCs w:val="19"/>
        </w:rPr>
        <w:t xml:space="preserve">sub</w:t>
      </w:r>
      <w:r>
        <w:t xml:space="preserve">, </w:t>
      </w:r>
      <w:r>
        <w:rPr>
          <w:rFonts w:ascii="Consolas" w:cs="Consolas" w:eastAsia="Consolas" w:hAnsi="Consolas"/>
          <w:sz w:val="19"/>
          <w:szCs w:val="19"/>
        </w:rPr>
        <w:t xml:space="preserve">exp</w:t>
      </w:r>
      <w:r>
        <w:t xml:space="preserve">, </w:t>
      </w:r>
      <w:r>
        <w:rPr>
          <w:rFonts w:ascii="Consolas" w:cs="Consolas" w:eastAsia="Consolas" w:hAnsi="Consolas"/>
          <w:sz w:val="19"/>
          <w:szCs w:val="19"/>
        </w:rPr>
        <w:t xml:space="preserve">iat</w:t>
      </w:r>
      <w:r>
        <w:t xml:space="preserve">, and </w:t>
      </w:r>
      <w:r>
        <w:rPr>
          <w:rFonts w:ascii="Consolas" w:cs="Consolas" w:eastAsia="Consolas" w:hAnsi="Consolas"/>
          <w:sz w:val="19"/>
          <w:szCs w:val="19"/>
        </w:rPr>
        <w:t xml:space="preserve">email_verified</w:t>
      </w:r>
      <w:r>
        <w:t xml:space="preserve"> — the last two exist because you passed </w:t>
      </w:r>
      <w:r>
        <w:rPr>
          <w:rFonts w:ascii="Consolas" w:cs="Consolas" w:eastAsia="Consolas" w:hAnsi="Consolas"/>
          <w:sz w:val="19"/>
          <w:szCs w:val="19"/>
        </w:rPr>
        <w:t xml:space="preserve">includeEmail: true</w:t>
      </w:r>
      <w:r>
        <w:t xml:space="preserve">. Without that flag you would get a token identified only by numeric ID, which is useless if the receiving service allowlists by email.</w:t>
      </w:r>
    </w:p>
    <w:p>
      <w:pPr>
        <w:spacing w:after="140" w:line="300"/>
      </w:pPr>
      <w:r>
        <w:rPr>
          <w:b/>
          <w:bCs/>
        </w:rPr>
        <w:t xml:space="preserve">Nothing here is encrypted.</w:t>
      </w:r>
      <w:r>
        <w:t xml:space="preserve"> It is signed, not secret. Anyone holding the token can read every claim. What they cannot do is change one — that would break the signature.</w:t>
      </w:r>
    </w:p>
    <w:p>
      <w:pPr>
        <w:pBdr>
          <w:bottom w:val="single" w:color="D0D3D8" w:sz="6" w:space="1"/>
        </w:pBdr>
        <w:spacing w:after="200" w:before="200"/>
      </w:pPr>
    </w:p>
    <w:p>
      <w:pPr>
        <w:pStyle w:val="Heading1"/>
        <w:spacing w:after="160" w:before="400"/>
      </w:pPr>
      <w:r>
        <w:rPr>
          <w:b/>
          <w:bCs/>
          <w:color w:val="1F4E79"/>
          <w:sz w:val="30"/>
          <w:szCs w:val="30"/>
        </w:rPr>
        <w:t xml:space="preserve">What "audience" actually does</w:t>
      </w:r>
    </w:p>
    <w:p>
      <w:pPr>
        <w:spacing w:after="140" w:line="300"/>
      </w:pPr>
      <w:r>
        <w:t xml:space="preserve">The </w:t>
      </w:r>
      <w:r>
        <w:rPr>
          <w:rFonts w:ascii="Consolas" w:cs="Consolas" w:eastAsia="Consolas" w:hAnsi="Consolas"/>
          <w:sz w:val="19"/>
          <w:szCs w:val="19"/>
        </w:rPr>
        <w:t xml:space="preserve">aud</w:t>
      </w:r>
      <w:r>
        <w:t xml:space="preserve"> claim is the address on the envelope.</w:t>
      </w:r>
    </w:p>
    <w:p>
      <w:pPr>
        <w:spacing w:after="140" w:line="300"/>
      </w:pPr>
      <w:r>
        <w:t xml:space="preserve">You asked for a token addressed to </w:t>
      </w:r>
      <w:r>
        <w:rPr>
          <w:rFonts w:ascii="Consolas" w:cs="Consolas" w:eastAsia="Consolas" w:hAnsi="Consolas"/>
          <w:sz w:val="19"/>
          <w:szCs w:val="19"/>
        </w:rPr>
        <w:t xml:space="preserve">https://dev.agentassist.adt.com</w:t>
      </w:r>
      <w:r>
        <w:t xml:space="preserve">, and Google wrote that string into the signed payload. When the receiving service gets it, it checks that the address matches its own. If it says anything else, the token is rejected — even though it is genuine, unexpired, and signed by Google.</w:t>
      </w:r>
    </w:p>
    <w:p>
      <w:pPr>
        <w:spacing w:after="140" w:line="300"/>
      </w:pPr>
      <w:r>
        <w:t xml:space="preserve">This is the whole point. Without the audience check, any valid Google ID token minted by anyone, for any unrelated service, would be accepted. The audience is what turns "this is a real token" into "this is a real token meant for me."</w:t>
      </w:r>
    </w:p>
    <w:p>
      <w:pPr>
        <w:spacing w:after="140" w:line="300"/>
      </w:pPr>
      <w:r>
        <w:t xml:space="preserve">The string has to match </w:t>
      </w:r>
      <w:r>
        <w:rPr>
          <w:b/>
          <w:bCs/>
        </w:rPr>
        <w:t xml:space="preserve">character for character</w:t>
      </w:r>
      <w:r>
        <w:t xml:space="preserve"> on both sides — what you request when minting, and what the receiver expects. A trailing slash, or </w:t>
      </w:r>
      <w:r>
        <w:rPr>
          <w:rFonts w:ascii="Consolas" w:cs="Consolas" w:eastAsia="Consolas" w:hAnsi="Consolas"/>
          <w:sz w:val="19"/>
          <w:szCs w:val="19"/>
        </w:rPr>
        <w:t xml:space="preserve">http</w:t>
      </w:r>
      <w:r>
        <w:t xml:space="preserve"> where the other side says </w:t>
      </w:r>
      <w:r>
        <w:rPr>
          <w:rFonts w:ascii="Consolas" w:cs="Consolas" w:eastAsia="Consolas" w:hAnsi="Consolas"/>
          <w:sz w:val="19"/>
          <w:szCs w:val="19"/>
        </w:rPr>
        <w:t xml:space="preserve">https</w:t>
      </w:r>
      <w:r>
        <w:t xml:space="preserve">, is enough to break it. And the failure looks identical to every other auth failure, so it is the first thing to check when something that worked yesterday stops working.</w:t>
      </w:r>
    </w:p>
    <w:p>
      <w:pPr>
        <w:pBdr>
          <w:bottom w:val="single" w:color="D0D3D8" w:sz="6" w:space="1"/>
        </w:pBdr>
        <w:spacing w:after="200" w:before="200"/>
      </w:pPr>
    </w:p>
    <w:p>
      <w:pPr>
        <w:pStyle w:val="Heading1"/>
        <w:spacing w:after="160" w:before="400"/>
      </w:pPr>
      <w:r>
        <w:rPr>
          <w:b/>
          <w:bCs/>
          <w:color w:val="1F4E79"/>
          <w:sz w:val="30"/>
          <w:szCs w:val="30"/>
        </w:rPr>
        <w:t xml:space="preserve">One token, every API on that base URL</w:t>
      </w:r>
    </w:p>
    <w:p>
      <w:pPr>
        <w:spacing w:after="140" w:line="300"/>
      </w:pPr>
      <w:r>
        <w:t xml:space="preserve">This follows directly from how </w:t>
      </w:r>
      <w:r>
        <w:rPr>
          <w:rFonts w:ascii="Consolas" w:cs="Consolas" w:eastAsia="Consolas" w:hAnsi="Consolas"/>
          <w:sz w:val="19"/>
          <w:szCs w:val="19"/>
        </w:rPr>
        <w:t xml:space="preserve">aud</w:t>
      </w:r>
      <w:r>
        <w:t xml:space="preserve"> works, and it surprises people the first time they hit it.</w:t>
      </w:r>
    </w:p>
    <w:p>
      <w:pPr>
        <w:spacing w:after="140" w:line="300"/>
      </w:pPr>
      <w:r>
        <w:t xml:space="preserve">The audience is a </w:t>
      </w:r>
      <w:r>
        <w:rPr>
          <w:b/>
          <w:bCs/>
        </w:rPr>
        <w:t xml:space="preserve">base URL, not a path</w:t>
      </w:r>
      <w:r>
        <w:t xml:space="preserve">. So a token minted for </w:t>
      </w:r>
      <w:r>
        <w:rPr>
          <w:rFonts w:ascii="Consolas" w:cs="Consolas" w:eastAsia="Consolas" w:hAnsi="Consolas"/>
          <w:sz w:val="19"/>
          <w:szCs w:val="19"/>
        </w:rPr>
        <w:t xml:space="preserve">https://dev.agentassist.adt.com</w:t>
      </w:r>
      <w:r>
        <w:t xml:space="preserve"> is accepted by every endpoint sitting under that hostname:</w:t>
      </w:r>
    </w:p>
    <w:p>
      <w:pPr>
        <w:shd w:fill="F2F3F5" w:color="auto" w:val="clear"/>
        <w:spacing w:after="0" w:before="60" w:line="260"/>
        <w:ind w:left="215" w:right="215"/>
      </w:pPr>
      <w:r>
        <w:rPr>
          <w:rFonts w:ascii="Consolas" w:cs="Consolas" w:eastAsia="Consolas" w:hAnsi="Consolas"/>
          <w:sz w:val="18"/>
          <w:szCs w:val="18"/>
        </w:rPr>
        <w:t xml:space="preserve">https://dev.agentassist.adt.com/api/conversations     same token</w:t>
      </w:r>
    </w:p>
    <w:p>
      <w:pPr>
        <w:shd w:fill="F2F3F5" w:color="auto" w:val="clear"/>
        <w:spacing w:after="0" w:before="0" w:line="260"/>
        <w:ind w:left="215" w:right="215"/>
      </w:pPr>
      <w:r>
        <w:rPr>
          <w:rFonts w:ascii="Consolas" w:cs="Consolas" w:eastAsia="Consolas" w:hAnsi="Consolas"/>
          <w:sz w:val="18"/>
          <w:szCs w:val="18"/>
        </w:rPr>
        <w:t xml:space="preserve">https://dev.agentassist.adt.com/api/feedback          same token</w:t>
      </w:r>
    </w:p>
    <w:p>
      <w:pPr>
        <w:shd w:fill="F2F3F5" w:color="auto" w:val="clear"/>
        <w:spacing w:after="0" w:before="0" w:line="260"/>
        <w:ind w:left="215" w:right="215"/>
      </w:pPr>
      <w:r>
        <w:rPr>
          <w:rFonts w:ascii="Consolas" w:cs="Consolas" w:eastAsia="Consolas" w:hAnsi="Consolas"/>
          <w:sz w:val="18"/>
          <w:szCs w:val="18"/>
        </w:rPr>
        <w:t xml:space="preserve">https://dev.agentassist.adt.com/reconnect             same token</w:t>
      </w:r>
    </w:p>
    <w:p>
      <w:pPr>
        <w:shd w:fill="F2F3F5" w:color="auto" w:val="clear"/>
        <w:spacing w:after="160" w:before="0" w:line="260"/>
        <w:ind w:left="215" w:right="215"/>
      </w:pPr>
      <w:r>
        <w:rPr>
          <w:rFonts w:ascii="Consolas" w:cs="Consolas" w:eastAsia="Consolas" w:hAnsi="Consolas"/>
          <w:sz w:val="18"/>
          <w:szCs w:val="18"/>
        </w:rPr>
        <w:t xml:space="preserve">https://dev.agentassist.adt.com/anything/else         same token</w:t>
      </w:r>
    </w:p>
    <w:p>
      <w:pPr>
        <w:spacing w:after="140" w:line="300"/>
      </w:pPr>
      <w:r>
        <w:t xml:space="preserve">You mint once and reuse it across all of them for its full hour. There is no need to call </w:t>
      </w:r>
      <w:r>
        <w:rPr>
          <w:rFonts w:ascii="Consolas" w:cs="Consolas" w:eastAsia="Consolas" w:hAnsi="Consolas"/>
          <w:sz w:val="19"/>
          <w:szCs w:val="19"/>
        </w:rPr>
        <w:t xml:space="preserve">generateIdToken</w:t>
      </w:r>
      <w:r>
        <w:t xml:space="preserve"> again per endpoint, and no separate token per API. Practically, this is convenient — one token in a Postman environment variable covers your whole collection.</w:t>
      </w:r>
    </w:p>
    <w:p>
      <w:pPr>
        <w:spacing w:after="140" w:line="300"/>
      </w:pPr>
      <w:r>
        <w:rPr>
          <w:b/>
          <w:bCs/>
        </w:rPr>
        <w:t xml:space="preserve">But it is worth being clear about what that means.</w:t>
      </w:r>
      <w:r>
        <w:t xml:space="preserve"> If several different services or containers sit behind the same hostname, they all verify the same audience string, so a token that opens one of them structurally opens all of them. The audience is not a permission boundary — it is a targeting mechanism. It stops tokens minted for some other system from being replayed against yours, and that is all it does.</w:t>
      </w:r>
    </w:p>
    <w:p>
      <w:pPr>
        <w:spacing w:after="140" w:line="300"/>
      </w:pPr>
      <w:r>
        <w:t xml:space="preserve">The thing that actually separates one service from another is </w:t>
      </w:r>
      <w:r>
        <w:rPr>
          <w:b/>
          <w:bCs/>
        </w:rPr>
        <w:t xml:space="preserve">the identity check</w:t>
      </w:r>
      <w:r>
        <w:t xml:space="preserve"> (step 5 below). Each service decides for itself which service account emails it will accept. If </w:t>
      </w:r>
      <w:r>
        <w:rPr>
          <w:rFonts w:ascii="Consolas" w:cs="Consolas" w:eastAsia="Consolas" w:hAnsi="Consolas"/>
          <w:sz w:val="19"/>
          <w:szCs w:val="19"/>
        </w:rPr>
        <w:t xml:space="preserve">adtgcp-ccs-dev-insight-sa</w:t>
      </w:r>
      <w:r>
        <w:t xml:space="preserve"> should reach the transcript API but not the admin API, that is enforced by the admin API’s allowlist, not by the audience. Two services sharing a hostname should each keep their own list rather than a shared one.</w:t>
      </w:r>
    </w:p>
    <w:p>
      <w:pPr>
        <w:pStyle w:val="Heading3"/>
        <w:spacing w:after="100" w:before="240"/>
      </w:pPr>
      <w:r>
        <w:rPr>
          <w:b/>
          <w:bCs/>
          <w:sz w:val="22"/>
          <w:szCs w:val="22"/>
        </w:rPr>
        <w:t xml:space="preserve">When it doesn't carry over</w:t>
      </w:r>
    </w:p>
    <w:p>
      <w:pPr>
        <w:spacing w:after="140" w:line="300"/>
      </w:pPr>
      <w:r>
        <w:t xml:space="preserve">A token stops working the moment the base URL changes:</w:t>
      </w:r>
    </w:p>
    <w:p>
      <w:pPr>
        <w:pStyle w:val="ListParagraph"/>
        <w:numPr>
          <w:ilvl w:val="0"/>
          <w:numId w:val="2"/>
        </w:numPr>
        <w:spacing w:after="90" w:line="300"/>
      </w:pPr>
      <w:r>
        <w:rPr>
          <w:b/>
          <w:bCs/>
        </w:rPr>
        <w:t xml:space="preserve">Different hostname</w:t>
      </w:r>
      <w:r>
        <w:t xml:space="preserve"> — a token for </w:t>
      </w:r>
      <w:r>
        <w:rPr>
          <w:rFonts w:ascii="Consolas" w:cs="Consolas" w:eastAsia="Consolas" w:hAnsi="Consolas"/>
          <w:sz w:val="19"/>
          <w:szCs w:val="19"/>
        </w:rPr>
        <w:t xml:space="preserve">dev.agentassist.adt.com</w:t>
      </w:r>
      <w:r>
        <w:t xml:space="preserve"> fails against </w:t>
      </w:r>
      <w:r>
        <w:rPr>
          <w:rFonts w:ascii="Consolas" w:cs="Consolas" w:eastAsia="Consolas" w:hAnsi="Consolas"/>
          <w:sz w:val="19"/>
          <w:szCs w:val="19"/>
        </w:rPr>
        <w:t xml:space="preserve">tst.agentassist.adt.com</w:t>
      </w:r>
      <w:r>
        <w:t xml:space="preserve">. Each environment needs its own.</w:t>
      </w:r>
    </w:p>
    <w:p>
      <w:pPr>
        <w:pStyle w:val="ListParagraph"/>
        <w:numPr>
          <w:ilvl w:val="0"/>
          <w:numId w:val="2"/>
        </w:numPr>
        <w:spacing w:after="90" w:line="300"/>
      </w:pPr>
      <w:r>
        <w:rPr>
          <w:b/>
          <w:bCs/>
        </w:rPr>
        <w:t xml:space="preserve">Direct Cloud Run URLs</w:t>
      </w:r>
      <w:r>
        <w:t xml:space="preserve"> — if you bypass the custom domain and call </w:t>
      </w:r>
      <w:r>
        <w:rPr>
          <w:rFonts w:ascii="Consolas" w:cs="Consolas" w:eastAsia="Consolas" w:hAnsi="Consolas"/>
          <w:sz w:val="19"/>
          <w:szCs w:val="19"/>
        </w:rPr>
        <w:t xml:space="preserve">https://something-711013980984.us-central1.run.app</w:t>
      </w:r>
      <w:r>
        <w:t xml:space="preserve"> with IAM auth on, Google expects the audience to be that </w:t>
      </w:r>
      <w:r>
        <w:rPr>
          <w:rFonts w:ascii="Consolas" w:cs="Consolas" w:eastAsia="Consolas" w:hAnsi="Consolas"/>
          <w:sz w:val="19"/>
          <w:szCs w:val="19"/>
        </w:rPr>
        <w:t xml:space="preserve">run.app</w:t>
      </w:r>
      <w:r>
        <w:t xml:space="preserve"> URL. Your custom-domain token will not match.</w:t>
      </w:r>
    </w:p>
    <w:p>
      <w:pPr>
        <w:pStyle w:val="ListParagraph"/>
        <w:numPr>
          <w:ilvl w:val="0"/>
          <w:numId w:val="2"/>
        </w:numPr>
        <w:spacing w:after="90" w:line="300"/>
      </w:pPr>
      <w:r>
        <w:rPr>
          <w:b/>
          <w:bCs/>
        </w:rPr>
        <w:t xml:space="preserve">Any URL cosmetic difference</w:t>
      </w:r>
      <w:r>
        <w:t xml:space="preserve"> — trailing slash, scheme, casing.</w:t>
      </w:r>
    </w:p>
    <w:p>
      <w:pPr>
        <w:spacing w:after="140" w:line="300"/>
      </w:pPr>
      <w:r>
        <w:t xml:space="preserve">So: one token per base URL, reused freely across all its paths, re-minted when you move environments.</w:t>
      </w:r>
    </w:p>
    <w:p>
      <w:pPr>
        <w:pBdr>
          <w:bottom w:val="single" w:color="D0D3D8" w:sz="6" w:space="1"/>
        </w:pBdr>
        <w:spacing w:after="200" w:before="200"/>
      </w:pPr>
    </w:p>
    <w:p>
      <w:pPr>
        <w:pStyle w:val="Heading1"/>
        <w:spacing w:after="160" w:before="400"/>
      </w:pPr>
      <w:r>
        <w:rPr>
          <w:b/>
          <w:bCs/>
          <w:color w:val="1F4E79"/>
          <w:sz w:val="30"/>
          <w:szCs w:val="30"/>
        </w:rPr>
        <w:t xml:space="preserve">What happens when the ID token is validated</w:t>
      </w:r>
    </w:p>
    <w:p>
      <w:pPr>
        <w:spacing w:after="140" w:line="300"/>
      </w:pPr>
      <w:r>
        <w:t xml:space="preserve">The receiving service runs these steps before doing any real work:</w:t>
      </w:r>
    </w:p>
    <w:p>
      <w:pPr>
        <w:pStyle w:val="ListParagraph"/>
        <w:numPr>
          <w:ilvl w:val="0"/>
          <w:numId w:val="3"/>
        </w:numPr>
        <w:spacing w:after="90" w:line="300"/>
      </w:pPr>
      <w:r>
        <w:rPr>
          <w:b/>
          <w:bCs/>
        </w:rPr>
        <w:t xml:space="preserve">Read the header</w:t>
      </w:r>
      <w:r>
        <w:t xml:space="preserve"> — pull out </w:t>
      </w:r>
      <w:r>
        <w:rPr>
          <w:rFonts w:ascii="Consolas" w:cs="Consolas" w:eastAsia="Consolas" w:hAnsi="Consolas"/>
          <w:sz w:val="19"/>
          <w:szCs w:val="19"/>
        </w:rPr>
        <w:t xml:space="preserve">alg</w:t>
      </w:r>
      <w:r>
        <w:t xml:space="preserve"> (RS256) and </w:t>
      </w:r>
      <w:r>
        <w:rPr>
          <w:rFonts w:ascii="Consolas" w:cs="Consolas" w:eastAsia="Consolas" w:hAnsi="Consolas"/>
          <w:sz w:val="19"/>
          <w:szCs w:val="19"/>
        </w:rPr>
        <w:t xml:space="preserve">kid</w:t>
      </w:r>
      <w:r>
        <w:t xml:space="preserve">. The </w:t>
      </w:r>
      <w:r>
        <w:rPr>
          <w:rFonts w:ascii="Consolas" w:cs="Consolas" w:eastAsia="Consolas" w:hAnsi="Consolas"/>
          <w:sz w:val="19"/>
          <w:szCs w:val="19"/>
        </w:rPr>
        <w:t xml:space="preserve">kid</w:t>
      </w:r>
      <w:r>
        <w:t xml:space="preserve"> says which of Google’s signing keys was used.</w:t>
      </w:r>
    </w:p>
    <w:p>
      <w:pPr>
        <w:pStyle w:val="ListParagraph"/>
        <w:numPr>
          <w:ilvl w:val="0"/>
          <w:numId w:val="3"/>
        </w:numPr>
        <w:spacing w:after="90" w:line="300"/>
      </w:pPr>
      <w:r>
        <w:rPr>
          <w:b/>
          <w:bCs/>
        </w:rPr>
        <w:t xml:space="preserve">Fetch Google’s public keys</w:t>
      </w:r>
      <w:r>
        <w:t xml:space="preserve"> — Google publishes them at a well-known URL. Find the one matching </w:t>
      </w:r>
      <w:r>
        <w:rPr>
          <w:rFonts w:ascii="Consolas" w:cs="Consolas" w:eastAsia="Consolas" w:hAnsi="Consolas"/>
          <w:sz w:val="19"/>
          <w:szCs w:val="19"/>
        </w:rPr>
        <w:t xml:space="preserve">kid</w:t>
      </w:r>
      <w:r>
        <w:t xml:space="preserve">. These rotate, so the fetch has to be live, but cached, or you would make an HTTPS call on every request.</w:t>
      </w:r>
    </w:p>
    <w:p>
      <w:pPr>
        <w:pStyle w:val="ListParagraph"/>
        <w:numPr>
          <w:ilvl w:val="0"/>
          <w:numId w:val="3"/>
        </w:numPr>
        <w:spacing w:after="90" w:line="300"/>
      </w:pPr>
      <w:r>
        <w:rPr>
          <w:b/>
          <w:bCs/>
        </w:rPr>
        <w:t xml:space="preserve">Verify the signature</w:t>
      </w:r>
      <w:r>
        <w:t xml:space="preserve"> — check RS256 over </w:t>
      </w:r>
      <w:r>
        <w:rPr>
          <w:rFonts w:ascii="Consolas" w:cs="Consolas" w:eastAsia="Consolas" w:hAnsi="Consolas"/>
          <w:sz w:val="19"/>
          <w:szCs w:val="19"/>
        </w:rPr>
        <w:t xml:space="preserve">header.payload</w:t>
      </w:r>
      <w:r>
        <w:t xml:space="preserve"> with that public key. This is the step that makes forgery impractical: you would need Google’s private key to fake it. If it passes, everything in the payload is trustworthy.</w:t>
      </w:r>
    </w:p>
    <w:p>
      <w:pPr>
        <w:pStyle w:val="ListParagraph"/>
        <w:numPr>
          <w:ilvl w:val="0"/>
          <w:numId w:val="3"/>
        </w:numPr>
        <w:spacing w:after="90" w:line="300"/>
      </w:pPr>
      <w:r>
        <w:rPr>
          <w:b/>
          <w:bCs/>
        </w:rPr>
        <w:t xml:space="preserve">Check standard claims</w:t>
      </w:r>
      <w:r>
        <w:t xml:space="preserve"> — </w:t>
      </w:r>
      <w:r>
        <w:rPr>
          <w:rFonts w:ascii="Consolas" w:cs="Consolas" w:eastAsia="Consolas" w:hAnsi="Consolas"/>
          <w:sz w:val="19"/>
          <w:szCs w:val="19"/>
        </w:rPr>
        <w:t xml:space="preserve">iss</w:t>
      </w:r>
      <w:r>
        <w:t xml:space="preserve"> really is Google, </w:t>
      </w:r>
      <w:r>
        <w:rPr>
          <w:rFonts w:ascii="Consolas" w:cs="Consolas" w:eastAsia="Consolas" w:hAnsi="Consolas"/>
          <w:sz w:val="19"/>
          <w:szCs w:val="19"/>
        </w:rPr>
        <w:t xml:space="preserve">aud</w:t>
      </w:r>
      <w:r>
        <w:t xml:space="preserve"> matches, </w:t>
      </w:r>
      <w:r>
        <w:rPr>
          <w:rFonts w:ascii="Consolas" w:cs="Consolas" w:eastAsia="Consolas" w:hAnsi="Consolas"/>
          <w:sz w:val="19"/>
          <w:szCs w:val="19"/>
        </w:rPr>
        <w:t xml:space="preserve">exp</w:t>
      </w:r>
      <w:r>
        <w:t xml:space="preserve"> has not passed, </w:t>
      </w:r>
      <w:r>
        <w:rPr>
          <w:rFonts w:ascii="Consolas" w:cs="Consolas" w:eastAsia="Consolas" w:hAnsi="Consolas"/>
          <w:sz w:val="19"/>
          <w:szCs w:val="19"/>
        </w:rPr>
        <w:t xml:space="preserve">iat</w:t>
      </w:r>
      <w:r>
        <w:t xml:space="preserve"> is not in the future (with a small tolerance for clock drift between machines).</w:t>
      </w:r>
    </w:p>
    <w:p>
      <w:pPr>
        <w:pStyle w:val="ListParagraph"/>
        <w:numPr>
          <w:ilvl w:val="0"/>
          <w:numId w:val="3"/>
        </w:numPr>
        <w:spacing w:after="90" w:line="300"/>
      </w:pPr>
      <w:r>
        <w:rPr>
          <w:b/>
          <w:bCs/>
        </w:rPr>
        <w:t xml:space="preserve">Check who it is</w:t>
      </w:r>
      <w:r>
        <w:t xml:space="preserve"> — is this </w:t>
      </w:r>
      <w:r>
        <w:rPr>
          <w:rFonts w:ascii="Consolas" w:cs="Consolas" w:eastAsia="Consolas" w:hAnsi="Consolas"/>
          <w:sz w:val="19"/>
          <w:szCs w:val="19"/>
        </w:rPr>
        <w:t xml:space="preserve">email</w:t>
      </w:r>
      <w:r>
        <w:t xml:space="preserve"> on my allowlist of permitted service accounts? Is </w:t>
      </w:r>
      <w:r>
        <w:rPr>
          <w:rFonts w:ascii="Consolas" w:cs="Consolas" w:eastAsia="Consolas" w:hAnsi="Consolas"/>
          <w:sz w:val="19"/>
          <w:szCs w:val="19"/>
        </w:rPr>
        <w:t xml:space="preserve">email_verified</w:t>
      </w:r>
      <w:r>
        <w:t xml:space="preserve"> true?</w:t>
      </w:r>
    </w:p>
    <w:p>
      <w:pPr>
        <w:spacing w:after="140" w:line="300"/>
      </w:pPr>
      <w:r>
        <w:t xml:space="preserve">Steps 1–4 only establish that the caller genuinely is who they claim. Step 5 is the one that decides whether you want them. That last check is the real authorization boundary — several services can legitimately share one audience string, so identity is what separates them.</w:t>
      </w:r>
    </w:p>
    <w:p>
      <w:pPr>
        <w:spacing w:after="140" w:line="300"/>
      </w:pPr>
      <w:r>
        <w:t xml:space="preserve">Notice that </w:t>
      </w:r>
      <w:r>
        <w:rPr>
          <w:b/>
          <w:bCs/>
        </w:rPr>
        <w:t xml:space="preserve">none of this involves calling Google to ask "is this token valid?"</w:t>
      </w:r>
      <w:r>
        <w:t xml:space="preserve"> The signature is checked locally against cached public keys. That is what makes ID token validation cheap enough to run on every single request — and it is the practical difference between a JWT and an opaque token.</w:t>
      </w:r>
    </w:p>
    <w:p>
      <w:pPr>
        <w:spacing w:after="140" w:line="300"/>
      </w:pPr>
      <w:r>
        <w:t xml:space="preserve">If the service is a Cloud Run service with authentication required, Google’s infrastructure runs all five steps before your container ever sees the request; you write no auth code. If it allows unauthenticated invocations, the request arrives raw and you run steps 1–5 yourself, usually with a library where you just supply the expected audience and the allowlist.</w:t>
      </w:r>
    </w:p>
    <w:p>
      <w:pPr>
        <w:pBdr>
          <w:bottom w:val="single" w:color="D0D3D8" w:sz="6" w:space="1"/>
        </w:pBdr>
        <w:spacing w:after="200" w:before="200"/>
      </w:pPr>
    </w:p>
    <w:p>
      <w:pPr>
        <w:pStyle w:val="Heading1"/>
        <w:spacing w:after="160" w:before="400"/>
      </w:pPr>
      <w:r>
        <w:rPr>
          <w:b/>
          <w:bCs/>
          <w:color w:val="1F4E79"/>
          <w:sz w:val="30"/>
          <w:szCs w:val="30"/>
        </w:rPr>
        <w:t xml:space="preserve">Why two calls instead of one</w:t>
      </w:r>
    </w:p>
    <w:p>
      <w:pPr>
        <w:spacing w:after="140" w:line="300"/>
      </w:pPr>
      <w:r>
        <w:t xml:space="preserve">It is fair to ask why you cannot just get the ID token directly.</w:t>
      </w:r>
    </w:p>
    <w:p>
      <w:pPr>
        <w:spacing w:after="140" w:line="300"/>
      </w:pPr>
      <w:r>
        <w:t xml:space="preserve">Because the two calls answer different questions. Call 1 establishes that you are allowed to impersonate this service account. Call 2 is the impersonation itself. Splitting them means the permission to impersonate is an IAM role that can be granted, audited, and revoked independently — nobody has to hold the service account’s private key.</w:t>
      </w:r>
    </w:p>
    <w:p>
      <w:pPr>
        <w:spacing w:after="140" w:line="300"/>
      </w:pPr>
      <w:r>
        <w:t xml:space="preserve">That is the real benefit of this pattern over downloading a service account JSON key: </w:t>
      </w:r>
      <w:r>
        <w:rPr>
          <w:b/>
          <w:bCs/>
        </w:rPr>
        <w:t xml:space="preserve">there is no private key to leak.</w:t>
      </w:r>
      <w:r>
        <w:t xml:space="preserve"> Access is a role assignment, and removing it takes effect immediately.</w:t>
      </w:r>
    </w:p>
    <w:p>
      <w:pPr>
        <w:pBdr>
          <w:bottom w:val="single" w:color="D0D3D8" w:sz="6" w:space="1"/>
        </w:pBdr>
        <w:spacing w:after="200" w:before="200"/>
      </w:pPr>
    </w:p>
    <w:p>
      <w:pPr>
        <w:pStyle w:val="Heading1"/>
        <w:spacing w:after="160" w:before="400"/>
      </w:pPr>
      <w:r>
        <w:rPr>
          <w:b/>
          <w:bCs/>
          <w:color w:val="1F4E79"/>
          <w:sz w:val="30"/>
          <w:szCs w:val="30"/>
        </w:rPr>
        <w:t xml:space="preserve">Practical notes</w:t>
      </w:r>
    </w:p>
    <w:p>
      <w:pPr>
        <w:pStyle w:val="ListParagraph"/>
        <w:numPr>
          <w:ilvl w:val="0"/>
          <w:numId w:val="2"/>
        </w:numPr>
        <w:spacing w:after="90" w:line="300"/>
      </w:pPr>
      <w:r>
        <w:rPr>
          <w:b/>
          <w:bCs/>
        </w:rPr>
        <w:t xml:space="preserve">Both tokens last about an hour.</w:t>
      </w:r>
      <w:r>
        <w:t xml:space="preserve"> Cache and reuse them; do not mint one per request. Re-run call 1 when the access token expires, call 2 when the ID token does.</w:t>
      </w:r>
    </w:p>
    <w:p>
      <w:pPr>
        <w:pStyle w:val="ListParagraph"/>
        <w:numPr>
          <w:ilvl w:val="0"/>
          <w:numId w:val="2"/>
        </w:numPr>
        <w:spacing w:after="90" w:line="300"/>
      </w:pPr>
      <w:r>
        <w:rPr>
          <w:b/>
          <w:bCs/>
        </w:rPr>
        <w:t xml:space="preserve">You can skip call 1 entirely on GCP compute.</w:t>
      </w:r>
      <w:r>
        <w:t xml:space="preserve"> Code running on Cloud Run, GKE, or a GCE VM can fetch an ID token straight from the metadata server, no refresh token involved:</w:t>
      </w:r>
    </w:p>
    <w:p>
      <w:pPr>
        <w:shd w:fill="F2F3F5" w:color="auto" w:val="clear"/>
        <w:spacing w:after="0" w:before="60" w:line="260"/>
        <w:ind w:left="215" w:right="215"/>
      </w:pPr>
      <w:r>
        <w:rPr>
          <w:rFonts w:ascii="Consolas" w:cs="Consolas" w:eastAsia="Consolas" w:hAnsi="Consolas"/>
          <w:sz w:val="18"/>
          <w:szCs w:val="18"/>
        </w:rPr>
        <w:t xml:space="preserve">GET http://metadata.google.internal/computeMetadata/v1/instance/</w:t>
      </w:r>
    </w:p>
    <w:p>
      <w:pPr>
        <w:shd w:fill="F2F3F5" w:color="auto" w:val="clear"/>
        <w:spacing w:after="0" w:before="0" w:line="260"/>
        <w:ind w:left="215" w:right="215"/>
      </w:pPr>
      <w:r>
        <w:rPr>
          <w:rFonts w:ascii="Consolas" w:cs="Consolas" w:eastAsia="Consolas" w:hAnsi="Consolas"/>
          <w:sz w:val="18"/>
          <w:szCs w:val="18"/>
        </w:rPr>
        <w:t xml:space="preserve">    service-accounts/default/identity?audience=https://dev.agentassist.adt.com</w:t>
      </w:r>
    </w:p>
    <w:p>
      <w:pPr>
        <w:shd w:fill="F2F3F5" w:color="auto" w:val="clear"/>
        <w:spacing w:after="160" w:before="0" w:line="260"/>
        <w:ind w:left="215" w:right="215"/>
      </w:pPr>
      <w:r>
        <w:rPr>
          <w:rFonts w:ascii="Consolas" w:cs="Consolas" w:eastAsia="Consolas" w:hAnsi="Consolas"/>
          <w:sz w:val="18"/>
          <w:szCs w:val="18"/>
        </w:rPr>
        <w:t xml:space="preserve">Metadata-Flavor: Google</w:t>
      </w:r>
    </w:p>
    <w:p>
      <w:pPr>
        <w:spacing w:after="140" w:line="300"/>
      </w:pPr>
      <w:r>
        <w:t xml:space="preserve">The two-call Postman flow is the off-platform equivalent — for testing from your laptop, or from something like Salesforce that is not running on GCP.</w:t>
      </w:r>
    </w:p>
    <w:p>
      <w:pPr>
        <w:pStyle w:val="ListParagraph"/>
        <w:numPr>
          <w:ilvl w:val="0"/>
          <w:numId w:val="2"/>
        </w:numPr>
        <w:spacing w:after="90" w:line="300"/>
      </w:pPr>
      <w:r>
        <w:rPr>
          <w:b/>
          <w:bCs/>
        </w:rPr>
        <w:t xml:space="preserve">The refresh token and client secret are the crown jewels here.</w:t>
      </w:r>
      <w:r>
        <w:t xml:space="preserve"> They are long-lived and together they mint access tokens without any further login. Keep them in Postman’s Vault or environment variables, not in the request body where they are visible in screenshots and shared collections.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Two-Call Token Flow</dc:title>
  <dc:creator>Avinash Sharma</dc:creator>
  <dc:description>ID tokens, access tokens, and validation</dc:description>
  <cp:lastModifiedBy>Un-named</cp:lastModifiedBy>
  <cp:revision>1</cp:revision>
  <dcterms:created xsi:type="dcterms:W3CDTF">2026-08-18T14:51:12.115Z</dcterms:created>
  <dcterms:modified xsi:type="dcterms:W3CDTF">2026-08-18T14:51:12.161Z</dcterms:modified>
</cp:coreProperties>
</file>

<file path=docProps/custom.xml><?xml version="1.0" encoding="utf-8"?>
<Properties xmlns="http://schemas.openxmlformats.org/officeDocument/2006/custom-properties" xmlns:vt="http://schemas.openxmlformats.org/officeDocument/2006/docPropsVTypes"/>
</file>