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rPr/>
      </w:pPr>
      <w:bookmarkStart w:colFirst="0" w:colLast="0" w:name="_2e5yzoqusvzz" w:id="0"/>
      <w:bookmarkEnd w:id="0"/>
      <w:r w:rsidDel="00000000" w:rsidR="00000000" w:rsidRPr="00000000">
        <w:rPr>
          <w:rtl w:val="0"/>
        </w:rPr>
        <w:t xml:space="preserve">Source Code Plagiarisation and Detection</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emoxnnr2q16o" w:id="1"/>
      <w:bookmarkEnd w:id="1"/>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a2gv8gset6h3" w:id="2"/>
      <w:bookmarkEnd w:id="2"/>
      <w:r w:rsidDel="00000000" w:rsidR="00000000" w:rsidRPr="00000000">
        <w:rPr>
          <w:rtl w:val="0"/>
        </w:rPr>
        <w:t xml:space="preserve">Abstract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presentation briefly describes source code plagiarisation among students in programming courses. It describes the motivations for students for choosing such a course of action and enumerates the preventive measures usually taken to render plagiarization undetectable. Subsequently results of two case studies are presented for clarity.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rest of the presentation deals with the softwares that may be used to detect plagiarization and their merits and demerits. Next we discuss an approach that may further help to detect plagiarisation. The presentation concludes by stating stricter forms of evaluation leads to better breed of programmers and plagiarisation undermines learning.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