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56"/>
          <w:szCs w:val="56"/>
        </w:rPr>
        <w:t xml:space="preserve">OCR Model Evaluation</w:t>
      </w:r>
    </w:p>
    <w:p>
      <w:pPr>
        <w:spacing w:after="100"/>
        <w:jc w:val="center"/>
      </w:pPr>
      <w:r>
        <w:rPr>
          <w:rFonts w:ascii="Arial" w:cs="Arial" w:eastAsia="Arial" w:hAnsi="Arial"/>
          <w:color w:val="2E75B6"/>
          <w:sz w:val="44"/>
          <w:szCs w:val="44"/>
        </w:rPr>
        <w:t xml:space="preserve">Whitepaper</w:t>
      </w:r>
    </w:p>
    <w:p>
      <w:pPr>
        <w:pBdr>
          <w:bottom w:val="single" w:color="2E75B6" w:sz="6" w:space="1"/>
        </w:pBdr>
        <w:spacing w:after="600"/>
        <w:jc w:val="center"/>
      </w:pPr>
      <w:r>
        <w:rPr>
          <w:sz w:val="12"/>
          <w:szCs w:val="12"/>
        </w:rPr>
        <w:t xml:space="preserve"> </w:t>
      </w:r>
    </w:p>
    <w:p>
      <w:pPr>
        <w:spacing w:after="100"/>
        <w:jc w:val="center"/>
      </w:pPr>
      <w:r>
        <w:rPr>
          <w:rFonts w:ascii="Arial" w:cs="Arial" w:eastAsia="Arial" w:hAnsi="Arial"/>
          <w:i/>
          <w:iCs/>
          <w:color w:val="555555"/>
          <w:sz w:val="24"/>
          <w:szCs w:val="24"/>
        </w:rPr>
        <w:t xml:space="preserve">A Comparative Analysis of 14 OCR Solutions for Enterprise Use</w:t>
      </w:r>
    </w:p>
    <w:p>
      <w:pPr>
        <w:spacing w:before="1200"/>
      </w:pPr>
    </w:p>
    <w:p>
      <w:pPr>
        <w:spacing w:after="80"/>
        <w:jc w:val="center"/>
      </w:pPr>
      <w:r>
        <w:rPr>
          <w:rFonts w:ascii="Arial" w:cs="Arial" w:eastAsia="Arial" w:hAnsi="Arial"/>
          <w:color w:val="1B3A5C"/>
          <w:sz w:val="24"/>
          <w:szCs w:val="24"/>
        </w:rPr>
        <w:t xml:space="preserve">[Your Organization Name]</w:t>
      </w:r>
    </w:p>
    <w:p>
      <w:pPr>
        <w:spacing w:after="80"/>
        <w:jc w:val="center"/>
      </w:pPr>
      <w:r>
        <w:rPr>
          <w:rFonts w:ascii="Arial" w:cs="Arial" w:eastAsia="Arial" w:hAnsi="Arial"/>
          <w:color w:val="555555"/>
          <w:sz w:val="22"/>
          <w:szCs w:val="22"/>
        </w:rPr>
        <w:t xml:space="preserve">GenAI Practice</w:t>
      </w:r>
    </w:p>
    <w:p>
      <w:pPr>
        <w:spacing w:after="80"/>
        <w:jc w:val="center"/>
      </w:pPr>
      <w:r>
        <w:rPr>
          <w:rFonts w:ascii="Arial" w:cs="Arial" w:eastAsia="Arial" w:hAnsi="Arial"/>
          <w:color w:val="555555"/>
          <w:sz w:val="22"/>
          <w:szCs w:val="22"/>
        </w:rPr>
        <w:t xml:space="preserve">[Month Year]</w:t>
      </w:r>
    </w:p>
    <w:p>
      <w:pPr>
        <w:jc w:val="center"/>
      </w:pPr>
      <w:r>
        <w:rPr>
          <w:rFonts w:ascii="Arial" w:cs="Arial" w:eastAsia="Arial" w:hAnsi="Arial"/>
          <w:color w:val="999999"/>
          <w:sz w:val="20"/>
          <w:szCs w:val="20"/>
        </w:rPr>
        <w:t xml:space="preserve">Version 2.0  |  CONFIDENTIAL</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bottom w:val="single" w:color="2E75B6" w:sz="4" w:space="1"/>
        </w:pBdr>
        <w:spacing w:before="600" w:after="400"/>
        <w:jc w:val="center"/>
      </w:pPr>
      <w:r>
        <w:rPr>
          <w:rFonts w:ascii="Arial" w:cs="Arial" w:eastAsia="Arial" w:hAnsi="Arial"/>
          <w:b/>
          <w:bCs/>
          <w:color w:val="1B3A5C"/>
          <w:sz w:val="28"/>
          <w:szCs w:val="28"/>
        </w:rPr>
        <w:t xml:space="preserve">PART A: WHITEPAPER STRUCTURE &amp; OUTLINE</w:t>
      </w:r>
    </w:p>
    <w:p>
      <w:pPr>
        <w:spacing w:after="120"/>
      </w:pPr>
      <w:r>
        <w:rPr>
          <w:rFonts w:ascii="Arial" w:cs="Arial" w:eastAsia="Arial" w:hAnsi="Arial"/>
          <w:i/>
          <w:iCs/>
          <w:color w:val="666666"/>
          <w:sz w:val="20"/>
          <w:szCs w:val="20"/>
        </w:rPr>
        <w:t xml:space="preserve">This section defines the structure and content guidance for each chapter of the final whitepaper. Updated to reflect 14 OCR models, standardized evaluation framework, and automated testing pipeline.</w:t>
      </w:r>
    </w:p>
    <w:p>
      <w:pPr>
        <w:pStyle w:val="Heading1"/>
      </w:pPr>
      <w:r>
        <w:t xml:space="preserve">1. Executive Summary</w:t>
      </w:r>
    </w:p>
    <w:p>
      <w:pPr>
        <w:spacing w:after="120"/>
      </w:pPr>
      <w:r>
        <w:rPr>
          <w:rFonts w:ascii="Arial" w:cs="Arial" w:eastAsia="Arial" w:hAnsi="Arial"/>
          <w:sz w:val="22"/>
          <w:szCs w:val="22"/>
        </w:rPr>
        <w:t xml:space="preserve">Provide a concise 1-page overview for senior leadership and decision-makers.</w:t>
      </w:r>
    </w:p>
    <w:p>
      <w:pPr>
        <w:pStyle w:val="Heading2"/>
      </w:pPr>
      <w:r>
        <w:t xml:space="preserve">1.1 What to Include</w:t>
      </w:r>
    </w:p>
    <w:p>
      <w:pPr>
        <w:pStyle w:val="ListParagraph"/>
        <w:numPr>
          <w:ilvl w:val="0"/>
          <w:numId w:val="2"/>
        </w:numPr>
        <w:spacing w:after="60"/>
      </w:pPr>
      <w:r>
        <w:rPr>
          <w:rFonts w:ascii="Arial" w:cs="Arial" w:eastAsia="Arial" w:hAnsi="Arial"/>
          <w:sz w:val="22"/>
          <w:szCs w:val="22"/>
        </w:rPr>
        <w:t xml:space="preserve">Business context: Why OCR capability is critical for the organization</w:t>
      </w:r>
    </w:p>
    <w:p>
      <w:pPr>
        <w:pStyle w:val="ListParagraph"/>
        <w:numPr>
          <w:ilvl w:val="0"/>
          <w:numId w:val="2"/>
        </w:numPr>
        <w:spacing w:after="60"/>
      </w:pPr>
      <w:r>
        <w:rPr>
          <w:rFonts w:ascii="Arial" w:cs="Arial" w:eastAsia="Arial" w:hAnsi="Arial"/>
          <w:sz w:val="22"/>
          <w:szCs w:val="22"/>
        </w:rPr>
        <w:t xml:space="preserve">Scope: 14 OCR models evaluated across 10 dimensions using 100-150 standardized test documents</w:t>
      </w:r>
    </w:p>
    <w:p>
      <w:pPr>
        <w:pStyle w:val="ListParagraph"/>
        <w:numPr>
          <w:ilvl w:val="0"/>
          <w:numId w:val="2"/>
        </w:numPr>
        <w:spacing w:after="60"/>
      </w:pPr>
      <w:r>
        <w:rPr>
          <w:rFonts w:ascii="Arial" w:cs="Arial" w:eastAsia="Arial" w:hAnsi="Arial"/>
          <w:sz w:val="22"/>
          <w:szCs w:val="22"/>
        </w:rPr>
        <w:t xml:space="preserve">Key finding: Top 2-3 recommended models with use-case mapping</w:t>
      </w:r>
    </w:p>
    <w:p>
      <w:pPr>
        <w:pStyle w:val="ListParagraph"/>
        <w:numPr>
          <w:ilvl w:val="0"/>
          <w:numId w:val="2"/>
        </w:numPr>
        <w:spacing w:after="60"/>
      </w:pPr>
      <w:r>
        <w:rPr>
          <w:rFonts w:ascii="Arial" w:cs="Arial" w:eastAsia="Arial" w:hAnsi="Arial"/>
          <w:sz w:val="22"/>
          <w:szCs w:val="22"/>
        </w:rPr>
        <w:t xml:space="preserve">High-level cost comparison (cloud API vs open-source vs self-hosted)</w:t>
      </w:r>
    </w:p>
    <w:p>
      <w:pPr>
        <w:pStyle w:val="ListParagraph"/>
        <w:numPr>
          <w:ilvl w:val="0"/>
          <w:numId w:val="2"/>
        </w:numPr>
        <w:spacing w:after="60"/>
      </w:pPr>
      <w:r>
        <w:rPr>
          <w:rFonts w:ascii="Arial" w:cs="Arial" w:eastAsia="Arial" w:hAnsi="Arial"/>
          <w:sz w:val="22"/>
          <w:szCs w:val="22"/>
        </w:rPr>
        <w:t xml:space="preserve">Strategic recommendation with primary and fallback options</w:t>
      </w:r>
    </w:p>
    <w:p>
      <w:pPr>
        <w:spacing w:after="120"/>
      </w:pPr>
      <w:r>
        <w:rPr>
          <w:rFonts w:ascii="Arial" w:cs="Arial" w:eastAsia="Arial" w:hAnsi="Arial"/>
          <w:i/>
          <w:iCs/>
          <w:color w:val="666666"/>
          <w:sz w:val="20"/>
          <w:szCs w:val="20"/>
        </w:rPr>
        <w:t xml:space="preserve">Write this LAST, after all evaluation results are in. Keep to 1 page.</w:t>
      </w:r>
    </w:p>
    <w:p>
      <w:pPr>
        <w:pStyle w:val="Heading1"/>
      </w:pPr>
      <w:r>
        <w:t xml:space="preserve">2. Introduction &amp; Background</w:t>
      </w:r>
    </w:p>
    <w:p>
      <w:pPr>
        <w:pStyle w:val="Heading2"/>
      </w:pPr>
      <w:r>
        <w:t xml:space="preserve">2.1 Business Need</w:t>
      </w:r>
    </w:p>
    <w:p>
      <w:pPr>
        <w:spacing w:after="120"/>
      </w:pPr>
      <w:r>
        <w:rPr>
          <w:rFonts w:ascii="Arial" w:cs="Arial" w:eastAsia="Arial" w:hAnsi="Arial"/>
          <w:sz w:val="22"/>
          <w:szCs w:val="22"/>
        </w:rPr>
        <w:t xml:space="preserve">Describe the specific organizational pain points that OCR addresses: document digitization, automated data extraction from invoices/forms, reducing manual processing, compliance requirements, multilingual document handling (especially Indian languages).</w:t>
      </w:r>
    </w:p>
    <w:p>
      <w:pPr>
        <w:pStyle w:val="Heading2"/>
      </w:pPr>
      <w:r>
        <w:t xml:space="preserve">2.2 Brief Evolution of OCR</w:t>
      </w:r>
    </w:p>
    <w:p>
      <w:pPr>
        <w:spacing w:after="120"/>
      </w:pPr>
      <w:r>
        <w:rPr>
          <w:rFonts w:ascii="Arial" w:cs="Arial" w:eastAsia="Arial" w:hAnsi="Arial"/>
          <w:i/>
          <w:iCs/>
          <w:color w:val="666666"/>
          <w:sz w:val="20"/>
          <w:szCs w:val="20"/>
        </w:rPr>
        <w:t xml:space="preserve">Keep concise (1-2 pages). Focus on the trajectory, not deep history.</w:t>
      </w:r>
    </w:p>
    <w:p>
      <w:pPr>
        <w:pStyle w:val="ListParagraph"/>
        <w:numPr>
          <w:ilvl w:val="0"/>
          <w:numId w:val="3"/>
        </w:numPr>
        <w:spacing w:after="60"/>
      </w:pPr>
      <w:r>
        <w:rPr>
          <w:rFonts w:ascii="Arial" w:cs="Arial" w:eastAsia="Arial" w:hAnsi="Arial"/>
          <w:sz w:val="22"/>
          <w:szCs w:val="22"/>
        </w:rPr>
        <w:t xml:space="preserve">Rule-based / Template OCR (early approaches, rigid, low accuracy on varied layouts)</w:t>
      </w:r>
    </w:p>
    <w:p>
      <w:pPr>
        <w:pStyle w:val="ListParagraph"/>
        <w:numPr>
          <w:ilvl w:val="0"/>
          <w:numId w:val="3"/>
        </w:numPr>
        <w:spacing w:after="60"/>
      </w:pPr>
      <w:r>
        <w:rPr>
          <w:rFonts w:ascii="Arial" w:cs="Arial" w:eastAsia="Arial" w:hAnsi="Arial"/>
          <w:sz w:val="22"/>
          <w:szCs w:val="22"/>
        </w:rPr>
        <w:t xml:space="preserve">Machine Learning-based OCR (feature engineering, improved but limited)</w:t>
      </w:r>
    </w:p>
    <w:p>
      <w:pPr>
        <w:pStyle w:val="ListParagraph"/>
        <w:numPr>
          <w:ilvl w:val="0"/>
          <w:numId w:val="3"/>
        </w:numPr>
        <w:spacing w:after="60"/>
      </w:pPr>
      <w:r>
        <w:rPr>
          <w:rFonts w:ascii="Arial" w:cs="Arial" w:eastAsia="Arial" w:hAnsi="Arial"/>
          <w:sz w:val="22"/>
          <w:szCs w:val="22"/>
        </w:rPr>
        <w:t xml:space="preserve">Deep Learning / CNN-based OCR (Tesseract 4+, CRNN architectures)</w:t>
      </w:r>
    </w:p>
    <w:p>
      <w:pPr>
        <w:pStyle w:val="ListParagraph"/>
        <w:numPr>
          <w:ilvl w:val="0"/>
          <w:numId w:val="3"/>
        </w:numPr>
        <w:spacing w:after="60"/>
      </w:pPr>
      <w:r>
        <w:rPr>
          <w:rFonts w:ascii="Arial" w:cs="Arial" w:eastAsia="Arial" w:hAnsi="Arial"/>
          <w:sz w:val="22"/>
          <w:szCs w:val="22"/>
        </w:rPr>
        <w:t xml:space="preserve">Transformer &amp; Multimodal Models (LLM-powered OCR, LayoutLM, layout-aware models)</w:t>
      </w:r>
    </w:p>
    <w:p>
      <w:pPr>
        <w:pStyle w:val="ListParagraph"/>
        <w:numPr>
          <w:ilvl w:val="0"/>
          <w:numId w:val="3"/>
        </w:numPr>
        <w:spacing w:after="60"/>
      </w:pPr>
      <w:r>
        <w:rPr>
          <w:rFonts w:ascii="Arial" w:cs="Arial" w:eastAsia="Arial" w:hAnsi="Arial"/>
          <w:sz w:val="22"/>
          <w:szCs w:val="22"/>
        </w:rPr>
        <w:t xml:space="preserve">Vision-Language Models (DeepSeek OCR, Qwen2.5-VL, Mistral OCR, etc. — current state-of-the-art)</w:t>
      </w:r>
    </w:p>
    <w:p>
      <w:pPr>
        <w:pStyle w:val="Heading2"/>
      </w:pPr>
      <w:r>
        <w:t xml:space="preserve">2.3 Scope of This Evaluation</w:t>
      </w:r>
    </w:p>
    <w:p>
      <w:pPr>
        <w:spacing w:after="120"/>
      </w:pPr>
      <w:r>
        <w:rPr>
          <w:rFonts w:ascii="Arial" w:cs="Arial" w:eastAsia="Arial" w:hAnsi="Arial"/>
          <w:sz w:val="22"/>
          <w:szCs w:val="22"/>
        </w:rPr>
        <w:t xml:space="preserve">This whitepaper evaluates 14 OCR models spanning cloud APIs, open-source tools, and vision-language models:</w:t>
      </w:r>
    </w:p>
    <w:p>
      <w:pPr>
        <w:pStyle w:val="Heading3"/>
      </w:pPr>
      <w:r>
        <w:t xml:space="preserve">Cloud APIs (5 models)</w:t>
      </w:r>
    </w:p>
    <w:p>
      <w:pPr>
        <w:pStyle w:val="ListParagraph"/>
        <w:numPr>
          <w:ilvl w:val="0"/>
          <w:numId w:val="4"/>
        </w:numPr>
        <w:spacing w:after="60"/>
      </w:pPr>
      <w:r>
        <w:rPr>
          <w:rFonts w:ascii="Arial" w:cs="Arial" w:eastAsia="Arial" w:hAnsi="Arial"/>
          <w:sz w:val="22"/>
          <w:szCs w:val="22"/>
        </w:rPr>
        <w:t xml:space="preserve">Azure AI Document Intelligence (Microsoft)</w:t>
      </w:r>
    </w:p>
    <w:p>
      <w:pPr>
        <w:pStyle w:val="ListParagraph"/>
        <w:numPr>
          <w:ilvl w:val="0"/>
          <w:numId w:val="4"/>
        </w:numPr>
        <w:spacing w:after="60"/>
      </w:pPr>
      <w:r>
        <w:rPr>
          <w:rFonts w:ascii="Arial" w:cs="Arial" w:eastAsia="Arial" w:hAnsi="Arial"/>
          <w:sz w:val="22"/>
          <w:szCs w:val="22"/>
        </w:rPr>
        <w:t xml:space="preserve">Google Cloud Vision (Google)</w:t>
      </w:r>
    </w:p>
    <w:p>
      <w:pPr>
        <w:pStyle w:val="ListParagraph"/>
        <w:numPr>
          <w:ilvl w:val="0"/>
          <w:numId w:val="4"/>
        </w:numPr>
        <w:spacing w:after="60"/>
      </w:pPr>
      <w:r>
        <w:rPr>
          <w:rFonts w:ascii="Arial" w:cs="Arial" w:eastAsia="Arial" w:hAnsi="Arial"/>
          <w:sz w:val="22"/>
          <w:szCs w:val="22"/>
        </w:rPr>
        <w:t xml:space="preserve">Amazon Textract (AWS)</w:t>
      </w:r>
    </w:p>
    <w:p>
      <w:pPr>
        <w:pStyle w:val="ListParagraph"/>
        <w:numPr>
          <w:ilvl w:val="0"/>
          <w:numId w:val="4"/>
        </w:numPr>
        <w:spacing w:after="60"/>
      </w:pPr>
      <w:r>
        <w:rPr>
          <w:rFonts w:ascii="Arial" w:cs="Arial" w:eastAsia="Arial" w:hAnsi="Arial"/>
          <w:sz w:val="22"/>
          <w:szCs w:val="22"/>
        </w:rPr>
        <w:t xml:space="preserve">Amazon Bedrock Data Automation / BDAn (AWS)</w:t>
      </w:r>
    </w:p>
    <w:p>
      <w:pPr>
        <w:pStyle w:val="ListParagraph"/>
        <w:numPr>
          <w:ilvl w:val="0"/>
          <w:numId w:val="4"/>
        </w:numPr>
        <w:spacing w:after="60"/>
      </w:pPr>
      <w:r>
        <w:rPr>
          <w:rFonts w:ascii="Arial" w:cs="Arial" w:eastAsia="Arial" w:hAnsi="Arial"/>
          <w:sz w:val="22"/>
          <w:szCs w:val="22"/>
        </w:rPr>
        <w:t xml:space="preserve">Mistral OCR (Mistral AI)</w:t>
      </w:r>
    </w:p>
    <w:p>
      <w:pPr>
        <w:pStyle w:val="Heading3"/>
      </w:pPr>
      <w:r>
        <w:t xml:space="preserve">Open-Source / Self-Hosted (8 models)</w:t>
      </w:r>
    </w:p>
    <w:p>
      <w:pPr>
        <w:pStyle w:val="ListParagraph"/>
        <w:numPr>
          <w:ilvl w:val="0"/>
          <w:numId w:val="5"/>
        </w:numPr>
        <w:spacing w:after="60"/>
      </w:pPr>
      <w:r>
        <w:rPr>
          <w:rFonts w:ascii="Arial" w:cs="Arial" w:eastAsia="Arial" w:hAnsi="Arial"/>
          <w:sz w:val="22"/>
          <w:szCs w:val="22"/>
        </w:rPr>
        <w:t xml:space="preserve">DeepSeek OCR — Vision-language model, multimodal transformer</w:t>
      </w:r>
    </w:p>
    <w:p>
      <w:pPr>
        <w:pStyle w:val="ListParagraph"/>
        <w:numPr>
          <w:ilvl w:val="0"/>
          <w:numId w:val="5"/>
        </w:numPr>
        <w:spacing w:after="60"/>
      </w:pPr>
      <w:r>
        <w:rPr>
          <w:rFonts w:ascii="Arial" w:cs="Arial" w:eastAsia="Arial" w:hAnsi="Arial"/>
          <w:sz w:val="22"/>
          <w:szCs w:val="22"/>
        </w:rPr>
        <w:t xml:space="preserve">PaddleOCR — Baidu, lightweight and fast</w:t>
      </w:r>
    </w:p>
    <w:p>
      <w:pPr>
        <w:pStyle w:val="ListParagraph"/>
        <w:numPr>
          <w:ilvl w:val="0"/>
          <w:numId w:val="5"/>
        </w:numPr>
        <w:spacing w:after="60"/>
      </w:pPr>
      <w:r>
        <w:rPr>
          <w:rFonts w:ascii="Arial" w:cs="Arial" w:eastAsia="Arial" w:hAnsi="Arial"/>
          <w:sz w:val="22"/>
          <w:szCs w:val="22"/>
        </w:rPr>
        <w:t xml:space="preserve">Docling / SmolDocling — IBM, document understanding</w:t>
      </w:r>
    </w:p>
    <w:p>
      <w:pPr>
        <w:pStyle w:val="ListParagraph"/>
        <w:numPr>
          <w:ilvl w:val="0"/>
          <w:numId w:val="5"/>
        </w:numPr>
        <w:spacing w:after="60"/>
      </w:pPr>
      <w:r>
        <w:rPr>
          <w:rFonts w:ascii="Arial" w:cs="Arial" w:eastAsia="Arial" w:hAnsi="Arial"/>
          <w:sz w:val="22"/>
          <w:szCs w:val="22"/>
        </w:rPr>
        <w:t xml:space="preserve">Tesseract — Google-maintained baseline, most widely used</w:t>
      </w:r>
    </w:p>
    <w:p>
      <w:pPr>
        <w:pStyle w:val="ListParagraph"/>
        <w:numPr>
          <w:ilvl w:val="0"/>
          <w:numId w:val="5"/>
        </w:numPr>
        <w:spacing w:after="60"/>
      </w:pPr>
      <w:r>
        <w:rPr>
          <w:rFonts w:ascii="Arial" w:cs="Arial" w:eastAsia="Arial" w:hAnsi="Arial"/>
          <w:sz w:val="22"/>
          <w:szCs w:val="22"/>
        </w:rPr>
        <w:t xml:space="preserve">olmOCR — Allen AI, VLM-based, strong on layout</w:t>
      </w:r>
    </w:p>
    <w:p>
      <w:pPr>
        <w:pStyle w:val="ListParagraph"/>
        <w:numPr>
          <w:ilvl w:val="0"/>
          <w:numId w:val="5"/>
        </w:numPr>
        <w:spacing w:after="60"/>
      </w:pPr>
      <w:r>
        <w:rPr>
          <w:rFonts w:ascii="Arial" w:cs="Arial" w:eastAsia="Arial" w:hAnsi="Arial"/>
          <w:sz w:val="22"/>
          <w:szCs w:val="22"/>
        </w:rPr>
        <w:t xml:space="preserve">Qwen2.5-VL — Alibaba, top-performing open-source VLM</w:t>
      </w:r>
    </w:p>
    <w:p>
      <w:pPr>
        <w:pStyle w:val="ListParagraph"/>
        <w:numPr>
          <w:ilvl w:val="0"/>
          <w:numId w:val="5"/>
        </w:numPr>
        <w:spacing w:after="60"/>
      </w:pPr>
      <w:r>
        <w:rPr>
          <w:rFonts w:ascii="Arial" w:cs="Arial" w:eastAsia="Arial" w:hAnsi="Arial"/>
          <w:sz w:val="22"/>
          <w:szCs w:val="22"/>
        </w:rPr>
        <w:t xml:space="preserve">GOT-OCR 2.0 — Unified transformer for text, charts, formulas</w:t>
      </w:r>
    </w:p>
    <w:p>
      <w:pPr>
        <w:pStyle w:val="ListParagraph"/>
        <w:numPr>
          <w:ilvl w:val="0"/>
          <w:numId w:val="5"/>
        </w:numPr>
        <w:spacing w:after="60"/>
      </w:pPr>
      <w:r>
        <w:rPr>
          <w:rFonts w:ascii="Arial" w:cs="Arial" w:eastAsia="Arial" w:hAnsi="Arial"/>
          <w:sz w:val="22"/>
          <w:szCs w:val="22"/>
        </w:rPr>
        <w:t xml:space="preserve">Surya OCR — 90+ languages, built-in table extraction</w:t>
      </w:r>
    </w:p>
    <w:p>
      <w:pPr>
        <w:pStyle w:val="Heading3"/>
      </w:pPr>
      <w:r>
        <w:t xml:space="preserve">India-Focused (1 model)</w:t>
      </w:r>
    </w:p>
    <w:p>
      <w:pPr>
        <w:pStyle w:val="ListParagraph"/>
        <w:numPr>
          <w:ilvl w:val="0"/>
          <w:numId w:val="6"/>
        </w:numPr>
        <w:spacing w:after="60"/>
      </w:pPr>
      <w:r>
        <w:rPr>
          <w:rFonts w:ascii="Arial" w:cs="Arial" w:eastAsia="Arial" w:hAnsi="Arial"/>
          <w:sz w:val="22"/>
          <w:szCs w:val="22"/>
        </w:rPr>
        <w:t xml:space="preserve">Sarvam Vision OCR — India-focused multilingual OCR</w:t>
      </w:r>
    </w:p>
    <w:p>
      <w:pPr>
        <w:spacing w:after="120"/>
      </w:pPr>
      <w:r>
        <w:rPr>
          <w:rFonts w:ascii="Arial" w:cs="Arial" w:eastAsia="Arial" w:hAnsi="Arial"/>
          <w:sz w:val="22"/>
          <w:szCs w:val="22"/>
        </w:rPr>
        <w:t xml:space="preserve">Selection rationale: Mix of commercial cloud APIs, open-source tools, VLM-based models, and India-specific solutions to cover the full spectrum of enterprise OCR needs.</w:t>
      </w:r>
    </w:p>
    <w:p>
      <w:r>
        <w:br w:type="page"/>
      </w:r>
    </w:p>
    <w:p>
      <w:pPr>
        <w:pStyle w:val="Heading1"/>
      </w:pPr>
      <w:r>
        <w:t xml:space="preserve">3. Evaluation Framework</w:t>
      </w:r>
    </w:p>
    <w:p>
      <w:pPr>
        <w:spacing w:after="120"/>
      </w:pPr>
      <w:r>
        <w:rPr>
          <w:rFonts w:ascii="Arial" w:cs="Arial" w:eastAsia="Arial" w:hAnsi="Arial"/>
          <w:sz w:val="22"/>
          <w:szCs w:val="22"/>
        </w:rPr>
        <w:t xml:space="preserve">This is the most critical section. All 14 models were tested against the same standardized dataset using an automated evaluation pipeline.</w:t>
      </w:r>
    </w:p>
    <w:p>
      <w:pPr>
        <w:pStyle w:val="Heading2"/>
      </w:pPr>
      <w:r>
        <w:t xml:space="preserve">3.1 Evaluation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Accuracy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Character/word-level recognition accuracy across document types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 WER, F1, BLEU, Edit Distance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Layout Preservation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Ability to maintain document structure (tables, columns, headers, reading order)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TEDS, Layout Match %, visual inspection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Language Support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Support for Indian languages (Hindi, Telugu, Tamil, Bengali) and mixed-language docs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Per-language CER, Indic 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Latency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Processing speed per document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ms/page, throughput (pages/min)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Cost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Pricing per page at scale (API cost + infrastructure for self-hosted)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Cost/1000 pages at 1K, 10K, 100K volumes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Integration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Ease of API integration, SDK quality, documentation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Setup time, SDK languages, docs quality (1-5)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Cloud-only vs on-premise vs hybrid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Deployment options, data residency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Structured Extraction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Key-value pair extraction, table parsing, form understanding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KV Accuracy, Table F1 / TEDS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Handwriting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Recognition of handwritten text (English + Indian languages)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Handwriting CER per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Data Privacy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Data handling, compliance certifications, self-hosting availability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Certifications, data retention, on-prem option</w:t>
            </w:r>
          </w:p>
        </w:tc>
      </w:tr>
    </w:tbl>
    <w:p>
      <w:pPr>
        <w:spacing w:after="200"/>
      </w:pPr>
    </w:p>
    <w:p>
      <w:pPr>
        <w:pStyle w:val="Heading2"/>
      </w:pPr>
      <w:r>
        <w:t xml:space="preserve">3.2 Test Dataset Design</w:t>
      </w:r>
    </w:p>
    <w:p>
      <w:pPr>
        <w:spacing w:after="120"/>
      </w:pPr>
      <w:r>
        <w:rPr>
          <w:rFonts w:ascii="Arial" w:cs="Arial" w:eastAsia="Arial" w:hAnsi="Arial"/>
          <w:sz w:val="22"/>
          <w:szCs w:val="22"/>
        </w:rPr>
        <w:t xml:space="preserve">A standardized corpus of 100-150 documents sourced from public benchmarks and internal organizational documents. Every model was tested against the exact same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Printed English (invoices, contracts, reports)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20-25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SROIE, RVL-CDIP, Omni Benchmark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 tables &amp; layouts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SCORE-Bench, OmniDocBench, FUNSD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Handwritten (English + Indian languages)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IAM Handwriting, IIIT-HW, Devanagari Dataset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Indian languages (Hindi, Telugu, Tamil, Bengali)</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15-20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Bharat Scene Text, IndicPhotoOCR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Low-quality scans (faded, skewed, noisy)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Omni Benchmark (post-processed)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Mixed content (images, equations, receipts)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OmniDocBench, SROIE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Organization internal documents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10-15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Internal (most important category)</w:t>
            </w:r>
          </w:p>
        </w:tc>
      </w:tr>
    </w:tbl>
    <w:p>
      <w:pPr>
        <w:spacing w:after="200"/>
      </w:pPr>
    </w:p>
    <w:p>
      <w:pPr>
        <w:pStyle w:val="Heading2"/>
      </w:pPr>
      <w:r>
        <w:t xml:space="preserve">3.3 Automated Evaluation Pipeline</w:t>
      </w:r>
    </w:p>
    <w:p>
      <w:pPr>
        <w:spacing w:after="120"/>
      </w:pPr>
      <w:r>
        <w:rPr>
          <w:rFonts w:ascii="Arial" w:cs="Arial" w:eastAsia="Arial" w:hAnsi="Arial"/>
          <w:sz w:val="22"/>
          <w:szCs w:val="22"/>
        </w:rPr>
        <w:t xml:space="preserve">All evaluations were run using a custom Python framework (ocr-eval-framework) that provides:</w:t>
      </w:r>
    </w:p>
    <w:p>
      <w:pPr>
        <w:pStyle w:val="ListParagraph"/>
        <w:numPr>
          <w:ilvl w:val="0"/>
          <w:numId w:val="7"/>
        </w:numPr>
        <w:spacing w:after="60"/>
      </w:pPr>
      <w:r>
        <w:rPr>
          <w:rFonts w:ascii="Arial" w:cs="Arial" w:eastAsia="Arial" w:hAnsi="Arial"/>
          <w:sz w:val="22"/>
          <w:szCs w:val="22"/>
        </w:rPr>
        <w:t xml:space="preserve">Unified interface: All 14 models called through the same BaseOCRModel API</w:t>
      </w:r>
    </w:p>
    <w:p>
      <w:pPr>
        <w:pStyle w:val="ListParagraph"/>
        <w:numPr>
          <w:ilvl w:val="0"/>
          <w:numId w:val="7"/>
        </w:numPr>
        <w:spacing w:after="60"/>
      </w:pPr>
      <w:r>
        <w:rPr>
          <w:rFonts w:ascii="Arial" w:cs="Arial" w:eastAsia="Arial" w:hAnsi="Arial"/>
          <w:sz w:val="22"/>
          <w:szCs w:val="22"/>
        </w:rPr>
        <w:t xml:space="preserve">Automatic latency capture with millisecond precision per document</w:t>
      </w:r>
    </w:p>
    <w:p>
      <w:pPr>
        <w:pStyle w:val="ListParagraph"/>
        <w:numPr>
          <w:ilvl w:val="0"/>
          <w:numId w:val="7"/>
        </w:numPr>
        <w:spacing w:after="60"/>
      </w:pPr>
      <w:r>
        <w:rPr>
          <w:rFonts w:ascii="Arial" w:cs="Arial" w:eastAsia="Arial" w:hAnsi="Arial"/>
          <w:sz w:val="22"/>
          <w:szCs w:val="22"/>
        </w:rPr>
        <w:t xml:space="preserve">Automatic metric computation (CER, WER, F1, BLEU, Edit Distance) against ground truth</w:t>
      </w:r>
    </w:p>
    <w:p>
      <w:pPr>
        <w:pStyle w:val="ListParagraph"/>
        <w:numPr>
          <w:ilvl w:val="0"/>
          <w:numId w:val="7"/>
        </w:numPr>
        <w:spacing w:after="60"/>
      </w:pPr>
      <w:r>
        <w:rPr>
          <w:rFonts w:ascii="Arial" w:cs="Arial" w:eastAsia="Arial" w:hAnsi="Arial"/>
          <w:sz w:val="22"/>
          <w:szCs w:val="22"/>
        </w:rPr>
        <w:t xml:space="preserve">Raw output preservation for manual inspection and failure analysis</w:t>
      </w:r>
    </w:p>
    <w:p>
      <w:pPr>
        <w:pStyle w:val="ListParagraph"/>
        <w:numPr>
          <w:ilvl w:val="0"/>
          <w:numId w:val="7"/>
        </w:numPr>
        <w:spacing w:after="60"/>
      </w:pPr>
      <w:r>
        <w:rPr>
          <w:rFonts w:ascii="Arial" w:cs="Arial" w:eastAsia="Arial" w:hAnsi="Arial"/>
          <w:sz w:val="22"/>
          <w:szCs w:val="22"/>
        </w:rPr>
        <w:t xml:space="preserve">HTML comparison reports and CSV exports for analysis</w:t>
      </w:r>
    </w:p>
    <w:p>
      <w:pPr>
        <w:spacing w:after="120"/>
      </w:pPr>
      <w:r>
        <w:rPr>
          <w:rFonts w:ascii="Arial" w:cs="Arial" w:eastAsia="Arial" w:hAnsi="Arial"/>
          <w:i/>
          <w:iCs/>
          <w:color w:val="666666"/>
          <w:sz w:val="20"/>
          <w:szCs w:val="20"/>
        </w:rPr>
        <w:t xml:space="preserve">The framework, test dataset, and all results are available in the project repository for reproducibility.</w:t>
      </w:r>
    </w:p>
    <w:p>
      <w:pPr>
        <w:pStyle w:val="Heading2"/>
      </w:pPr>
      <w:r>
        <w:t xml:space="preserve">3.4 Scoring Methodology</w:t>
      </w:r>
    </w:p>
    <w:p>
      <w:pPr>
        <w:spacing w:after="120"/>
      </w:pPr>
      <w:r>
        <w:rPr>
          <w:rFonts w:ascii="Arial" w:cs="Arial" w:eastAsia="Arial" w:hAnsi="Arial"/>
          <w:sz w:val="22"/>
          <w:szCs w:val="22"/>
        </w:rPr>
        <w:t xml:space="preserve">Weighted scoring model with weights assigned based on organizational priorities. Quantitative metrics (CER, WER, F1) were used for documents with ground truth. Qualitative scoring (1-5 scale) was used for organization internal documents where ground truth was manually created.</w:t>
      </w:r>
    </w:p>
    <w:p>
      <w:r>
        <w:br w:type="page"/>
      </w:r>
    </w:p>
    <w:p>
      <w:pPr>
        <w:pStyle w:val="Heading1"/>
      </w:pPr>
      <w:r>
        <w:t xml:space="preserve">4. Model Profiles</w:t>
      </w:r>
    </w:p>
    <w:p>
      <w:pPr>
        <w:spacing w:after="120"/>
      </w:pPr>
      <w:r>
        <w:rPr>
          <w:rFonts w:ascii="Arial" w:cs="Arial" w:eastAsia="Arial" w:hAnsi="Arial"/>
          <w:sz w:val="22"/>
          <w:szCs w:val="22"/>
        </w:rPr>
        <w:t xml:space="preserve">Each of the 14 models is profiled using a consistent template. Each profile is 1-2 pages written by the team member who evaluated that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Profile Element</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 to Cover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Model Overview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it is, who built it, cloud API vs open-source vs VLM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Underlying technology (CNN, Transformer, VLM, pipeline-based)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Key Capabilities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What it excels at based on OUR testing (not vendor claims)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Our Test Results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Average CER, WER, F1, latency from our evaluation. Include per-category breakdown.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Deployment Options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API, on-premise, container, edge. Self-hosting availability.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Pricing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Per-page cost, free tier, enterprise licensing. Include cost projections at our expected volumes.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Setup Experience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easy/hard was it to set up? Time taken, documentation quality, gotchas encountered.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Failure Cases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Where did it fail? Include specific examples with screenshots of bad outputs.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Indian Language Performance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How it handled Hindi, Telugu, Tamil, Bengali. Include specific CER numbers per language.</w:t>
            </w:r>
          </w:p>
        </w:tc>
      </w:tr>
    </w:tbl>
    <w:p>
      <w:pPr>
        <w:spacing w:after="200"/>
      </w:pPr>
    </w:p>
    <w:p>
      <w:pPr>
        <w:pStyle w:val="Heading2"/>
      </w:pPr>
      <w:r>
        <w:t xml:space="preserve">4.1 Cloud API Models</w:t>
      </w:r>
    </w:p>
    <w:p>
      <w:pPr>
        <w:pStyle w:val="ListParagraph"/>
        <w:numPr>
          <w:ilvl w:val="0"/>
          <w:numId w:val="8"/>
        </w:numPr>
        <w:spacing w:after="60"/>
      </w:pPr>
      <w:r>
        <w:rPr>
          <w:rFonts w:ascii="Arial" w:cs="Arial" w:eastAsia="Arial" w:hAnsi="Arial"/>
          <w:sz w:val="22"/>
          <w:szCs w:val="22"/>
        </w:rPr>
        <w:t xml:space="preserve">Azure AI Document Intelligence — Microsoft cloud, strong table/form extraction</w:t>
      </w:r>
    </w:p>
    <w:p>
      <w:pPr>
        <w:pStyle w:val="ListParagraph"/>
        <w:numPr>
          <w:ilvl w:val="0"/>
          <w:numId w:val="8"/>
        </w:numPr>
        <w:spacing w:after="60"/>
      </w:pPr>
      <w:r>
        <w:rPr>
          <w:rFonts w:ascii="Arial" w:cs="Arial" w:eastAsia="Arial" w:hAnsi="Arial"/>
          <w:sz w:val="22"/>
          <w:szCs w:val="22"/>
        </w:rPr>
        <w:t xml:space="preserve">Google Cloud Vision — Google cloud, good general-purpose OCR</w:t>
      </w:r>
    </w:p>
    <w:p>
      <w:pPr>
        <w:pStyle w:val="ListParagraph"/>
        <w:numPr>
          <w:ilvl w:val="0"/>
          <w:numId w:val="8"/>
        </w:numPr>
        <w:spacing w:after="60"/>
      </w:pPr>
      <w:r>
        <w:rPr>
          <w:rFonts w:ascii="Arial" w:cs="Arial" w:eastAsia="Arial" w:hAnsi="Arial"/>
          <w:sz w:val="22"/>
          <w:szCs w:val="22"/>
        </w:rPr>
        <w:t xml:space="preserve">Amazon Textract — AWS, tables + forms + key-value extraction</w:t>
      </w:r>
    </w:p>
    <w:p>
      <w:pPr>
        <w:pStyle w:val="ListParagraph"/>
        <w:numPr>
          <w:ilvl w:val="0"/>
          <w:numId w:val="8"/>
        </w:numPr>
        <w:spacing w:after="60"/>
      </w:pPr>
      <w:r>
        <w:rPr>
          <w:rFonts w:ascii="Arial" w:cs="Arial" w:eastAsia="Arial" w:hAnsi="Arial"/>
          <w:sz w:val="22"/>
          <w:szCs w:val="22"/>
        </w:rPr>
        <w:t xml:space="preserve">Amazon BDAn (Bedrock Data Automation) — AWS GenAI-powered extraction via Claude</w:t>
      </w:r>
    </w:p>
    <w:p>
      <w:pPr>
        <w:pStyle w:val="ListParagraph"/>
        <w:numPr>
          <w:ilvl w:val="0"/>
          <w:numId w:val="8"/>
        </w:numPr>
        <w:spacing w:after="60"/>
      </w:pPr>
      <w:r>
        <w:rPr>
          <w:rFonts w:ascii="Arial" w:cs="Arial" w:eastAsia="Arial" w:hAnsi="Arial"/>
          <w:sz w:val="22"/>
          <w:szCs w:val="22"/>
        </w:rPr>
        <w:t xml:space="preserve">Mistral OCR — LLM-based, fast, $1/1000 pages, markdown output</w:t>
      </w:r>
    </w:p>
    <w:p>
      <w:pPr>
        <w:pStyle w:val="Heading2"/>
      </w:pPr>
      <w:r>
        <w:t xml:space="preserve">4.2 Open-Source Models</w:t>
      </w:r>
    </w:p>
    <w:p>
      <w:pPr>
        <w:pStyle w:val="ListParagraph"/>
        <w:numPr>
          <w:ilvl w:val="0"/>
          <w:numId w:val="9"/>
        </w:numPr>
        <w:spacing w:after="60"/>
      </w:pPr>
      <w:r>
        <w:rPr>
          <w:rFonts w:ascii="Arial" w:cs="Arial" w:eastAsia="Arial" w:hAnsi="Arial"/>
          <w:sz w:val="22"/>
          <w:szCs w:val="22"/>
        </w:rPr>
        <w:t xml:space="preserve">DeepSeek OCR — Vision-language model, token compression for speed</w:t>
      </w:r>
    </w:p>
    <w:p>
      <w:pPr>
        <w:pStyle w:val="ListParagraph"/>
        <w:numPr>
          <w:ilvl w:val="0"/>
          <w:numId w:val="9"/>
        </w:numPr>
        <w:spacing w:after="60"/>
      </w:pPr>
      <w:r>
        <w:rPr>
          <w:rFonts w:ascii="Arial" w:cs="Arial" w:eastAsia="Arial" w:hAnsi="Arial"/>
          <w:sz w:val="22"/>
          <w:szCs w:val="22"/>
        </w:rPr>
        <w:t xml:space="preserve">PaddleOCR — Baidu, lightweight, fast, good multilingual support</w:t>
      </w:r>
    </w:p>
    <w:p>
      <w:pPr>
        <w:pStyle w:val="ListParagraph"/>
        <w:numPr>
          <w:ilvl w:val="0"/>
          <w:numId w:val="9"/>
        </w:numPr>
        <w:spacing w:after="60"/>
      </w:pPr>
      <w:r>
        <w:rPr>
          <w:rFonts w:ascii="Arial" w:cs="Arial" w:eastAsia="Arial" w:hAnsi="Arial"/>
          <w:sz w:val="22"/>
          <w:szCs w:val="22"/>
        </w:rPr>
        <w:t xml:space="preserve">Docling / SmolDocling — IBM, document-to-markdown conversion</w:t>
      </w:r>
    </w:p>
    <w:p>
      <w:pPr>
        <w:pStyle w:val="ListParagraph"/>
        <w:numPr>
          <w:ilvl w:val="0"/>
          <w:numId w:val="9"/>
        </w:numPr>
        <w:spacing w:after="60"/>
      </w:pPr>
      <w:r>
        <w:rPr>
          <w:rFonts w:ascii="Arial" w:cs="Arial" w:eastAsia="Arial" w:hAnsi="Arial"/>
          <w:sz w:val="22"/>
          <w:szCs w:val="22"/>
        </w:rPr>
        <w:t xml:space="preserve">Tesseract — Industry baseline, CPU-only, 100+ languages</w:t>
      </w:r>
    </w:p>
    <w:p>
      <w:pPr>
        <w:pStyle w:val="ListParagraph"/>
        <w:numPr>
          <w:ilvl w:val="0"/>
          <w:numId w:val="9"/>
        </w:numPr>
        <w:spacing w:after="60"/>
      </w:pPr>
      <w:r>
        <w:rPr>
          <w:rFonts w:ascii="Arial" w:cs="Arial" w:eastAsia="Arial" w:hAnsi="Arial"/>
          <w:sz w:val="22"/>
          <w:szCs w:val="22"/>
        </w:rPr>
        <w:t xml:space="preserve">olmOCR — Allen AI, built on Qwen2-VL, strong layout preservation</w:t>
      </w:r>
    </w:p>
    <w:p>
      <w:pPr>
        <w:pStyle w:val="ListParagraph"/>
        <w:numPr>
          <w:ilvl w:val="0"/>
          <w:numId w:val="9"/>
        </w:numPr>
        <w:spacing w:after="60"/>
      </w:pPr>
      <w:r>
        <w:rPr>
          <w:rFonts w:ascii="Arial" w:cs="Arial" w:eastAsia="Arial" w:hAnsi="Arial"/>
          <w:sz w:val="22"/>
          <w:szCs w:val="22"/>
        </w:rPr>
        <w:t xml:space="preserve">Qwen2.5-VL — Alibaba, top-performing open-source VLM for OCR</w:t>
      </w:r>
    </w:p>
    <w:p>
      <w:pPr>
        <w:pStyle w:val="ListParagraph"/>
        <w:numPr>
          <w:ilvl w:val="0"/>
          <w:numId w:val="9"/>
        </w:numPr>
        <w:spacing w:after="60"/>
      </w:pPr>
      <w:r>
        <w:rPr>
          <w:rFonts w:ascii="Arial" w:cs="Arial" w:eastAsia="Arial" w:hAnsi="Arial"/>
          <w:sz w:val="22"/>
          <w:szCs w:val="22"/>
        </w:rPr>
        <w:t xml:space="preserve">GOT-OCR 2.0 — Unified model for text + charts + formulas + tables</w:t>
      </w:r>
    </w:p>
    <w:p>
      <w:pPr>
        <w:pStyle w:val="ListParagraph"/>
        <w:numPr>
          <w:ilvl w:val="0"/>
          <w:numId w:val="9"/>
        </w:numPr>
        <w:spacing w:after="60"/>
      </w:pPr>
      <w:r>
        <w:rPr>
          <w:rFonts w:ascii="Arial" w:cs="Arial" w:eastAsia="Arial" w:hAnsi="Arial"/>
          <w:sz w:val="22"/>
          <w:szCs w:val="22"/>
        </w:rPr>
        <w:t xml:space="preserve">Surya OCR — 90+ languages, layout analysis built-in, GPL license</w:t>
      </w:r>
    </w:p>
    <w:p>
      <w:pPr>
        <w:pStyle w:val="Heading2"/>
      </w:pPr>
      <w:r>
        <w:t xml:space="preserve">4.3 India-Focused</w:t>
      </w:r>
    </w:p>
    <w:p>
      <w:pPr>
        <w:pStyle w:val="ListParagraph"/>
        <w:numPr>
          <w:ilvl w:val="0"/>
          <w:numId w:val="10"/>
        </w:numPr>
        <w:spacing w:after="60"/>
      </w:pPr>
      <w:r>
        <w:rPr>
          <w:rFonts w:ascii="Arial" w:cs="Arial" w:eastAsia="Arial" w:hAnsi="Arial"/>
          <w:sz w:val="22"/>
          <w:szCs w:val="22"/>
        </w:rPr>
        <w:t xml:space="preserve">Sarvam Vision OCR — Built for Indian languages and scripts</w:t>
      </w:r>
    </w:p>
    <w:p>
      <w:r>
        <w:br w:type="page"/>
      </w:r>
    </w:p>
    <w:p>
      <w:pPr>
        <w:pStyle w:val="Heading1"/>
      </w:pPr>
      <w:r>
        <w:t xml:space="preserve">5. Comparative Evaluation Results</w:t>
      </w:r>
    </w:p>
    <w:p>
      <w:pPr>
        <w:spacing w:after="120"/>
      </w:pPr>
      <w:r>
        <w:rPr>
          <w:rFonts w:ascii="Arial" w:cs="Arial" w:eastAsia="Arial" w:hAnsi="Arial"/>
          <w:sz w:val="22"/>
          <w:szCs w:val="22"/>
        </w:rPr>
        <w:t xml:space="preserve">This is the heart of the whitepaper. All results are from our standardized test dataset, not vendor benchmarks.</w:t>
      </w:r>
    </w:p>
    <w:p>
      <w:pPr>
        <w:pStyle w:val="Heading2"/>
      </w:pPr>
      <w:r>
        <w:t xml:space="preserve">5.1 Summary Comparison Matrix</w:t>
      </w:r>
    </w:p>
    <w:p>
      <w:pPr>
        <w:spacing w:after="120"/>
      </w:pPr>
      <w:r>
        <w:rPr>
          <w:rFonts w:ascii="Arial" w:cs="Arial" w:eastAsia="Arial" w:hAnsi="Arial"/>
          <w:i/>
          <w:iCs/>
          <w:color w:val="666666"/>
          <w:sz w:val="20"/>
          <w:szCs w:val="20"/>
        </w:rPr>
        <w:t xml:space="preserve">Create a heatmap-style table: 14 models as rows, evaluation dimensions as columns. Color code: Green (strong), Yellow (adequate), Red (weak). Pull data from the Evaluation Tracker spreadsheet and framework output.</w:t>
      </w:r>
    </w:p>
    <w:p>
      <w:pPr>
        <w:pStyle w:val="Heading2"/>
      </w:pPr>
      <w:r>
        <w:t xml:space="preserve">5.2 Detailed Results by Dimension</w:t>
      </w:r>
    </w:p>
    <w:p>
      <w:pPr>
        <w:spacing w:after="120"/>
      </w:pPr>
      <w:r>
        <w:rPr>
          <w:rFonts w:ascii="Arial" w:cs="Arial" w:eastAsia="Arial" w:hAnsi="Arial"/>
          <w:sz w:val="22"/>
          <w:szCs w:val="22"/>
        </w:rPr>
        <w:t xml:space="preserve">Break down results for each of the 10 evaluation dimensions with charts and specific numbers. Include sample outputs showing how different models handled the same document.</w:t>
      </w:r>
    </w:p>
    <w:p>
      <w:pPr>
        <w:pStyle w:val="Heading2"/>
      </w:pPr>
      <w:r>
        <w:t xml:space="preserve">5.3 Head-to-Head Comparisons</w:t>
      </w:r>
    </w:p>
    <w:p>
      <w:pPr>
        <w:spacing w:after="120"/>
      </w:pPr>
      <w:r>
        <w:rPr>
          <w:rFonts w:ascii="Arial" w:cs="Arial" w:eastAsia="Arial" w:hAnsi="Arial"/>
          <w:sz w:val="22"/>
          <w:szCs w:val="22"/>
        </w:rPr>
        <w:t xml:space="preserve">Direct comparisons between competing models:</w:t>
      </w:r>
    </w:p>
    <w:p>
      <w:pPr>
        <w:pStyle w:val="ListParagraph"/>
        <w:numPr>
          <w:ilvl w:val="0"/>
          <w:numId w:val="11"/>
        </w:numPr>
        <w:spacing w:after="60"/>
      </w:pPr>
      <w:r>
        <w:rPr>
          <w:rFonts w:ascii="Arial" w:cs="Arial" w:eastAsia="Arial" w:hAnsi="Arial"/>
          <w:sz w:val="22"/>
          <w:szCs w:val="22"/>
        </w:rPr>
        <w:t xml:space="preserve">Cloud APIs: Azure ADI vs Google Cloud Vision vs Mistral OCR</w:t>
      </w:r>
    </w:p>
    <w:p>
      <w:pPr>
        <w:pStyle w:val="ListParagraph"/>
        <w:numPr>
          <w:ilvl w:val="0"/>
          <w:numId w:val="11"/>
        </w:numPr>
        <w:spacing w:after="60"/>
      </w:pPr>
      <w:r>
        <w:rPr>
          <w:rFonts w:ascii="Arial" w:cs="Arial" w:eastAsia="Arial" w:hAnsi="Arial"/>
          <w:sz w:val="22"/>
          <w:szCs w:val="22"/>
        </w:rPr>
        <w:t xml:space="preserve">AWS ecosystem: Textract vs BDAn</w:t>
      </w:r>
    </w:p>
    <w:p>
      <w:pPr>
        <w:pStyle w:val="ListParagraph"/>
        <w:numPr>
          <w:ilvl w:val="0"/>
          <w:numId w:val="11"/>
        </w:numPr>
        <w:spacing w:after="60"/>
      </w:pPr>
      <w:r>
        <w:rPr>
          <w:rFonts w:ascii="Arial" w:cs="Arial" w:eastAsia="Arial" w:hAnsi="Arial"/>
          <w:sz w:val="22"/>
          <w:szCs w:val="22"/>
        </w:rPr>
        <w:t xml:space="preserve">Open-source lightweight: PaddleOCR vs Tesseract vs Surya</w:t>
      </w:r>
    </w:p>
    <w:p>
      <w:pPr>
        <w:pStyle w:val="ListParagraph"/>
        <w:numPr>
          <w:ilvl w:val="0"/>
          <w:numId w:val="11"/>
        </w:numPr>
        <w:spacing w:after="60"/>
      </w:pPr>
      <w:r>
        <w:rPr>
          <w:rFonts w:ascii="Arial" w:cs="Arial" w:eastAsia="Arial" w:hAnsi="Arial"/>
          <w:sz w:val="22"/>
          <w:szCs w:val="22"/>
        </w:rPr>
        <w:t xml:space="preserve">VLM-based: DeepSeek vs Qwen2.5-VL vs olmOCR vs GOT-OCR</w:t>
      </w:r>
    </w:p>
    <w:p>
      <w:pPr>
        <w:pStyle w:val="ListParagraph"/>
        <w:numPr>
          <w:ilvl w:val="0"/>
          <w:numId w:val="11"/>
        </w:numPr>
        <w:spacing w:after="60"/>
      </w:pPr>
      <w:r>
        <w:rPr>
          <w:rFonts w:ascii="Arial" w:cs="Arial" w:eastAsia="Arial" w:hAnsi="Arial"/>
          <w:sz w:val="22"/>
          <w:szCs w:val="22"/>
        </w:rPr>
        <w:t xml:space="preserve">Indian languages: Sarvam vs PaddleOCR vs Tesseract on Hindi/Telugu/Tamil</w:t>
      </w:r>
    </w:p>
    <w:p>
      <w:pPr>
        <w:pStyle w:val="Heading2"/>
      </w:pPr>
      <w:r>
        <w:t xml:space="preserve">5.4 Edge Cases &amp; Failure Analysis</w:t>
      </w:r>
    </w:p>
    <w:p>
      <w:pPr>
        <w:spacing w:after="120"/>
      </w:pPr>
      <w:r>
        <w:rPr>
          <w:rFonts w:ascii="Arial" w:cs="Arial" w:eastAsia="Arial" w:hAnsi="Arial"/>
          <w:sz w:val="22"/>
          <w:szCs w:val="22"/>
        </w:rPr>
        <w:t xml:space="preserve">Document where each model fails. Include specific examples of misrecognized text, broken table layouts, missed handwritten text, and garbled Indian language output. This section is often more valuable than showing where models succeed.</w:t>
      </w:r>
    </w:p>
    <w:p>
      <w:pPr>
        <w:spacing w:after="120"/>
      </w:pPr>
      <w:r>
        <w:rPr>
          <w:rFonts w:ascii="Arial" w:cs="Arial" w:eastAsia="Arial" w:hAnsi="Arial"/>
          <w:i/>
          <w:iCs/>
          <w:color w:val="666666"/>
          <w:sz w:val="20"/>
          <w:szCs w:val="20"/>
        </w:rPr>
        <w:t xml:space="preserve">Example from our first test: Tesseract garbled English chemical names as Telugu/Bengali characters (CER 0.53) while Mistral OCR read them correctly (CER 0.33) on the same FUNSD form document.</w:t>
      </w:r>
    </w:p>
    <w:p>
      <w:pPr>
        <w:pStyle w:val="Heading1"/>
      </w:pPr>
      <w:r>
        <w:t xml:space="preserve">6. Recommendations</w:t>
      </w:r>
    </w:p>
    <w:p>
      <w:pPr>
        <w:pStyle w:val="Heading2"/>
      </w:pPr>
      <w:r>
        <w:t xml:space="preserve">6.1 Use-Case to Model Mapping</w:t>
      </w:r>
    </w:p>
    <w:p>
      <w:pPr>
        <w:spacing w:after="120"/>
      </w:pPr>
      <w:r>
        <w:rPr>
          <w:rFonts w:ascii="Arial" w:cs="Arial" w:eastAsia="Arial" w:hAnsi="Arial"/>
          <w:i/>
          <w:iCs/>
          <w:color w:val="666666"/>
          <w:sz w:val="20"/>
          <w:szCs w:val="20"/>
        </w:rPr>
        <w:t xml:space="preserve">There will likely not be a single winner. Map models to use cases based on your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Model(s)</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High-volume invoice processing</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[Based on evaluation results]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[Accuracy + cost + speed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Handwritten form digitization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[Based on evaluation results]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[Handwriting CER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Multilingual Indian documents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[Based on evaluation results]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[Per-language CER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Sensitive/on-prem requirements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[Based on evaluation results]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[Privacy + deployment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Low-cost high-volume batch</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[Based on evaluation results]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[Cost modeling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Complex tables &amp; forms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[Based on evaluation results]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[TEDS + KV accuracy data]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Scientific documents with equations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[Based on evaluation results]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[Equation accuracy data]</w:t>
            </w:r>
          </w:p>
        </w:tc>
      </w:tr>
    </w:tbl>
    <w:p>
      <w:pPr>
        <w:spacing w:after="200"/>
      </w:pPr>
    </w:p>
    <w:p>
      <w:pPr>
        <w:pStyle w:val="Heading2"/>
      </w:pPr>
      <w:r>
        <w:t xml:space="preserve">6.2 Cost-Benefit Analysis</w:t>
      </w:r>
    </w:p>
    <w:p>
      <w:pPr>
        <w:spacing w:after="120"/>
      </w:pPr>
      <w:r>
        <w:rPr>
          <w:rFonts w:ascii="Arial" w:cs="Arial" w:eastAsia="Arial" w:hAnsi="Arial"/>
          <w:sz w:val="22"/>
          <w:szCs w:val="22"/>
        </w:rPr>
        <w:t xml:space="preserve">Project costs at different volume tiers (1K, 10K, 100K, 1M pages/month) for all cloud APIs and infrastructure costs for open-source options. Include total cost of ownership considering setup time, maintenance, and GPU costs.</w:t>
      </w:r>
    </w:p>
    <w:p>
      <w:pPr>
        <w:pStyle w:val="Heading2"/>
      </w:pPr>
      <w:r>
        <w:t xml:space="preserve">6.3 Strategic Recommendation</w:t>
      </w:r>
    </w:p>
    <w:p>
      <w:pPr>
        <w:spacing w:after="120"/>
      </w:pPr>
      <w:r>
        <w:rPr>
          <w:rFonts w:ascii="Arial" w:cs="Arial" w:eastAsia="Arial" w:hAnsi="Arial"/>
          <w:sz w:val="22"/>
          <w:szCs w:val="22"/>
        </w:rPr>
        <w:t xml:space="preserve">Clear recommendation with primary and fallback options. Consider a multi-model strategy if different use cases warrant different tools.</w:t>
      </w:r>
    </w:p>
    <w:p>
      <w:r>
        <w:br w:type="page"/>
      </w:r>
    </w:p>
    <w:p>
      <w:pPr>
        <w:pStyle w:val="Heading1"/>
      </w:pPr>
      <w:r>
        <w:t xml:space="preserve">7. Implementation Considerations</w:t>
      </w:r>
    </w:p>
    <w:p>
      <w:pPr>
        <w:pStyle w:val="Heading2"/>
      </w:pPr>
      <w:r>
        <w:t xml:space="preserve">7.1 Integration Architecture</w:t>
      </w:r>
    </w:p>
    <w:p>
      <w:pPr>
        <w:spacing w:after="120"/>
      </w:pPr>
      <w:r>
        <w:rPr>
          <w:rFonts w:ascii="Arial" w:cs="Arial" w:eastAsia="Arial" w:hAnsi="Arial"/>
          <w:sz w:val="22"/>
          <w:szCs w:val="22"/>
        </w:rPr>
        <w:t xml:space="preserve">How the recommended model(s) fit into the existing tech stack. Include architecture diagram.</w:t>
      </w:r>
    </w:p>
    <w:p>
      <w:pPr>
        <w:pStyle w:val="Heading2"/>
      </w:pPr>
      <w:r>
        <w:t xml:space="preserve">7.2 Security &amp; Compliance</w:t>
      </w:r>
    </w:p>
    <w:p>
      <w:pPr>
        <w:spacing w:after="120"/>
      </w:pPr>
      <w:r>
        <w:rPr>
          <w:rFonts w:ascii="Arial" w:cs="Arial" w:eastAsia="Arial" w:hAnsi="Arial"/>
          <w:sz w:val="22"/>
          <w:szCs w:val="22"/>
        </w:rPr>
        <w:t xml:space="preserve">Data residency, encryption, compliance certifications (SOC2, ISO 27001), and data retention policies.</w:t>
      </w:r>
    </w:p>
    <w:p>
      <w:pPr>
        <w:pStyle w:val="Heading2"/>
      </w:pPr>
      <w:r>
        <w:t xml:space="preserve">7.3 Scalability &amp; Performance</w:t>
      </w:r>
    </w:p>
    <w:p>
      <w:pPr>
        <w:spacing w:after="120"/>
      </w:pPr>
      <w:r>
        <w:rPr>
          <w:rFonts w:ascii="Arial" w:cs="Arial" w:eastAsia="Arial" w:hAnsi="Arial"/>
          <w:sz w:val="22"/>
          <w:szCs w:val="22"/>
        </w:rPr>
        <w:t xml:space="preserve">Rate limits, concurrent requests, auto-scaling, and expected performance at production volumes.</w:t>
      </w:r>
    </w:p>
    <w:p>
      <w:pPr>
        <w:pStyle w:val="Heading2"/>
      </w:pPr>
      <w:r>
        <w:t xml:space="preserve">7.4 Migration &amp; Adoption Plan</w:t>
      </w:r>
    </w:p>
    <w:p>
      <w:pPr>
        <w:spacing w:after="120"/>
      </w:pPr>
      <w:r>
        <w:rPr>
          <w:rFonts w:ascii="Arial" w:cs="Arial" w:eastAsia="Arial" w:hAnsi="Arial"/>
          <w:sz w:val="22"/>
          <w:szCs w:val="22"/>
        </w:rPr>
        <w:t xml:space="preserve">Phased rollout: pilot phase, integration, production deployment, monitoring.</w:t>
      </w:r>
    </w:p>
    <w:p>
      <w:pPr>
        <w:pStyle w:val="Heading1"/>
      </w:pPr>
      <w:r>
        <w:t xml:space="preserve">8. Lessons Learned</w:t>
      </w:r>
    </w:p>
    <w:p>
      <w:pPr>
        <w:spacing w:after="120"/>
      </w:pPr>
      <w:r>
        <w:rPr>
          <w:rFonts w:ascii="Arial" w:cs="Arial" w:eastAsia="Arial" w:hAnsi="Arial"/>
          <w:sz w:val="22"/>
          <w:szCs w:val="22"/>
        </w:rPr>
        <w:t xml:space="preserve">Document challenges encountered, unexpected findings, and recommendations for future evaluations. Include observations about the evaluation process itself — what worked well, what the team would do differently.</w:t>
      </w:r>
    </w:p>
    <w:p>
      <w:pPr>
        <w:pStyle w:val="Heading1"/>
      </w:pPr>
      <w:r>
        <w:t xml:space="preserve">9. Appendix</w:t>
      </w:r>
    </w:p>
    <w:p>
      <w:pPr>
        <w:pStyle w:val="ListParagraph"/>
        <w:numPr>
          <w:ilvl w:val="0"/>
          <w:numId w:val="12"/>
        </w:numPr>
        <w:spacing w:after="60"/>
      </w:pPr>
      <w:r>
        <w:rPr>
          <w:rFonts w:ascii="Arial" w:cs="Arial" w:eastAsia="Arial" w:hAnsi="Arial"/>
          <w:sz w:val="22"/>
          <w:szCs w:val="22"/>
        </w:rPr>
        <w:t xml:space="preserve">Appendix A: Detailed test results and raw data (from evaluation framework output)</w:t>
      </w:r>
    </w:p>
    <w:p>
      <w:pPr>
        <w:pStyle w:val="ListParagraph"/>
        <w:numPr>
          <w:ilvl w:val="0"/>
          <w:numId w:val="12"/>
        </w:numPr>
        <w:spacing w:after="60"/>
      </w:pPr>
      <w:r>
        <w:rPr>
          <w:rFonts w:ascii="Arial" w:cs="Arial" w:eastAsia="Arial" w:hAnsi="Arial"/>
          <w:sz w:val="22"/>
          <w:szCs w:val="22"/>
        </w:rPr>
        <w:t xml:space="preserve">Appendix B: Test dataset description, sources, and sample documents</w:t>
      </w:r>
    </w:p>
    <w:p>
      <w:pPr>
        <w:pStyle w:val="ListParagraph"/>
        <w:numPr>
          <w:ilvl w:val="0"/>
          <w:numId w:val="12"/>
        </w:numPr>
        <w:spacing w:after="60"/>
      </w:pPr>
      <w:r>
        <w:rPr>
          <w:rFonts w:ascii="Arial" w:cs="Arial" w:eastAsia="Arial" w:hAnsi="Arial"/>
          <w:sz w:val="22"/>
          <w:szCs w:val="22"/>
        </w:rPr>
        <w:t xml:space="preserve">Appendix C: API code samples for each model (from the ocr-eval-framework repo)</w:t>
      </w:r>
    </w:p>
    <w:p>
      <w:pPr>
        <w:pStyle w:val="ListParagraph"/>
        <w:numPr>
          <w:ilvl w:val="0"/>
          <w:numId w:val="12"/>
        </w:numPr>
        <w:spacing w:after="60"/>
      </w:pPr>
      <w:r>
        <w:rPr>
          <w:rFonts w:ascii="Arial" w:cs="Arial" w:eastAsia="Arial" w:hAnsi="Arial"/>
          <w:sz w:val="22"/>
          <w:szCs w:val="22"/>
        </w:rPr>
        <w:t xml:space="preserve">Appendix D: Evaluation metrics glossary (CER, WER, F1, TEDS, etc. — from Evaluation Metrics sheet)</w:t>
      </w:r>
    </w:p>
    <w:p>
      <w:pPr>
        <w:pStyle w:val="ListParagraph"/>
        <w:numPr>
          <w:ilvl w:val="0"/>
          <w:numId w:val="12"/>
        </w:numPr>
        <w:spacing w:after="60"/>
      </w:pPr>
      <w:r>
        <w:rPr>
          <w:rFonts w:ascii="Arial" w:cs="Arial" w:eastAsia="Arial" w:hAnsi="Arial"/>
          <w:sz w:val="22"/>
          <w:szCs w:val="22"/>
        </w:rPr>
        <w:t xml:space="preserve">Appendix E: Cost projections at scale</w:t>
      </w:r>
    </w:p>
    <w:p>
      <w:pPr>
        <w:pStyle w:val="ListParagraph"/>
        <w:numPr>
          <w:ilvl w:val="0"/>
          <w:numId w:val="12"/>
        </w:numPr>
        <w:spacing w:after="60"/>
      </w:pPr>
      <w:r>
        <w:rPr>
          <w:rFonts w:ascii="Arial" w:cs="Arial" w:eastAsia="Arial" w:hAnsi="Arial"/>
          <w:sz w:val="22"/>
          <w:szCs w:val="22"/>
        </w:rPr>
        <w:t xml:space="preserve">Appendix F: Model reference links and documentation</w:t>
      </w:r>
    </w:p>
    <w:p>
      <w:r>
        <w:br w:type="page"/>
      </w:r>
    </w:p>
    <w:p>
      <w:pPr>
        <w:pBdr>
          <w:bottom w:val="single" w:color="2E75B6" w:sz="4" w:space="1"/>
        </w:pBdr>
        <w:spacing w:before="600" w:after="400"/>
        <w:jc w:val="center"/>
      </w:pPr>
      <w:r>
        <w:rPr>
          <w:rFonts w:ascii="Arial" w:cs="Arial" w:eastAsia="Arial" w:hAnsi="Arial"/>
          <w:b/>
          <w:bCs/>
          <w:color w:val="1B3A5C"/>
          <w:sz w:val="28"/>
          <w:szCs w:val="28"/>
        </w:rPr>
        <w:t xml:space="preserve">PART B: 6-WEEK PROJECT PLAN</w:t>
      </w:r>
    </w:p>
    <w:p>
      <w:pPr>
        <w:spacing w:after="120"/>
      </w:pPr>
      <w:r>
        <w:rPr>
          <w:rFonts w:ascii="Arial" w:cs="Arial" w:eastAsia="Arial" w:hAnsi="Arial"/>
          <w:i/>
          <w:iCs/>
          <w:color w:val="666666"/>
          <w:sz w:val="20"/>
          <w:szCs w:val="20"/>
        </w:rPr>
        <w:t xml:space="preserve">Updated to reflect 14 models, 6 team members, automated evaluation framework, and standardized test dataset.</w:t>
      </w:r>
    </w:p>
    <w:p>
      <w:pPr>
        <w:pStyle w:val="Heading1"/>
      </w:pPr>
      <w:r>
        <w:t xml:space="preserve">10. Team Structure &amp; Model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Primary Models</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Secondary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Focus Area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DeepSeek OCR, Sarvam Vision OCR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GOT-OCR 2.0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Indian languages, VLMs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Azure ADI, Google Cloud Vision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 APIs, tables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Amazon Textract, Amazon BDAn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AWS, cost modeling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Mistral OCR, Qwen2.5-VL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olmOCR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LLM-based OCR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PaddleOCR, Tesseract (baseline)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Surya OCR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Open-source, baseline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Member 6 (Lead)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Docling/SmolDocling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Coordination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Assembly, org docs</w:t>
            </w:r>
          </w:p>
        </w:tc>
      </w:tr>
    </w:tbl>
    <w:p>
      <w:pPr>
        <w:spacing w:after="200"/>
      </w:pPr>
    </w:p>
    <w:p>
      <w:pPr>
        <w:pStyle w:val="Heading1"/>
      </w:pPr>
      <w:r>
        <w:t xml:space="preserve">11. Week-by-Week Execution Plan</w:t>
      </w:r>
    </w:p>
    <w:p>
      <w:pPr>
        <w:pStyle w:val="Heading2"/>
      </w:pPr>
      <w:r>
        <w:t xml:space="preserve">Week 1: Foundation &amp; Alignment</w:t>
      </w:r>
    </w:p>
    <w:p>
      <w:pPr>
        <w:pStyle w:val="ListParagraph"/>
        <w:numPr>
          <w:ilvl w:val="0"/>
          <w:numId w:val="13"/>
        </w:numPr>
        <w:spacing w:after="60"/>
      </w:pPr>
      <w:r>
        <w:rPr>
          <w:rFonts w:ascii="Arial" w:cs="Arial" w:eastAsia="Arial" w:hAnsi="Arial"/>
          <w:sz w:val="22"/>
          <w:szCs w:val="22"/>
        </w:rPr>
        <w:t xml:space="preserve">Kickoff meeting: Align on objectives, scope, 14 models, timeline</w:t>
      </w:r>
    </w:p>
    <w:p>
      <w:pPr>
        <w:pStyle w:val="ListParagraph"/>
        <w:numPr>
          <w:ilvl w:val="0"/>
          <w:numId w:val="13"/>
        </w:numPr>
        <w:spacing w:after="60"/>
      </w:pPr>
      <w:r>
        <w:rPr>
          <w:rFonts w:ascii="Arial" w:cs="Arial" w:eastAsia="Arial" w:hAnsi="Arial"/>
          <w:sz w:val="22"/>
          <w:szCs w:val="22"/>
        </w:rPr>
        <w:t xml:space="preserve">Everyone: Clone repo, run setup_env.sh, validate pipeline with Tesseract</w:t>
      </w:r>
    </w:p>
    <w:p>
      <w:pPr>
        <w:pStyle w:val="ListParagraph"/>
        <w:numPr>
          <w:ilvl w:val="0"/>
          <w:numId w:val="13"/>
        </w:numPr>
        <w:spacing w:after="60"/>
      </w:pPr>
      <w:r>
        <w:rPr>
          <w:rFonts w:ascii="Arial" w:cs="Arial" w:eastAsia="Arial" w:hAnsi="Arial"/>
          <w:sz w:val="22"/>
          <w:szCs w:val="22"/>
        </w:rPr>
        <w:t xml:space="preserve">Members 1 &amp; 2: Run download_dataset.py, source remaining manual datasets</w:t>
      </w:r>
    </w:p>
    <w:p>
      <w:pPr>
        <w:pStyle w:val="ListParagraph"/>
        <w:numPr>
          <w:ilvl w:val="0"/>
          <w:numId w:val="13"/>
        </w:numPr>
        <w:spacing w:after="60"/>
      </w:pPr>
      <w:r>
        <w:rPr>
          <w:rFonts w:ascii="Arial" w:cs="Arial" w:eastAsia="Arial" w:hAnsi="Arial"/>
          <w:sz w:val="22"/>
          <w:szCs w:val="22"/>
        </w:rPr>
        <w:t xml:space="preserve">Lead: Collect 10-15 organization internal documents, create ground truth</w:t>
      </w:r>
    </w:p>
    <w:p>
      <w:pPr>
        <w:pStyle w:val="ListParagraph"/>
        <w:numPr>
          <w:ilvl w:val="0"/>
          <w:numId w:val="13"/>
        </w:numPr>
        <w:spacing w:after="60"/>
      </w:pPr>
      <w:r>
        <w:rPr>
          <w:rFonts w:ascii="Arial" w:cs="Arial" w:eastAsia="Arial" w:hAnsi="Arial"/>
          <w:sz w:val="22"/>
          <w:szCs w:val="22"/>
        </w:rPr>
        <w:t xml:space="preserve">All: Configure API keys for assigned models, verify connectivity</w:t>
      </w:r>
    </w:p>
    <w:p>
      <w:pPr>
        <w:pStyle w:val="ListParagraph"/>
        <w:numPr>
          <w:ilvl w:val="0"/>
          <w:numId w:val="13"/>
        </w:numPr>
        <w:spacing w:after="60"/>
      </w:pPr>
      <w:r>
        <w:rPr>
          <w:rFonts w:ascii="Arial" w:cs="Arial" w:eastAsia="Arial" w:hAnsi="Arial"/>
          <w:sz w:val="22"/>
          <w:szCs w:val="22"/>
        </w:rPr>
        <w:t xml:space="preserve">Lead: Finalize evaluation framework weights and scoring methodology</w:t>
      </w:r>
    </w:p>
    <w:p>
      <w:pPr>
        <w:spacing w:after="60"/>
      </w:pPr>
      <w:r>
        <w:rPr>
          <w:rFonts w:ascii="Arial" w:cs="Arial" w:eastAsia="Arial" w:hAnsi="Arial"/>
          <w:b/>
          <w:bCs/>
          <w:color w:val="2E75B6"/>
          <w:sz w:val="20"/>
          <w:szCs w:val="20"/>
        </w:rPr>
        <w:t xml:space="preserve">Deliverable: Working pipeline for all members + test dataset ready + framework weights agreed</w:t>
      </w:r>
    </w:p>
    <w:p>
      <w:pPr>
        <w:pStyle w:val="Heading2"/>
      </w:pPr>
      <w:r>
        <w:t xml:space="preserve">Weeks 2-3: Individual Model Evaluation</w:t>
      </w:r>
    </w:p>
    <w:p>
      <w:pPr>
        <w:pStyle w:val="ListParagraph"/>
        <w:numPr>
          <w:ilvl w:val="0"/>
          <w:numId w:val="13"/>
        </w:numPr>
        <w:spacing w:after="60"/>
      </w:pPr>
      <w:r>
        <w:rPr>
          <w:rFonts w:ascii="Arial" w:cs="Arial" w:eastAsia="Arial" w:hAnsi="Arial"/>
          <w:sz w:val="22"/>
          <w:szCs w:val="22"/>
        </w:rPr>
        <w:t xml:space="preserve">Each member: Run assigned models on full test dataset using run_model.py</w:t>
      </w:r>
    </w:p>
    <w:p>
      <w:pPr>
        <w:pStyle w:val="ListParagraph"/>
        <w:numPr>
          <w:ilvl w:val="0"/>
          <w:numId w:val="13"/>
        </w:numPr>
        <w:spacing w:after="60"/>
      </w:pPr>
      <w:r>
        <w:rPr>
          <w:rFonts w:ascii="Arial" w:cs="Arial" w:eastAsia="Arial" w:hAnsi="Arial"/>
          <w:sz w:val="22"/>
          <w:szCs w:val="22"/>
        </w:rPr>
        <w:t xml:space="preserve">Each member: Document setup experience, gotchas, and edge cases</w:t>
      </w:r>
    </w:p>
    <w:p>
      <w:pPr>
        <w:pStyle w:val="ListParagraph"/>
        <w:numPr>
          <w:ilvl w:val="0"/>
          <w:numId w:val="13"/>
        </w:numPr>
        <w:spacing w:after="60"/>
      </w:pPr>
      <w:r>
        <w:rPr>
          <w:rFonts w:ascii="Arial" w:cs="Arial" w:eastAsia="Arial" w:hAnsi="Arial"/>
          <w:sz w:val="22"/>
          <w:szCs w:val="22"/>
        </w:rPr>
        <w:t xml:space="preserve">Each member: Log results in Evaluation Tracker spreadsheet + Results Log</w:t>
      </w:r>
    </w:p>
    <w:p>
      <w:pPr>
        <w:pStyle w:val="ListParagraph"/>
        <w:numPr>
          <w:ilvl w:val="0"/>
          <w:numId w:val="13"/>
        </w:numPr>
        <w:spacing w:after="60"/>
      </w:pPr>
      <w:r>
        <w:rPr>
          <w:rFonts w:ascii="Arial" w:cs="Arial" w:eastAsia="Arial" w:hAnsi="Arial"/>
          <w:sz w:val="22"/>
          <w:szCs w:val="22"/>
        </w:rPr>
        <w:t xml:space="preserve">Lead: Mid-point sync at end of Week 2 to surface blockers and calibrate scoring</w:t>
      </w:r>
    </w:p>
    <w:p>
      <w:pPr>
        <w:spacing w:after="60"/>
      </w:pPr>
      <w:r>
        <w:rPr>
          <w:rFonts w:ascii="Arial" w:cs="Arial" w:eastAsia="Arial" w:hAnsi="Arial"/>
          <w:b/>
          <w:bCs/>
          <w:color w:val="2E75B6"/>
          <w:sz w:val="20"/>
          <w:szCs w:val="20"/>
        </w:rPr>
        <w:t xml:space="preserve">Deliverable: Completed evaluation data for all 14 models</w:t>
      </w:r>
    </w:p>
    <w:p>
      <w:pPr>
        <w:pStyle w:val="Heading2"/>
      </w:pPr>
      <w:r>
        <w:t xml:space="preserve">Week 4: Synthesis &amp; Cross-Model Analysis</w:t>
      </w:r>
    </w:p>
    <w:p>
      <w:pPr>
        <w:pStyle w:val="ListParagraph"/>
        <w:numPr>
          <w:ilvl w:val="0"/>
          <w:numId w:val="13"/>
        </w:numPr>
        <w:spacing w:after="60"/>
      </w:pPr>
      <w:r>
        <w:rPr>
          <w:rFonts w:ascii="Arial" w:cs="Arial" w:eastAsia="Arial" w:hAnsi="Arial"/>
          <w:sz w:val="22"/>
          <w:szCs w:val="22"/>
        </w:rPr>
        <w:t xml:space="preserve">Lead: Run run_batch.py + evaluate.py to generate comparison reports</w:t>
      </w:r>
    </w:p>
    <w:p>
      <w:pPr>
        <w:pStyle w:val="ListParagraph"/>
        <w:numPr>
          <w:ilvl w:val="0"/>
          <w:numId w:val="13"/>
        </w:numPr>
        <w:spacing w:after="60"/>
      </w:pPr>
      <w:r>
        <w:rPr>
          <w:rFonts w:ascii="Arial" w:cs="Arial" w:eastAsia="Arial" w:hAnsi="Arial"/>
          <w:sz w:val="22"/>
          <w:szCs w:val="22"/>
        </w:rPr>
        <w:t xml:space="preserve">Paired members: Run head-to-head comparisons (cloud vs cloud, VLM vs VLM, etc.)</w:t>
      </w:r>
    </w:p>
    <w:p>
      <w:pPr>
        <w:pStyle w:val="ListParagraph"/>
        <w:numPr>
          <w:ilvl w:val="0"/>
          <w:numId w:val="13"/>
        </w:numPr>
        <w:spacing w:after="60"/>
      </w:pPr>
      <w:r>
        <w:rPr>
          <w:rFonts w:ascii="Arial" w:cs="Arial" w:eastAsia="Arial" w:hAnsi="Arial"/>
          <w:sz w:val="22"/>
          <w:szCs w:val="22"/>
        </w:rPr>
        <w:t xml:space="preserve">Member 3: Build cost projections for all cloud APIs at volume tiers</w:t>
      </w:r>
    </w:p>
    <w:p>
      <w:pPr>
        <w:pStyle w:val="ListParagraph"/>
        <w:numPr>
          <w:ilvl w:val="0"/>
          <w:numId w:val="13"/>
        </w:numPr>
        <w:spacing w:after="60"/>
      </w:pPr>
      <w:r>
        <w:rPr>
          <w:rFonts w:ascii="Arial" w:cs="Arial" w:eastAsia="Arial" w:hAnsi="Arial"/>
          <w:sz w:val="22"/>
          <w:szCs w:val="22"/>
        </w:rPr>
        <w:t xml:space="preserve">Lead + Members 1,2: Draft use-case-to-model mapping and recommendations</w:t>
      </w:r>
    </w:p>
    <w:p>
      <w:pPr>
        <w:spacing w:after="60"/>
      </w:pPr>
      <w:r>
        <w:rPr>
          <w:rFonts w:ascii="Arial" w:cs="Arial" w:eastAsia="Arial" w:hAnsi="Arial"/>
          <w:b/>
          <w:bCs/>
          <w:color w:val="2E75B6"/>
          <w:sz w:val="20"/>
          <w:szCs w:val="20"/>
        </w:rPr>
        <w:t xml:space="preserve">Deliverable: Comparison matrix + draft recommendations</w:t>
      </w:r>
    </w:p>
    <w:p>
      <w:pPr>
        <w:pStyle w:val="Heading2"/>
      </w:pPr>
      <w:r>
        <w:t xml:space="preserve">Week 5: Writing &amp; Assembly</w:t>
      </w:r>
    </w:p>
    <w:p>
      <w:pPr>
        <w:pStyle w:val="ListParagraph"/>
        <w:numPr>
          <w:ilvl w:val="0"/>
          <w:numId w:val="13"/>
        </w:numPr>
        <w:spacing w:after="60"/>
      </w:pPr>
      <w:r>
        <w:rPr>
          <w:rFonts w:ascii="Arial" w:cs="Arial" w:eastAsia="Arial" w:hAnsi="Arial"/>
          <w:sz w:val="22"/>
          <w:szCs w:val="22"/>
        </w:rPr>
        <w:t xml:space="preserve">Each member: Write model profile sections for assigned models (from actual test data, not vendor docs)</w:t>
      </w:r>
    </w:p>
    <w:p>
      <w:pPr>
        <w:pStyle w:val="ListParagraph"/>
        <w:numPr>
          <w:ilvl w:val="0"/>
          <w:numId w:val="13"/>
        </w:numPr>
        <w:spacing w:after="60"/>
      </w:pPr>
      <w:r>
        <w:rPr>
          <w:rFonts w:ascii="Arial" w:cs="Arial" w:eastAsia="Arial" w:hAnsi="Arial"/>
          <w:sz w:val="22"/>
          <w:szCs w:val="22"/>
        </w:rPr>
        <w:t xml:space="preserve">Members 4 &amp; 5: Create charts, comparison tables, sample output screenshots</w:t>
      </w:r>
    </w:p>
    <w:p>
      <w:pPr>
        <w:pStyle w:val="ListParagraph"/>
        <w:numPr>
          <w:ilvl w:val="0"/>
          <w:numId w:val="13"/>
        </w:numPr>
        <w:spacing w:after="60"/>
      </w:pPr>
      <w:r>
        <w:rPr>
          <w:rFonts w:ascii="Arial" w:cs="Arial" w:eastAsia="Arial" w:hAnsi="Arial"/>
          <w:sz w:val="22"/>
          <w:szCs w:val="22"/>
        </w:rPr>
        <w:t xml:space="preserve">Lead: Compile all sections into single document, write Executive Summary</w:t>
      </w:r>
    </w:p>
    <w:p>
      <w:pPr>
        <w:pStyle w:val="ListParagraph"/>
        <w:numPr>
          <w:ilvl w:val="0"/>
          <w:numId w:val="13"/>
        </w:numPr>
        <w:spacing w:after="60"/>
      </w:pPr>
      <w:r>
        <w:rPr>
          <w:rFonts w:ascii="Arial" w:cs="Arial" w:eastAsia="Arial" w:hAnsi="Arial"/>
          <w:sz w:val="22"/>
          <w:szCs w:val="22"/>
        </w:rPr>
        <w:t xml:space="preserve">All: Internal team review of full draft</w:t>
      </w:r>
    </w:p>
    <w:p>
      <w:pPr>
        <w:spacing w:after="60"/>
      </w:pPr>
      <w:r>
        <w:rPr>
          <w:rFonts w:ascii="Arial" w:cs="Arial" w:eastAsia="Arial" w:hAnsi="Arial"/>
          <w:b/>
          <w:bCs/>
          <w:color w:val="2E75B6"/>
          <w:sz w:val="20"/>
          <w:szCs w:val="20"/>
        </w:rPr>
        <w:t xml:space="preserve">Deliverable: Complete first draft of whitepaper</w:t>
      </w:r>
    </w:p>
    <w:p>
      <w:pPr>
        <w:pStyle w:val="Heading2"/>
      </w:pPr>
      <w:r>
        <w:t xml:space="preserve">Week 6: Review, Polish &amp; Submit</w:t>
      </w:r>
    </w:p>
    <w:p>
      <w:pPr>
        <w:pStyle w:val="ListParagraph"/>
        <w:numPr>
          <w:ilvl w:val="0"/>
          <w:numId w:val="13"/>
        </w:numPr>
        <w:spacing w:after="60"/>
      </w:pPr>
      <w:r>
        <w:rPr>
          <w:rFonts w:ascii="Arial" w:cs="Arial" w:eastAsia="Arial" w:hAnsi="Arial"/>
          <w:sz w:val="22"/>
          <w:szCs w:val="22"/>
        </w:rPr>
        <w:t xml:space="preserve">Lead: Share draft with 1-2 senior stakeholders for early feedback</w:t>
      </w:r>
    </w:p>
    <w:p>
      <w:pPr>
        <w:pStyle w:val="ListParagraph"/>
        <w:numPr>
          <w:ilvl w:val="0"/>
          <w:numId w:val="13"/>
        </w:numPr>
        <w:spacing w:after="60"/>
      </w:pPr>
      <w:r>
        <w:rPr>
          <w:rFonts w:ascii="Arial" w:cs="Arial" w:eastAsia="Arial" w:hAnsi="Arial"/>
          <w:sz w:val="22"/>
          <w:szCs w:val="22"/>
        </w:rPr>
        <w:t xml:space="preserve">All: Incorporate feedback, strengthen weak sections</w:t>
      </w:r>
    </w:p>
    <w:p>
      <w:pPr>
        <w:pStyle w:val="ListParagraph"/>
        <w:numPr>
          <w:ilvl w:val="0"/>
          <w:numId w:val="13"/>
        </w:numPr>
        <w:spacing w:after="60"/>
      </w:pPr>
      <w:r>
        <w:rPr>
          <w:rFonts w:ascii="Arial" w:cs="Arial" w:eastAsia="Arial" w:hAnsi="Arial"/>
          <w:sz w:val="22"/>
          <w:szCs w:val="22"/>
        </w:rPr>
        <w:t xml:space="preserve">Lead + Member 5: Final proofread, formatting, executive summary finalization</w:t>
      </w:r>
    </w:p>
    <w:p>
      <w:pPr>
        <w:pStyle w:val="ListParagraph"/>
        <w:numPr>
          <w:ilvl w:val="0"/>
          <w:numId w:val="13"/>
        </w:numPr>
        <w:spacing w:after="60"/>
      </w:pPr>
      <w:r>
        <w:rPr>
          <w:rFonts w:ascii="Arial" w:cs="Arial" w:eastAsia="Arial" w:hAnsi="Arial"/>
          <w:sz w:val="22"/>
          <w:szCs w:val="22"/>
        </w:rPr>
        <w:t xml:space="preserve">Lead: Submit whitepaper to leadership / GenAI practice</w:t>
      </w:r>
    </w:p>
    <w:p>
      <w:pPr>
        <w:spacing w:after="60"/>
      </w:pPr>
      <w:r>
        <w:rPr>
          <w:rFonts w:ascii="Arial" w:cs="Arial" w:eastAsia="Arial" w:hAnsi="Arial"/>
          <w:b/>
          <w:bCs/>
          <w:color w:val="2E75B6"/>
          <w:sz w:val="20"/>
          <w:szCs w:val="20"/>
        </w:rPr>
        <w:t xml:space="preserve">Deliverable: Final whitepaper submitted</w:t>
      </w:r>
    </w:p>
    <w:p>
      <w:r>
        <w:br w:type="page"/>
      </w:r>
    </w:p>
    <w:p>
      <w:pPr>
        <w:pStyle w:val="Heading1"/>
      </w:pPr>
      <w:r>
        <w:t xml:space="preserve">12. Key Success Factors</w:t>
      </w:r>
    </w:p>
    <w:p>
      <w:pPr>
        <w:pStyle w:val="ListParagraph"/>
        <w:numPr>
          <w:ilvl w:val="0"/>
          <w:numId w:val="3"/>
        </w:numPr>
        <w:spacing w:after="60"/>
      </w:pPr>
      <w:r>
        <w:rPr>
          <w:rFonts w:ascii="Arial" w:cs="Arial" w:eastAsia="Arial" w:hAnsi="Arial"/>
          <w:sz w:val="22"/>
          <w:szCs w:val="22"/>
        </w:rPr>
        <w:t xml:space="preserve">Same dataset, every model: Each model must be tested against the exact same 100-150 documents. No exceptions. The automated framework enforces this.</w:t>
      </w:r>
    </w:p>
    <w:p>
      <w:pPr>
        <w:pStyle w:val="ListParagraph"/>
        <w:numPr>
          <w:ilvl w:val="0"/>
          <w:numId w:val="3"/>
        </w:numPr>
        <w:spacing w:after="60"/>
      </w:pPr>
      <w:r>
        <w:rPr>
          <w:rFonts w:ascii="Arial" w:cs="Arial" w:eastAsia="Arial" w:hAnsi="Arial"/>
          <w:sz w:val="22"/>
          <w:szCs w:val="22"/>
        </w:rPr>
        <w:t xml:space="preserve">Write from data, not docs: Every claim in the whitepaper should cite your actual test results. "Azure ADI achieved CER 0.04 on our invoices" not "Azure ADI supports invoice processing."</w:t>
      </w:r>
    </w:p>
    <w:p>
      <w:pPr>
        <w:pStyle w:val="ListParagraph"/>
        <w:numPr>
          <w:ilvl w:val="0"/>
          <w:numId w:val="3"/>
        </w:numPr>
        <w:spacing w:after="60"/>
      </w:pPr>
      <w:r>
        <w:rPr>
          <w:rFonts w:ascii="Arial" w:cs="Arial" w:eastAsia="Arial" w:hAnsi="Arial"/>
          <w:sz w:val="22"/>
          <w:szCs w:val="22"/>
        </w:rPr>
        <w:t xml:space="preserve">Document failures: Where models fail is more insightful than where they succeed. Screenshot bad outputs.</w:t>
      </w:r>
    </w:p>
    <w:p>
      <w:pPr>
        <w:pStyle w:val="ListParagraph"/>
        <w:numPr>
          <w:ilvl w:val="0"/>
          <w:numId w:val="3"/>
        </w:numPr>
        <w:spacing w:after="60"/>
      </w:pPr>
      <w:r>
        <w:rPr>
          <w:rFonts w:ascii="Arial" w:cs="Arial" w:eastAsia="Arial" w:hAnsi="Arial"/>
          <w:sz w:val="22"/>
          <w:szCs w:val="22"/>
        </w:rPr>
        <w:t xml:space="preserve">Include your org documents: The 07_org_documents/ category is what makes this whitepaper genuinely useful and impossible to replicate with AI tools.</w:t>
      </w:r>
    </w:p>
    <w:p>
      <w:pPr>
        <w:pStyle w:val="ListParagraph"/>
        <w:numPr>
          <w:ilvl w:val="0"/>
          <w:numId w:val="3"/>
        </w:numPr>
        <w:spacing w:after="60"/>
      </w:pPr>
      <w:r>
        <w:rPr>
          <w:rFonts w:ascii="Arial" w:cs="Arial" w:eastAsia="Arial" w:hAnsi="Arial"/>
          <w:sz w:val="22"/>
          <w:szCs w:val="22"/>
        </w:rPr>
        <w:t xml:space="preserve">Weekly syncs: 30-minute check-ins to catch misalignments early.</w:t>
      </w:r>
    </w:p>
    <w:p>
      <w:pPr>
        <w:pStyle w:val="ListParagraph"/>
        <w:numPr>
          <w:ilvl w:val="0"/>
          <w:numId w:val="3"/>
        </w:numPr>
        <w:spacing w:after="60"/>
      </w:pPr>
      <w:r>
        <w:rPr>
          <w:rFonts w:ascii="Arial" w:cs="Arial" w:eastAsia="Arial" w:hAnsi="Arial"/>
          <w:sz w:val="22"/>
          <w:szCs w:val="22"/>
        </w:rPr>
        <w:t xml:space="preserve">Log as you go: Fill the tracker spreadsheet after every run, not at the end.</w:t>
      </w:r>
    </w:p>
    <w:p>
      <w:pPr>
        <w:pStyle w:val="Heading1"/>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Inconsistent testing methodology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Results not comparable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Automated framework enforces consistency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API rate limits / costs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Delayed testing, unexpected bills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Budget API credits upfront; use free tiers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GPU unavailability for VLM models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Cannot test 5 open-source VLMs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Use Apple Silicon MPS or provision cloud GPU (Colab Pro)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Model API changes during evaluation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Code breaks mid-evaluation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Pin SDK versions; note versions in appendix</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Team bandwidth constraints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Delays in evaluation or writing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2-3 models per person max; lead fills gaps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Bias toward familiar tools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Unfair evaluation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Quantitative metrics; peer review of results</w:t>
            </w:r>
          </w:p>
        </w:tc>
      </w:tr>
    </w:tbl>
    <w:p>
      <w:pPr>
        <w:spacing w:before="400"/>
      </w:pPr>
    </w:p>
    <w:p>
      <w:pPr>
        <w:pBdr>
          <w:top w:val="single" w:color="2E75B6" w:sz="4" w:space="1"/>
        </w:pBdr>
        <w:spacing w:before="200"/>
        <w:jc w:val="center"/>
      </w:pPr>
      <w:r>
        <w:rPr>
          <w:rFonts w:ascii="Arial" w:cs="Arial" w:eastAsia="Arial" w:hAnsi="Arial"/>
          <w:i/>
          <w:iCs/>
          <w:color w:val="999999"/>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999999"/>
        <w:sz w:val="18"/>
        <w:szCs w:val="18"/>
      </w:rPr>
      <w:t xml:space="preserve">OCR Model Evaluation Whitepaper</w:t>
    </w:r>
    <w:r>
      <w:rPr>
        <w:rFonts w:ascii="Arial" w:cs="Arial" w:eastAsia="Arial" w:hAnsi="Arial"/>
        <w:color w:val="99999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0"/>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 w:numId="11">
    <w:abstractNumId w:val="7"/>
    <w:lvlOverride w:ilvl="0">
      <w:startOverride w:val="1"/>
    </w:lvlOverride>
  </w:num>
  <w:num w:numId="12">
    <w:abstractNumId w:val="8"/>
    <w:lvlOverride w:ilvl="0">
      <w:startOverride w:val="1"/>
    </w:lvlOverride>
  </w:num>
  <w:num w:numId="1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2026-03-22T10:17:28.195Z</dcterms:created>
  <dcterms:modified xsi:type="dcterms:W3CDTF">2026-03-22T10:17:28.196Z</dcterms:modified>
</cp:coreProperties>
</file>

<file path=docProps/custom.xml><?xml version="1.0" encoding="utf-8"?>
<Properties xmlns="http://schemas.openxmlformats.org/officeDocument/2006/custom-properties" xmlns:vt="http://schemas.openxmlformats.org/officeDocument/2006/docPropsVTypes"/>
</file>