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line="276" w:lineRule="auto"/>
        <w:jc w:val="center"/>
      </w:pPr>
      <w:r>
        <w:rPr>
          <w:rFonts w:ascii="Times New Roman" w:hAnsi="Times New Roman"/>
          <w:b/>
          <w:color w:val="000000"/>
          <w:sz w:val="28"/>
        </w:rPr>
        <w:t>A PROJECT REPORT ON</w:t>
      </w:r>
    </w:p>
    <w:p>
      <w:pPr>
        <w:spacing w:before="160" w:after="320" w:line="276" w:lineRule="auto"/>
        <w:jc w:val="center"/>
      </w:pPr>
      <w:r>
        <w:rPr>
          <w:rFonts w:ascii="Times New Roman" w:hAnsi="Times New Roman"/>
          <w:b/>
          <w:color w:val="000000"/>
          <w:sz w:val="36"/>
        </w:rPr>
        <w:t>AI-BASED MSME CREDIT RISK ASSISTANT</w:t>
      </w:r>
    </w:p>
    <w:p>
      <w:pPr>
        <w:spacing w:before="240" w:after="240" w:line="276" w:lineRule="auto"/>
        <w:jc w:val="center"/>
      </w:pPr>
      <w:r>
        <w:rPr>
          <w:rFonts w:ascii="Times New Roman" w:hAnsi="Times New Roman"/>
          <w:b w:val="0"/>
          <w:color w:val="000000"/>
          <w:sz w:val="24"/>
        </w:rPr>
        <w:t>SUBMITTED TO</w:t>
        <w:br/>
        <w:t>BHARATI VIDYAPEETH (DEEMED TO BE UNIVERSITY), PUNE</w:t>
        <w:br/>
        <w:t>IN PARTIAL FULFILLMENT OF THE REQUIREMENTS FOR THE AWARD OF THE DEGREE OF</w:t>
      </w:r>
    </w:p>
    <w:p>
      <w:pPr>
        <w:spacing w:before="160" w:after="320" w:line="276" w:lineRule="auto"/>
        <w:jc w:val="center"/>
      </w:pPr>
      <w:r>
        <w:rPr>
          <w:rFonts w:ascii="Times New Roman" w:hAnsi="Times New Roman"/>
          <w:b/>
          <w:color w:val="000000"/>
          <w:sz w:val="28"/>
        </w:rPr>
        <w:t>BACHELOR OF TECHNOLOGY</w:t>
        <w:br/>
        <w:t>(Computer Engineering)</w:t>
      </w:r>
    </w:p>
    <w:p>
      <w:pPr>
        <w:spacing w:before="160" w:after="160" w:line="276" w:lineRule="auto"/>
        <w:jc w:val="center"/>
      </w:pPr>
      <w:r>
        <w:rPr>
          <w:rFonts w:ascii="Times New Roman" w:hAnsi="Times New Roman"/>
          <w:b/>
          <w:color w:val="000000"/>
          <w:sz w:val="28"/>
        </w:rPr>
        <w:t>BY</w:t>
      </w:r>
    </w:p>
    <w:p>
      <w:pPr>
        <w:spacing w:line="312" w:lineRule="auto"/>
        <w:jc w:val="center"/>
      </w:pPr>
      <w:r>
        <w:rPr>
          <w:rFonts w:ascii="Times New Roman" w:hAnsi="Times New Roman"/>
          <w:b/>
          <w:sz w:val="24"/>
        </w:rPr>
        <w:t>Dhairya Punihani         Roll No: 78          PRN: 2314110171</w:t>
        <w:br/>
        <w:t>Avinash Sharma           Roll No: 88          PRN: 2314110182</w:t>
        <w:br/>
        <w:t>Vinay Pratap Singh       Roll No: 120        PRN: 2314110217</w:t>
        <w:br/>
      </w:r>
    </w:p>
    <w:p>
      <w:pPr>
        <w:spacing w:before="160" w:after="80" w:line="276" w:lineRule="auto"/>
        <w:jc w:val="center"/>
      </w:pPr>
      <w:r>
        <w:rPr>
          <w:rFonts w:ascii="Times New Roman" w:hAnsi="Times New Roman"/>
          <w:b w:val="0"/>
          <w:color w:val="000000"/>
          <w:sz w:val="24"/>
        </w:rPr>
        <w:t>Under the guidance of</w:t>
      </w:r>
    </w:p>
    <w:p>
      <w:pPr>
        <w:spacing w:before="40" w:after="240" w:line="276" w:lineRule="auto"/>
        <w:jc w:val="center"/>
      </w:pPr>
      <w:r>
        <w:rPr>
          <w:rFonts w:ascii="Times New Roman" w:hAnsi="Times New Roman"/>
          <w:b/>
          <w:color w:val="000000"/>
          <w:sz w:val="28"/>
        </w:rPr>
        <w:t>Prof. Ruchira Tare</w:t>
      </w:r>
    </w:p>
    <w:p>
      <w:pPr>
        <w:spacing w:before="120" w:after="120"/>
        <w:jc w:val="center"/>
      </w:pPr>
      <w:r>
        <w:drawing>
          <wp:inline xmlns:a="http://schemas.openxmlformats.org/drawingml/2006/main" xmlns:pic="http://schemas.openxmlformats.org/drawingml/2006/picture">
            <wp:extent cx="1463040" cy="1400695"/>
            <wp:docPr id="1" name="Picture 1"/>
            <wp:cNvGraphicFramePr>
              <a:graphicFrameLocks noChangeAspect="1"/>
            </wp:cNvGraphicFramePr>
            <a:graphic>
              <a:graphicData uri="http://schemas.openxmlformats.org/drawingml/2006/picture">
                <pic:pic>
                  <pic:nvPicPr>
                    <pic:cNvPr id="0" name="bvdu_logo.png"/>
                    <pic:cNvPicPr/>
                  </pic:nvPicPr>
                  <pic:blipFill>
                    <a:blip r:embed="rId9"/>
                    <a:stretch>
                      <a:fillRect/>
                    </a:stretch>
                  </pic:blipFill>
                  <pic:spPr>
                    <a:xfrm>
                      <a:off x="0" y="0"/>
                      <a:ext cx="1463040" cy="1400695"/>
                    </a:xfrm>
                    <a:prstGeom prst="rect"/>
                  </pic:spPr>
                </pic:pic>
              </a:graphicData>
            </a:graphic>
          </wp:inline>
        </w:drawing>
      </w:r>
    </w:p>
    <w:p>
      <w:pPr>
        <w:spacing w:before="160" w:after="0" w:line="276" w:lineRule="auto"/>
        <w:jc w:val="center"/>
      </w:pPr>
      <w:r>
        <w:rPr>
          <w:rFonts w:ascii="Times New Roman" w:hAnsi="Times New Roman"/>
          <w:b/>
          <w:color w:val="000000"/>
          <w:sz w:val="26"/>
        </w:rPr>
        <w:t>DEPARTMENT OF COMPUTER ENGINEERING</w:t>
        <w:br/>
        <w:t>Bharati Vidyapeeth (Deemed to be University)</w:t>
        <w:br/>
        <w:t>College of Engineering, Pune</w:t>
        <w:br/>
        <w:t>2026–2027</w:t>
      </w:r>
    </w:p>
    <w:p>
      <w:r>
        <w:br w:type="page"/>
      </w:r>
    </w:p>
    <w:p>
      <w:pPr>
        <w:jc w:val="center"/>
      </w:pPr>
      <w:r>
        <w:drawing>
          <wp:inline xmlns:a="http://schemas.openxmlformats.org/drawingml/2006/main" xmlns:pic="http://schemas.openxmlformats.org/drawingml/2006/picture">
            <wp:extent cx="1097280" cy="1050521"/>
            <wp:docPr id="2" name="Picture 2"/>
            <wp:cNvGraphicFramePr>
              <a:graphicFrameLocks noChangeAspect="1"/>
            </wp:cNvGraphicFramePr>
            <a:graphic>
              <a:graphicData uri="http://schemas.openxmlformats.org/drawingml/2006/picture">
                <pic:pic>
                  <pic:nvPicPr>
                    <pic:cNvPr id="0" name="bvdu_logo.png"/>
                    <pic:cNvPicPr/>
                  </pic:nvPicPr>
                  <pic:blipFill>
                    <a:blip r:embed="rId9"/>
                    <a:stretch>
                      <a:fillRect/>
                    </a:stretch>
                  </pic:blipFill>
                  <pic:spPr>
                    <a:xfrm>
                      <a:off x="0" y="0"/>
                      <a:ext cx="1097280" cy="1050521"/>
                    </a:xfrm>
                    <a:prstGeom prst="rect"/>
                  </pic:spPr>
                </pic:pic>
              </a:graphicData>
            </a:graphic>
          </wp:inline>
        </w:drawing>
      </w:r>
    </w:p>
    <w:p>
      <w:pPr>
        <w:spacing w:before="120" w:after="240" w:line="276" w:lineRule="auto"/>
        <w:jc w:val="center"/>
      </w:pPr>
      <w:r>
        <w:rPr>
          <w:rFonts w:ascii="Times New Roman" w:hAnsi="Times New Roman"/>
          <w:b/>
          <w:color w:val="000000"/>
          <w:sz w:val="28"/>
        </w:rPr>
        <w:t>BHARATI VIDYAPEETH (DEEMED TO BE UNIVERSITY)</w:t>
        <w:br/>
        <w:t>COLLEGE OF ENGINEERING, PUNE</w:t>
        <w:br/>
        <w:t>DEPARTMENT OF COMPUTER ENGINEERING</w:t>
      </w:r>
    </w:p>
    <w:p>
      <w:pPr>
        <w:spacing w:before="120" w:after="280" w:line="276" w:lineRule="auto"/>
        <w:jc w:val="center"/>
      </w:pPr>
      <w:r>
        <w:rPr>
          <w:rFonts w:ascii="Times New Roman" w:hAnsi="Times New Roman"/>
          <w:b/>
          <w:color w:val="000000"/>
          <w:sz w:val="32"/>
        </w:rPr>
        <w:t>CERTIFICATE</w:t>
      </w:r>
    </w:p>
    <w:p>
      <w:pPr>
        <w:spacing w:line="360" w:lineRule="auto" w:after="120"/>
        <w:jc w:val="both"/>
      </w:pPr>
      <w:r>
        <w:rPr>
          <w:rFonts w:ascii="Times New Roman" w:hAnsi="Times New Roman"/>
          <w:sz w:val="24"/>
        </w:rPr>
        <w:t>This is to certify that the project report entitled “AI-BASED MSME CREDIT RISK ASSISTANT” submitted by Dhairya Punihani (PRN: 2314110171), Avinash Sharma (PRN: 2314110182) and Vinay Pratap Singh (PRN: 2314110217) is a bonafide work carried out by them under the supervision and guidance of Prof. Ruchira Tare.</w:t>
      </w:r>
    </w:p>
    <w:p>
      <w:pPr>
        <w:spacing w:line="360" w:lineRule="auto" w:after="120"/>
        <w:jc w:val="both"/>
      </w:pPr>
      <w:r>
        <w:rPr>
          <w:rFonts w:ascii="Times New Roman" w:hAnsi="Times New Roman"/>
          <w:sz w:val="24"/>
        </w:rPr>
        <w:t>This report is submitted towards the partial fulfillment of the requirements of Bharati Vidyapeeth (Deemed to be University), Pune for the award of the degree of Bachelor of Technology in Computer Engineering during the academic year 2026–2027.</w:t>
      </w:r>
    </w:p>
    <w:p>
      <w:pPr>
        <w:spacing w:before="1120" w:line="312" w:lineRule="auto"/>
      </w:pPr>
      <w:r>
        <w:rPr>
          <w:rFonts w:ascii="Times New Roman" w:hAnsi="Times New Roman"/>
          <w:b/>
          <w:sz w:val="22"/>
        </w:rPr>
        <w:t>Prof. Ruchira Tare                                                           Dr. Sandeep Vanjale</w:t>
        <w:br/>
        <w:t>Guide                                                                          Head of Department</w:t>
        <w:br/>
        <w:t>Department of Computer Engineering                         Department of Computer Engineering</w:t>
      </w:r>
    </w:p>
    <w:p>
      <w:pPr>
        <w:spacing w:before="800"/>
      </w:pPr>
      <w:r>
        <w:rPr>
          <w:rFonts w:ascii="Times New Roman" w:hAnsi="Times New Roman"/>
          <w:sz w:val="22"/>
        </w:rPr>
        <w:t>Place: Pune</w:t>
        <w:br/>
        <w:t>Date: 20/10/2026</w:t>
        <w:br/>
        <w:t>College Seal / Stamp:</w:t>
      </w:r>
    </w:p>
    <w:p>
      <w:r>
        <w:br w:type="page"/>
      </w:r>
    </w:p>
    <w:p>
      <w:pPr>
        <w:spacing w:before="360" w:after="280" w:line="276" w:lineRule="auto"/>
        <w:jc w:val="center"/>
      </w:pPr>
      <w:r>
        <w:rPr>
          <w:rFonts w:ascii="Times New Roman" w:hAnsi="Times New Roman"/>
          <w:b/>
          <w:color w:val="000000"/>
          <w:sz w:val="32"/>
        </w:rPr>
        <w:t>CERTIFICATE</w:t>
      </w:r>
    </w:p>
    <w:p>
      <w:pPr>
        <w:spacing w:before="0" w:after="360" w:line="276" w:lineRule="auto"/>
        <w:jc w:val="center"/>
      </w:pPr>
      <w:r>
        <w:rPr>
          <w:rFonts w:ascii="Times New Roman" w:hAnsi="Times New Roman"/>
          <w:b/>
          <w:color w:val="000000"/>
          <w:sz w:val="24"/>
        </w:rPr>
        <w:t>(Academic Decision-Support &amp; Research Prototype)</w:t>
      </w:r>
    </w:p>
    <w:p>
      <w:pPr>
        <w:spacing w:line="360" w:lineRule="auto" w:after="120"/>
        <w:jc w:val="both"/>
      </w:pPr>
      <w:r>
        <w:rPr>
          <w:rFonts w:ascii="Times New Roman" w:hAnsi="Times New Roman"/>
          <w:sz w:val="24"/>
        </w:rPr>
        <w:t>This is to certify that the Project Report entitled “AI-BASED MSME CREDIT RISK ASSISTANT” submitted by Dhairya Punihani (PRN: 2314110171), Avinash Sharma (PRN: 2314110182) and Vinay Pratap Singh (PRN: 2314110217) is an authentic piece of software engineering and research carried out by them.</w:t>
      </w:r>
    </w:p>
    <w:p>
      <w:pPr>
        <w:spacing w:line="360" w:lineRule="auto" w:after="120"/>
        <w:jc w:val="both"/>
      </w:pPr>
      <w:r>
        <w:rPr>
          <w:rFonts w:ascii="Times New Roman" w:hAnsi="Times New Roman"/>
          <w:sz w:val="24"/>
        </w:rPr>
        <w:t>The development, algorithmic modeling, explainability pipelines, and scenario engines incorporated in this work have been successfully completed and demonstrated in accordance with institutional standards and software quality benchmarks.</w:t>
      </w:r>
    </w:p>
    <w:p>
      <w:pPr>
        <w:spacing w:line="360" w:lineRule="auto" w:after="120"/>
        <w:jc w:val="both"/>
      </w:pPr>
      <w:r>
        <w:rPr>
          <w:rFonts w:ascii="Times New Roman" w:hAnsi="Times New Roman"/>
          <w:sz w:val="24"/>
        </w:rPr>
        <w:t>The project introduces an explainable, data-driven decision-support framework that bridges the information asymmetry in Micro, Small, and Medium Enterprise (MSME) credit underwriting without replacing statutory banking compliance, human discretion, or legal Know-Your-Customer (KYC) requirements.</w:t>
      </w:r>
    </w:p>
    <w:p>
      <w:pPr>
        <w:spacing w:before="1280"/>
      </w:pPr>
      <w:r>
        <w:rPr>
          <w:rFonts w:ascii="Times New Roman" w:hAnsi="Times New Roman"/>
          <w:b/>
          <w:sz w:val="22"/>
        </w:rPr>
        <w:t>Mr. / Dr. [External Guide / Industry Mentor Name]</w:t>
        <w:br/>
        <w:t>Designation: Senior Lead AI Architect / Domain Specialist</w:t>
        <w:br/>
        <w:t>Organization / Research Laboratory</w:t>
        <w:br/>
        <w:t>External Guide Seal / Stamp:</w:t>
      </w:r>
    </w:p>
    <w:p>
      <w:r>
        <w:br w:type="page"/>
      </w:r>
    </w:p>
    <w:p>
      <w:pPr>
        <w:spacing w:before="360" w:after="320" w:line="276" w:lineRule="auto"/>
        <w:jc w:val="center"/>
      </w:pPr>
      <w:r>
        <w:rPr>
          <w:rFonts w:ascii="Times New Roman" w:hAnsi="Times New Roman"/>
          <w:b/>
          <w:color w:val="000000"/>
          <w:sz w:val="32"/>
        </w:rPr>
        <w:t>DECLARATION</w:t>
      </w:r>
    </w:p>
    <w:p>
      <w:pPr>
        <w:spacing w:line="360" w:lineRule="auto" w:after="120"/>
        <w:jc w:val="both"/>
      </w:pPr>
      <w:r>
        <w:rPr>
          <w:rFonts w:ascii="Times New Roman" w:hAnsi="Times New Roman"/>
          <w:sz w:val="24"/>
        </w:rPr>
        <w:t>We, the team members whose signatures appear below, hereby declare that the project work incorporated in the present report entitled “AI-BASED MSME CREDIT RISK ASSISTANT” is an original work carried out by us under the guidance of Prof. Ruchira Tare.</w:t>
      </w:r>
    </w:p>
    <w:p>
      <w:pPr>
        <w:spacing w:line="360" w:lineRule="auto" w:after="120"/>
        <w:jc w:val="both"/>
      </w:pPr>
      <w:r>
        <w:rPr>
          <w:rFonts w:ascii="Times New Roman" w:hAnsi="Times New Roman"/>
          <w:sz w:val="24"/>
        </w:rPr>
        <w:t>This work (in part or in full) has not been submitted to any other University or Institution for the award of any Degree, Diploma, or Fellowship. We have conscientiously acknowledged and cited all material collected from secondary sources, research journals, and literature wherever required. We solely own the full responsibility for the technical accuracy and originality of the content presented herein.</w:t>
      </w:r>
    </w:p>
    <w:tbl>
      <w:tblPr>
        <w:tblW w:type="auto" w:w="0"/>
        <w:jc w:val="center"/>
        <w:tblLook w:firstColumn="1" w:firstRow="1" w:lastColumn="0" w:lastRow="0" w:noHBand="0" w:noVBand="1" w:val="04A0"/>
      </w:tblPr>
      <w:tblGrid>
        <w:gridCol w:w="2890"/>
        <w:gridCol w:w="2890"/>
        <w:gridCol w:w="2890"/>
      </w:tblGrid>
      <w:tr>
        <w:tc>
          <w:tcPr>
            <w:tcW w:type="dxa" w:w="1152"/>
            <w:shd w:fill="E2E8F0"/>
          </w:tcPr>
          <w:p>
            <w:pPr>
              <w:jc w:val="center"/>
            </w:pPr>
            <w:r>
              <w:rPr>
                <w:rFonts w:ascii="Times New Roman" w:hAnsi="Times New Roman"/>
                <w:b/>
                <w:sz w:val="20"/>
              </w:rPr>
              <w:t>Sr. No.</w:t>
            </w:r>
          </w:p>
        </w:tc>
        <w:tc>
          <w:tcPr>
            <w:tcW w:type="dxa" w:w="4608"/>
            <w:shd w:fill="E2E8F0"/>
          </w:tcPr>
          <w:p>
            <w:pPr>
              <w:jc w:val="center"/>
            </w:pPr>
            <w:r>
              <w:rPr>
                <w:rFonts w:ascii="Times New Roman" w:hAnsi="Times New Roman"/>
                <w:b/>
                <w:sz w:val="20"/>
              </w:rPr>
              <w:t>Candidate Name</w:t>
            </w:r>
          </w:p>
        </w:tc>
        <w:tc>
          <w:tcPr>
            <w:tcW w:type="dxa" w:w="2880"/>
            <w:shd w:fill="E2E8F0"/>
          </w:tcPr>
          <w:p>
            <w:pPr>
              <w:jc w:val="center"/>
            </w:pPr>
            <w:r>
              <w:rPr>
                <w:rFonts w:ascii="Times New Roman" w:hAnsi="Times New Roman"/>
                <w:b/>
                <w:sz w:val="20"/>
              </w:rPr>
              <w:t>PRN</w:t>
            </w:r>
          </w:p>
        </w:tc>
      </w:tr>
      <w:tr>
        <w:tc>
          <w:tcPr>
            <w:tcW w:type="dxa" w:w="1152"/>
          </w:tcPr>
          <w:p>
            <w:pPr>
              <w:jc w:val="left"/>
            </w:pPr>
            <w:r>
              <w:rPr>
                <w:rFonts w:ascii="Times New Roman" w:hAnsi="Times New Roman"/>
                <w:sz w:val="19"/>
              </w:rPr>
              <w:t>1.</w:t>
            </w:r>
          </w:p>
        </w:tc>
        <w:tc>
          <w:tcPr>
            <w:tcW w:type="dxa" w:w="4608"/>
          </w:tcPr>
          <w:p>
            <w:pPr>
              <w:jc w:val="center"/>
            </w:pPr>
            <w:r>
              <w:rPr>
                <w:rFonts w:ascii="Times New Roman" w:hAnsi="Times New Roman"/>
                <w:sz w:val="19"/>
              </w:rPr>
              <w:t>Dhairya Punihani</w:t>
            </w:r>
          </w:p>
        </w:tc>
        <w:tc>
          <w:tcPr>
            <w:tcW w:type="dxa" w:w="2880"/>
          </w:tcPr>
          <w:p>
            <w:pPr>
              <w:jc w:val="center"/>
            </w:pPr>
            <w:r>
              <w:rPr>
                <w:rFonts w:ascii="Times New Roman" w:hAnsi="Times New Roman"/>
                <w:sz w:val="19"/>
              </w:rPr>
              <w:t>2314110171</w:t>
            </w:r>
          </w:p>
        </w:tc>
      </w:tr>
      <w:tr>
        <w:tc>
          <w:tcPr>
            <w:tcW w:type="dxa" w:w="1152"/>
            <w:shd w:fill="F8FAFC"/>
          </w:tcPr>
          <w:p>
            <w:pPr>
              <w:jc w:val="left"/>
            </w:pPr>
            <w:r>
              <w:rPr>
                <w:rFonts w:ascii="Times New Roman" w:hAnsi="Times New Roman"/>
                <w:sz w:val="19"/>
              </w:rPr>
              <w:t>2.</w:t>
            </w:r>
          </w:p>
        </w:tc>
        <w:tc>
          <w:tcPr>
            <w:tcW w:type="dxa" w:w="4608"/>
            <w:shd w:fill="F8FAFC"/>
          </w:tcPr>
          <w:p>
            <w:pPr>
              <w:jc w:val="center"/>
            </w:pPr>
            <w:r>
              <w:rPr>
                <w:rFonts w:ascii="Times New Roman" w:hAnsi="Times New Roman"/>
                <w:sz w:val="19"/>
              </w:rPr>
              <w:t>Avinash Sharma</w:t>
            </w:r>
          </w:p>
        </w:tc>
        <w:tc>
          <w:tcPr>
            <w:tcW w:type="dxa" w:w="2880"/>
            <w:shd w:fill="F8FAFC"/>
          </w:tcPr>
          <w:p>
            <w:pPr>
              <w:jc w:val="center"/>
            </w:pPr>
            <w:r>
              <w:rPr>
                <w:rFonts w:ascii="Times New Roman" w:hAnsi="Times New Roman"/>
                <w:sz w:val="19"/>
              </w:rPr>
              <w:t>2314110182</w:t>
            </w:r>
          </w:p>
        </w:tc>
      </w:tr>
      <w:tr>
        <w:tc>
          <w:tcPr>
            <w:tcW w:type="dxa" w:w="1152"/>
          </w:tcPr>
          <w:p>
            <w:pPr>
              <w:jc w:val="left"/>
            </w:pPr>
            <w:r>
              <w:rPr>
                <w:rFonts w:ascii="Times New Roman" w:hAnsi="Times New Roman"/>
                <w:sz w:val="19"/>
              </w:rPr>
              <w:t>3.</w:t>
            </w:r>
          </w:p>
        </w:tc>
        <w:tc>
          <w:tcPr>
            <w:tcW w:type="dxa" w:w="4608"/>
          </w:tcPr>
          <w:p>
            <w:pPr>
              <w:jc w:val="center"/>
            </w:pPr>
            <w:r>
              <w:rPr>
                <w:rFonts w:ascii="Times New Roman" w:hAnsi="Times New Roman"/>
                <w:sz w:val="19"/>
              </w:rPr>
              <w:t>Vinay Pratap Singh</w:t>
            </w:r>
          </w:p>
        </w:tc>
        <w:tc>
          <w:tcPr>
            <w:tcW w:type="dxa" w:w="2880"/>
          </w:tcPr>
          <w:p>
            <w:pPr>
              <w:jc w:val="center"/>
            </w:pPr>
            <w:r>
              <w:rPr>
                <w:rFonts w:ascii="Times New Roman" w:hAnsi="Times New Roman"/>
                <w:sz w:val="19"/>
              </w:rPr>
              <w:t>2314110217</w:t>
            </w:r>
          </w:p>
        </w:tc>
      </w:tr>
    </w:tbl>
    <w:p>
      <w:pPr>
        <w:spacing w:before="800" w:line="312" w:lineRule="auto"/>
      </w:pPr>
      <w:r>
        <w:rPr>
          <w:rFonts w:ascii="Times New Roman" w:hAnsi="Times New Roman"/>
          <w:sz w:val="22"/>
        </w:rPr>
        <w:t>Signature of Candidates:</w:t>
        <w:br/>
        <w:br/>
        <w:t>1. ____________________________ (Dhairya Punihani)</w:t>
        <w:br/>
        <w:br/>
        <w:t>2. ____________________________ (Avinash Sharma)</w:t>
        <w:br/>
        <w:br/>
        <w:t>3. ____________________________ (Vinay Pratap Singh)</w:t>
        <w:br/>
        <w:br/>
        <w:br/>
        <w:t>Signature of Project Guide: ____________________________</w:t>
        <w:br/>
        <w:t>Place: Pune</w:t>
        <w:br/>
        <w:t>Date: 20/10/2026</w:t>
      </w:r>
    </w:p>
    <w:p>
      <w:r>
        <w:br w:type="page"/>
      </w:r>
    </w:p>
    <w:p>
      <w:pPr>
        <w:jc w:val="center"/>
      </w:pPr>
      <w:r>
        <w:drawing>
          <wp:inline xmlns:a="http://schemas.openxmlformats.org/drawingml/2006/main" xmlns:pic="http://schemas.openxmlformats.org/drawingml/2006/picture">
            <wp:extent cx="1097280" cy="1050521"/>
            <wp:docPr id="3" name="Picture 3"/>
            <wp:cNvGraphicFramePr>
              <a:graphicFrameLocks noChangeAspect="1"/>
            </wp:cNvGraphicFramePr>
            <a:graphic>
              <a:graphicData uri="http://schemas.openxmlformats.org/drawingml/2006/picture">
                <pic:pic>
                  <pic:nvPicPr>
                    <pic:cNvPr id="0" name="bvdu_logo.png"/>
                    <pic:cNvPicPr/>
                  </pic:nvPicPr>
                  <pic:blipFill>
                    <a:blip r:embed="rId9"/>
                    <a:stretch>
                      <a:fillRect/>
                    </a:stretch>
                  </pic:blipFill>
                  <pic:spPr>
                    <a:xfrm>
                      <a:off x="0" y="0"/>
                      <a:ext cx="1097280" cy="1050521"/>
                    </a:xfrm>
                    <a:prstGeom prst="rect"/>
                  </pic:spPr>
                </pic:pic>
              </a:graphicData>
            </a:graphic>
          </wp:inline>
        </w:drawing>
      </w:r>
    </w:p>
    <w:p>
      <w:pPr>
        <w:spacing w:before="80" w:after="280" w:line="276" w:lineRule="auto"/>
        <w:jc w:val="center"/>
      </w:pPr>
      <w:r>
        <w:rPr>
          <w:rFonts w:ascii="Times New Roman" w:hAnsi="Times New Roman"/>
          <w:b/>
          <w:color w:val="000000"/>
          <w:sz w:val="28"/>
        </w:rPr>
        <w:t>DEPARTMENT OF COMPUTER ENGINEERING</w:t>
        <w:br/>
        <w:t>Bharati Vidyapeeth (Deemed to be University)</w:t>
        <w:br/>
        <w:t>College of Engineering, Pune</w:t>
      </w:r>
    </w:p>
    <w:p>
      <w:pPr>
        <w:spacing w:before="120" w:after="320" w:line="276" w:lineRule="auto"/>
        <w:jc w:val="center"/>
      </w:pPr>
      <w:r>
        <w:rPr>
          <w:rFonts w:ascii="Times New Roman" w:hAnsi="Times New Roman"/>
          <w:b/>
          <w:color w:val="000000"/>
          <w:sz w:val="32"/>
        </w:rPr>
        <w:t>EXAMINER’S APPROVAL CERTIFICATE</w:t>
      </w:r>
    </w:p>
    <w:p>
      <w:pPr>
        <w:spacing w:line="360" w:lineRule="auto" w:after="120"/>
        <w:jc w:val="both"/>
      </w:pPr>
      <w:r>
        <w:rPr>
          <w:rFonts w:ascii="Times New Roman" w:hAnsi="Times New Roman"/>
          <w:sz w:val="24"/>
        </w:rPr>
        <w:t>The project report entitled “AI-BASED MSME CREDIT RISK ASSISTANT” submitted by Dhairya Punihani (PRN: 2314110171), Avinash Sharma (PRN: 2314110182) and Vinay Pratap Singh (PRN: 2314110217) in partial fulfillment for the award of the degree of Bachelor of Technology in Computer Engineering during the academic year 2026–2027, at Bharati Vidyapeeth (Deemed to be University) College of Engineering, Pune, is hereby approved following the oral examination and defense.</w:t>
      </w:r>
    </w:p>
    <w:p>
      <w:pPr>
        <w:spacing w:before="1280" w:line="336" w:lineRule="auto"/>
      </w:pPr>
      <w:r>
        <w:rPr>
          <w:rFonts w:ascii="Times New Roman" w:hAnsi="Times New Roman"/>
          <w:sz w:val="22"/>
        </w:rPr>
        <w:t>Board of Examiners:</w:t>
        <w:br/>
        <w:br/>
        <w:t>1. Internal Examiner: _____________________________      Signature: ____________________</w:t>
        <w:br/>
        <w:br/>
        <w:t>2. External Examiner: _____________________________      Signature: ____________________</w:t>
        <w:br/>
        <w:br/>
        <w:t>Date: ____________________</w:t>
        <w:br/>
        <w:t>Place: Pune</w:t>
      </w:r>
    </w:p>
    <w:p>
      <w:r>
        <w:br w:type="page"/>
      </w:r>
    </w:p>
    <w:p>
      <w:pPr>
        <w:spacing w:before="360" w:after="280" w:line="276" w:lineRule="auto"/>
        <w:jc w:val="center"/>
      </w:pPr>
      <w:r>
        <w:rPr>
          <w:rFonts w:ascii="Times New Roman" w:hAnsi="Times New Roman"/>
          <w:b/>
          <w:color w:val="000000"/>
          <w:sz w:val="32"/>
        </w:rPr>
        <w:t>ACKNOWLEDGEMENT</w:t>
      </w:r>
    </w:p>
    <w:p>
      <w:pPr>
        <w:spacing w:line="360" w:lineRule="auto" w:after="120"/>
        <w:ind w:firstLine="360"/>
        <w:jc w:val="both"/>
      </w:pPr>
      <w:r>
        <w:rPr>
          <w:rFonts w:ascii="Times New Roman" w:hAnsi="Times New Roman"/>
          <w:sz w:val="24"/>
        </w:rPr>
        <w:t>We express our profound gratitude to our project guide, Prof. Ruchira Tare, Department of Computer Engineering, Bharati Vidyapeeth (Deemed to be University) College of Engineering, Pune, for her invaluable mentorship, constructive critique, and steadfast encouragement throughout the conception, modeling, and realization of this major project.</w:t>
      </w:r>
    </w:p>
    <w:p>
      <w:pPr>
        <w:spacing w:line="360" w:lineRule="auto" w:after="120"/>
        <w:ind w:firstLine="360"/>
        <w:jc w:val="both"/>
      </w:pPr>
      <w:r>
        <w:rPr>
          <w:rFonts w:ascii="Times New Roman" w:hAnsi="Times New Roman"/>
          <w:sz w:val="24"/>
        </w:rPr>
        <w:t>We are deeply grateful to Dr. Sandeep Vanjale, Head of the Department of Computer Engineering, for providing excellent laboratory infrastructure, state-of-the-art computational facilities, and an environment conducive to academic inquiry and innovation.</w:t>
      </w:r>
    </w:p>
    <w:p>
      <w:pPr>
        <w:spacing w:line="360" w:lineRule="auto" w:after="120"/>
        <w:ind w:firstLine="360"/>
        <w:jc w:val="both"/>
      </w:pPr>
      <w:r>
        <w:rPr>
          <w:rFonts w:ascii="Times New Roman" w:hAnsi="Times New Roman"/>
          <w:sz w:val="24"/>
        </w:rPr>
        <w:t>We also extend our sincere appreciation to Dr. [Principal Name], Principal of Bharati Vidyapeeth College of Engineering, Pune, for his administrative leadership and institutional vision. Special thanks are due to all the faculty members and technical staff of the Computer Engineering Department for their direct and indirect assistance.</w:t>
      </w:r>
    </w:p>
    <w:p>
      <w:pPr>
        <w:spacing w:line="360" w:lineRule="auto" w:after="120"/>
        <w:ind w:firstLine="360"/>
        <w:jc w:val="both"/>
      </w:pPr>
      <w:r>
        <w:rPr>
          <w:rFonts w:ascii="Times New Roman" w:hAnsi="Times New Roman"/>
          <w:sz w:val="24"/>
        </w:rPr>
        <w:t>Finally, we place on record our heartfelt indebtedness to our parents, family members, and peers whose moral support and patience sustained our efforts throughout our undergraduate engineering journey.</w:t>
      </w:r>
    </w:p>
    <w:p>
      <w:pPr>
        <w:spacing w:before="720" w:line="288" w:lineRule="auto"/>
      </w:pPr>
      <w:r>
        <w:rPr>
          <w:rFonts w:ascii="Times New Roman" w:hAnsi="Times New Roman"/>
          <w:sz w:val="22"/>
        </w:rPr>
        <w:t>Dhairya Punihani (PRN: 2314110171)</w:t>
        <w:br/>
        <w:t>Avinash Sharma (PRN: 2314110182)</w:t>
        <w:br/>
        <w:t>Vinay Pratap Singh (PRN: 2314110217)</w:t>
        <w:br/>
        <w:t>B.Tech. Final Year, Computer Engineering</w:t>
        <w:br/>
        <w:t>BV(DU)COE, Pune</w:t>
      </w:r>
    </w:p>
    <w:p>
      <w:r>
        <w:br w:type="page"/>
      </w:r>
    </w:p>
    <w:p>
      <w:pPr>
        <w:spacing w:before="360" w:after="280" w:line="276" w:lineRule="auto"/>
        <w:jc w:val="center"/>
      </w:pPr>
      <w:r>
        <w:rPr>
          <w:rFonts w:ascii="Times New Roman" w:hAnsi="Times New Roman"/>
          <w:b/>
          <w:color w:val="000000"/>
          <w:sz w:val="32"/>
        </w:rPr>
        <w:t>ABSTRACT</w:t>
      </w:r>
    </w:p>
    <w:p>
      <w:pPr>
        <w:spacing w:line="360" w:lineRule="auto" w:after="120"/>
        <w:ind w:firstLine="360"/>
        <w:jc w:val="both"/>
      </w:pPr>
      <w:r>
        <w:rPr>
          <w:rFonts w:ascii="Times New Roman" w:hAnsi="Times New Roman"/>
          <w:sz w:val="24"/>
        </w:rPr>
        <w:t>Micro, Small, and Medium Enterprises (MSMEs) represent the cornerstone of socioeconomic industrial development in emerging economies, contributing roughly 30% of India's Gross Domestic Product (GDP), commanding 45% of total manufacturing exports, and employing upwards of 110 million individuals across urban, peri-urban, and rural sectors. Despite their vital macroeconomic role, more than 70% of credit-seeking MSMEs encounter severe credit access bottlenecks and credit rationing. Traditional banking credit appraisal protocols rely predominantly on audited financial statements, multi-year asset histories, and rigid credit bureau cutoffs—collateral requirements that informal, nascent, or service-oriented enterprises often cannot satisfy. Conversely, contemporary automated credit scoring algorithms operate largely as black-box models, obscuring the reasoning behind loan rejections and failing to comply with evolving financial explainability mandates (e.g., Reserve Bank of India Fair Lending Guidelines, Basel II/III Internal Ratings-Based frameworks).</w:t>
      </w:r>
    </w:p>
    <w:p>
      <w:pPr>
        <w:spacing w:line="360" w:lineRule="auto" w:after="120"/>
        <w:ind w:firstLine="360"/>
        <w:jc w:val="both"/>
      </w:pPr>
      <w:r>
        <w:rPr>
          <w:rFonts w:ascii="Times New Roman" w:hAnsi="Times New Roman"/>
          <w:sz w:val="24"/>
        </w:rPr>
        <w:t>To address this dual challenge, this dissertation presents the design, development, and empirical evaluation of the 'AI-Based MSME Credit Risk Assistant'—an explainable, data-driven decision-support prototype. The proposed system executes a closed-loop operational paradigm: PREDICT → EXPLAIN → SIMULATE → IMPROVE. The application ingests operational financial variables, derives domain-specific financial indicators (Debt-to-Income, Operating Profit Margin, Loan-to-Income, Cash Flow Coverage, Debt Ratio), and evaluates class imbalance handling using Synthetic Minority Over-sampling Technique (SMOTE) and Adaptive Synthetic Sampling (ADASYN) strictly within cross-validation folds to preclude data leakage.</w:t>
      </w:r>
    </w:p>
    <w:p>
      <w:pPr>
        <w:spacing w:line="360" w:lineRule="auto" w:after="120"/>
        <w:ind w:firstLine="360"/>
        <w:jc w:val="both"/>
      </w:pPr>
      <w:r>
        <w:rPr>
          <w:rFonts w:ascii="Times New Roman" w:hAnsi="Times New Roman"/>
          <w:sz w:val="24"/>
        </w:rPr>
        <w:t>Candidate classifiers (Logistic Regression, Decision Trees, and Random Forests) were benchmarked using Stratified 5-Fold Cross-Validation across 1,200 training instances. The selected champion Logistic Regression pipeline attained a Cross-Validation F1-Macro of 0.8671 and demonstrated superior generalization on an untouched 300-sample test set with 86.33% Test Accuracy, 0.8344 F1-Macro, 0.8468 Precision-Macro, 0.8236 Recall-Macro, and an Area Under the ROC Curve (ROC-AUC) of 0.9680. Crucially, the model misclassified zero High Risk applicants into the Low Risk tier, eliminating catastrophic default exposure.</w:t>
      </w:r>
    </w:p>
    <w:p>
      <w:pPr>
        <w:spacing w:line="360" w:lineRule="auto" w:after="120"/>
        <w:ind w:firstLine="360"/>
        <w:jc w:val="both"/>
      </w:pPr>
      <w:r>
        <w:rPr>
          <w:rFonts w:ascii="Times New Roman" w:hAnsi="Times New Roman"/>
          <w:sz w:val="24"/>
        </w:rPr>
        <w:t>Explainable AI is operationalized using cooperative game-theoretic Shapley Additive explanations (SHAP) to deliver global feature rankings and granular, instance-level risk factor attributions. Complementing the predictive engine, the system implements an independent, deterministic 5-pillar Financial Health Index (0–100) and an interactive What-If scenario simulation engine that enables borrowers and underwriters to model the sensitivity of risk classifications to parameter variations without model retraining. Deployed through a modern, theme-adaptive Streamlit interface integrated with an ACID-compliant SQLite audit store and automated ReportLab PDF generation, the project bridges the critical gap between predictive accuracy and regulatory auditability in commercial lending.</w:t>
      </w:r>
    </w:p>
    <w:p>
      <w:r>
        <w:br w:type="page"/>
      </w:r>
    </w:p>
    <w:p>
      <w:pPr>
        <w:spacing w:before="360" w:after="280" w:line="276" w:lineRule="auto"/>
        <w:jc w:val="center"/>
      </w:pPr>
      <w:r>
        <w:rPr>
          <w:rFonts w:ascii="Times New Roman" w:hAnsi="Times New Roman"/>
          <w:b/>
          <w:color w:val="000000"/>
          <w:sz w:val="32"/>
        </w:rPr>
        <w:t>CONTENTS</w:t>
      </w:r>
    </w:p>
    <w:tbl>
      <w:tblPr>
        <w:tblW w:type="auto" w:w="0"/>
        <w:jc w:val="center"/>
        <w:tblLook w:firstColumn="1" w:firstRow="1" w:lastColumn="0" w:lastRow="0" w:noHBand="0" w:noVBand="1" w:val="04A0"/>
      </w:tblPr>
      <w:tblGrid>
        <w:gridCol w:w="4334"/>
        <w:gridCol w:w="4334"/>
      </w:tblGrid>
      <w:tr>
        <w:tc>
          <w:tcPr>
            <w:tcW w:type="dxa" w:w="7488"/>
            <w:shd w:fill="E2E8F0"/>
          </w:tcPr>
          <w:p>
            <w:pPr>
              <w:jc w:val="center"/>
            </w:pPr>
            <w:r>
              <w:rPr>
                <w:rFonts w:ascii="Times New Roman" w:hAnsi="Times New Roman"/>
                <w:b/>
                <w:sz w:val="20"/>
              </w:rPr>
              <w:t>Topic / Chapter Heading</w:t>
            </w:r>
          </w:p>
        </w:tc>
        <w:tc>
          <w:tcPr>
            <w:tcW w:type="dxa" w:w="1440"/>
            <w:shd w:fill="E2E8F0"/>
          </w:tcPr>
          <w:p>
            <w:pPr>
              <w:jc w:val="center"/>
            </w:pPr>
            <w:r>
              <w:rPr>
                <w:rFonts w:ascii="Times New Roman" w:hAnsi="Times New Roman"/>
                <w:b/>
                <w:sz w:val="20"/>
              </w:rPr>
              <w:t>Page</w:t>
            </w:r>
          </w:p>
        </w:tc>
      </w:tr>
      <w:tr>
        <w:tc>
          <w:tcPr>
            <w:tcW w:type="dxa" w:w="7488"/>
          </w:tcPr>
          <w:p>
            <w:pPr>
              <w:jc w:val="left"/>
            </w:pPr>
            <w:r>
              <w:rPr>
                <w:rFonts w:ascii="Times New Roman" w:hAnsi="Times New Roman"/>
                <w:sz w:val="19"/>
              </w:rPr>
              <w:t>Certificate</w:t>
            </w:r>
          </w:p>
        </w:tc>
        <w:tc>
          <w:tcPr>
            <w:tcW w:type="dxa" w:w="1440"/>
          </w:tcPr>
          <w:p>
            <w:pPr>
              <w:jc w:val="center"/>
            </w:pPr>
            <w:r>
              <w:rPr>
                <w:rFonts w:ascii="Times New Roman" w:hAnsi="Times New Roman"/>
                <w:sz w:val="19"/>
              </w:rPr>
              <w:t>i</w:t>
            </w:r>
          </w:p>
        </w:tc>
      </w:tr>
      <w:tr>
        <w:tc>
          <w:tcPr>
            <w:tcW w:type="dxa" w:w="7488"/>
            <w:shd w:fill="F8FAFC"/>
          </w:tcPr>
          <w:p>
            <w:pPr>
              <w:jc w:val="left"/>
            </w:pPr>
            <w:r>
              <w:rPr>
                <w:rFonts w:ascii="Times New Roman" w:hAnsi="Times New Roman"/>
                <w:sz w:val="19"/>
              </w:rPr>
              <w:t>Certificate (Sponsorship / Prototype)</w:t>
            </w:r>
          </w:p>
        </w:tc>
        <w:tc>
          <w:tcPr>
            <w:tcW w:type="dxa" w:w="1440"/>
            <w:shd w:fill="F8FAFC"/>
          </w:tcPr>
          <w:p>
            <w:pPr>
              <w:jc w:val="center"/>
            </w:pPr>
            <w:r>
              <w:rPr>
                <w:rFonts w:ascii="Times New Roman" w:hAnsi="Times New Roman"/>
                <w:sz w:val="19"/>
              </w:rPr>
              <w:t>ii</w:t>
            </w:r>
          </w:p>
        </w:tc>
      </w:tr>
      <w:tr>
        <w:tc>
          <w:tcPr>
            <w:tcW w:type="dxa" w:w="7488"/>
          </w:tcPr>
          <w:p>
            <w:pPr>
              <w:jc w:val="left"/>
            </w:pPr>
            <w:r>
              <w:rPr>
                <w:rFonts w:ascii="Times New Roman" w:hAnsi="Times New Roman"/>
                <w:sz w:val="19"/>
              </w:rPr>
              <w:t>Declaration</w:t>
            </w:r>
          </w:p>
        </w:tc>
        <w:tc>
          <w:tcPr>
            <w:tcW w:type="dxa" w:w="1440"/>
          </w:tcPr>
          <w:p>
            <w:pPr>
              <w:jc w:val="center"/>
            </w:pPr>
            <w:r>
              <w:rPr>
                <w:rFonts w:ascii="Times New Roman" w:hAnsi="Times New Roman"/>
                <w:sz w:val="19"/>
              </w:rPr>
              <w:t>iii</w:t>
            </w:r>
          </w:p>
        </w:tc>
      </w:tr>
      <w:tr>
        <w:tc>
          <w:tcPr>
            <w:tcW w:type="dxa" w:w="7488"/>
            <w:shd w:fill="F8FAFC"/>
          </w:tcPr>
          <w:p>
            <w:pPr>
              <w:jc w:val="left"/>
            </w:pPr>
            <w:r>
              <w:rPr>
                <w:rFonts w:ascii="Times New Roman" w:hAnsi="Times New Roman"/>
                <w:sz w:val="19"/>
              </w:rPr>
              <w:t>Examiner’s Approval Certificate</w:t>
            </w:r>
          </w:p>
        </w:tc>
        <w:tc>
          <w:tcPr>
            <w:tcW w:type="dxa" w:w="1440"/>
            <w:shd w:fill="F8FAFC"/>
          </w:tcPr>
          <w:p>
            <w:pPr>
              <w:jc w:val="center"/>
            </w:pPr>
            <w:r>
              <w:rPr>
                <w:rFonts w:ascii="Times New Roman" w:hAnsi="Times New Roman"/>
                <w:sz w:val="19"/>
              </w:rPr>
              <w:t>iv</w:t>
            </w:r>
          </w:p>
        </w:tc>
      </w:tr>
      <w:tr>
        <w:tc>
          <w:tcPr>
            <w:tcW w:type="dxa" w:w="7488"/>
          </w:tcPr>
          <w:p>
            <w:pPr>
              <w:jc w:val="left"/>
            </w:pPr>
            <w:r>
              <w:rPr>
                <w:rFonts w:ascii="Times New Roman" w:hAnsi="Times New Roman"/>
                <w:sz w:val="19"/>
              </w:rPr>
              <w:t>Acknowledgement</w:t>
            </w:r>
          </w:p>
        </w:tc>
        <w:tc>
          <w:tcPr>
            <w:tcW w:type="dxa" w:w="1440"/>
          </w:tcPr>
          <w:p>
            <w:pPr>
              <w:jc w:val="center"/>
            </w:pPr>
            <w:r>
              <w:rPr>
                <w:rFonts w:ascii="Times New Roman" w:hAnsi="Times New Roman"/>
                <w:sz w:val="19"/>
              </w:rPr>
              <w:t>v</w:t>
            </w:r>
          </w:p>
        </w:tc>
      </w:tr>
      <w:tr>
        <w:tc>
          <w:tcPr>
            <w:tcW w:type="dxa" w:w="7488"/>
            <w:shd w:fill="F8FAFC"/>
          </w:tcPr>
          <w:p>
            <w:pPr>
              <w:jc w:val="left"/>
            </w:pPr>
            <w:r>
              <w:rPr>
                <w:rFonts w:ascii="Times New Roman" w:hAnsi="Times New Roman"/>
                <w:sz w:val="19"/>
              </w:rPr>
              <w:t>Abstract</w:t>
            </w:r>
          </w:p>
        </w:tc>
        <w:tc>
          <w:tcPr>
            <w:tcW w:type="dxa" w:w="1440"/>
            <w:shd w:fill="F8FAFC"/>
          </w:tcPr>
          <w:p>
            <w:pPr>
              <w:jc w:val="center"/>
            </w:pPr>
            <w:r>
              <w:rPr>
                <w:rFonts w:ascii="Times New Roman" w:hAnsi="Times New Roman"/>
                <w:sz w:val="19"/>
              </w:rPr>
              <w:t>vi</w:t>
            </w:r>
          </w:p>
        </w:tc>
      </w:tr>
      <w:tr>
        <w:tc>
          <w:tcPr>
            <w:tcW w:type="dxa" w:w="7488"/>
          </w:tcPr>
          <w:p>
            <w:pPr>
              <w:jc w:val="left"/>
            </w:pPr>
            <w:r>
              <w:rPr>
                <w:rFonts w:ascii="Times New Roman" w:hAnsi="Times New Roman"/>
                <w:sz w:val="19"/>
              </w:rPr>
              <w:t>Contents</w:t>
            </w:r>
          </w:p>
        </w:tc>
        <w:tc>
          <w:tcPr>
            <w:tcW w:type="dxa" w:w="1440"/>
          </w:tcPr>
          <w:p>
            <w:pPr>
              <w:jc w:val="center"/>
            </w:pPr>
            <w:r>
              <w:rPr>
                <w:rFonts w:ascii="Times New Roman" w:hAnsi="Times New Roman"/>
                <w:sz w:val="19"/>
              </w:rPr>
              <w:t>ix</w:t>
            </w:r>
          </w:p>
        </w:tc>
      </w:tr>
      <w:tr>
        <w:tc>
          <w:tcPr>
            <w:tcW w:type="dxa" w:w="7488"/>
            <w:shd w:fill="F8FAFC"/>
          </w:tcPr>
          <w:p>
            <w:pPr>
              <w:jc w:val="left"/>
            </w:pPr>
            <w:r>
              <w:rPr>
                <w:rFonts w:ascii="Times New Roman" w:hAnsi="Times New Roman"/>
                <w:sz w:val="19"/>
              </w:rPr>
              <w:t>List of Figures</w:t>
            </w:r>
          </w:p>
        </w:tc>
        <w:tc>
          <w:tcPr>
            <w:tcW w:type="dxa" w:w="1440"/>
            <w:shd w:fill="F8FAFC"/>
          </w:tcPr>
          <w:p>
            <w:pPr>
              <w:jc w:val="center"/>
            </w:pPr>
            <w:r>
              <w:rPr>
                <w:rFonts w:ascii="Times New Roman" w:hAnsi="Times New Roman"/>
                <w:sz w:val="19"/>
              </w:rPr>
              <w:t>xii</w:t>
            </w:r>
          </w:p>
        </w:tc>
      </w:tr>
      <w:tr>
        <w:tc>
          <w:tcPr>
            <w:tcW w:type="dxa" w:w="7488"/>
          </w:tcPr>
          <w:p>
            <w:pPr>
              <w:jc w:val="left"/>
            </w:pPr>
            <w:r>
              <w:rPr>
                <w:rFonts w:ascii="Times New Roman" w:hAnsi="Times New Roman"/>
                <w:sz w:val="19"/>
              </w:rPr>
              <w:t>List of Tables</w:t>
            </w:r>
          </w:p>
        </w:tc>
        <w:tc>
          <w:tcPr>
            <w:tcW w:type="dxa" w:w="1440"/>
          </w:tcPr>
          <w:p>
            <w:pPr>
              <w:jc w:val="center"/>
            </w:pPr>
            <w:r>
              <w:rPr>
                <w:rFonts w:ascii="Times New Roman" w:hAnsi="Times New Roman"/>
                <w:sz w:val="19"/>
              </w:rPr>
              <w:t>xiii</w:t>
            </w:r>
          </w:p>
        </w:tc>
      </w:tr>
      <w:tr>
        <w:tc>
          <w:tcPr>
            <w:tcW w:type="dxa" w:w="7488"/>
            <w:shd w:fill="F8FAFC"/>
          </w:tcPr>
          <w:p>
            <w:pPr>
              <w:jc w:val="left"/>
            </w:pPr>
            <w:r>
              <w:rPr>
                <w:rFonts w:ascii="Times New Roman" w:hAnsi="Times New Roman"/>
                <w:sz w:val="19"/>
              </w:rPr>
              <w:t>Nomenclature &amp; Abbreviations</w:t>
            </w:r>
          </w:p>
        </w:tc>
        <w:tc>
          <w:tcPr>
            <w:tcW w:type="dxa" w:w="1440"/>
            <w:shd w:fill="F8FAFC"/>
          </w:tcPr>
          <w:p>
            <w:pPr>
              <w:jc w:val="center"/>
            </w:pPr>
            <w:r>
              <w:rPr>
                <w:rFonts w:ascii="Times New Roman" w:hAnsi="Times New Roman"/>
                <w:sz w:val="19"/>
              </w:rPr>
              <w:t>xiv</w:t>
            </w:r>
          </w:p>
        </w:tc>
      </w:tr>
      <w:tr>
        <w:tc>
          <w:tcPr>
            <w:tcW w:type="dxa" w:w="7488"/>
          </w:tcPr>
          <w:p>
            <w:pPr>
              <w:jc w:val="left"/>
            </w:pPr>
            <w:r>
              <w:rPr>
                <w:rFonts w:ascii="Times New Roman" w:hAnsi="Times New Roman"/>
                <w:sz w:val="19"/>
              </w:rPr>
              <w:t>Chapter 1: INTRODUCTION</w:t>
            </w:r>
          </w:p>
        </w:tc>
        <w:tc>
          <w:tcPr>
            <w:tcW w:type="dxa" w:w="1440"/>
          </w:tcPr>
          <w:p>
            <w:pPr>
              <w:jc w:val="center"/>
            </w:pPr>
            <w:r>
              <w:rPr>
                <w:rFonts w:ascii="Times New Roman" w:hAnsi="Times New Roman"/>
                <w:sz w:val="19"/>
              </w:rPr>
              <w:t>16</w:t>
            </w:r>
          </w:p>
        </w:tc>
      </w:tr>
      <w:tr>
        <w:tc>
          <w:tcPr>
            <w:tcW w:type="dxa" w:w="7488"/>
            <w:shd w:fill="F8FAFC"/>
          </w:tcPr>
          <w:p>
            <w:pPr>
              <w:jc w:val="left"/>
            </w:pPr>
            <w:r>
              <w:rPr>
                <w:rFonts w:ascii="Times New Roman" w:hAnsi="Times New Roman"/>
                <w:sz w:val="19"/>
              </w:rPr>
              <w:t xml:space="preserve">    1.1 Socioeconomic Domain Context &amp; Microeconomic Reality</w:t>
            </w:r>
          </w:p>
        </w:tc>
        <w:tc>
          <w:tcPr>
            <w:tcW w:type="dxa" w:w="1440"/>
            <w:shd w:fill="F8FAFC"/>
          </w:tcPr>
          <w:p>
            <w:pPr>
              <w:jc w:val="center"/>
            </w:pPr>
            <w:r>
              <w:rPr>
                <w:rFonts w:ascii="Times New Roman" w:hAnsi="Times New Roman"/>
                <w:sz w:val="19"/>
              </w:rPr>
              <w:t>16</w:t>
            </w:r>
          </w:p>
        </w:tc>
      </w:tr>
      <w:tr>
        <w:tc>
          <w:tcPr>
            <w:tcW w:type="dxa" w:w="7488"/>
          </w:tcPr>
          <w:p>
            <w:pPr>
              <w:jc w:val="left"/>
            </w:pPr>
            <w:r>
              <w:rPr>
                <w:rFonts w:ascii="Times New Roman" w:hAnsi="Times New Roman"/>
                <w:sz w:val="19"/>
              </w:rPr>
              <w:t xml:space="preserve">    1.2 MSME Credit Access Bottlenecks &amp; Information Asymmetry</w:t>
            </w:r>
          </w:p>
        </w:tc>
        <w:tc>
          <w:tcPr>
            <w:tcW w:type="dxa" w:w="1440"/>
          </w:tcPr>
          <w:p>
            <w:pPr>
              <w:jc w:val="center"/>
            </w:pPr>
            <w:r>
              <w:rPr>
                <w:rFonts w:ascii="Times New Roman" w:hAnsi="Times New Roman"/>
                <w:sz w:val="19"/>
              </w:rPr>
              <w:t>16</w:t>
            </w:r>
          </w:p>
        </w:tc>
      </w:tr>
      <w:tr>
        <w:tc>
          <w:tcPr>
            <w:tcW w:type="dxa" w:w="7488"/>
            <w:shd w:fill="F8FAFC"/>
          </w:tcPr>
          <w:p>
            <w:pPr>
              <w:jc w:val="left"/>
            </w:pPr>
            <w:r>
              <w:rPr>
                <w:rFonts w:ascii="Times New Roman" w:hAnsi="Times New Roman"/>
                <w:sz w:val="19"/>
              </w:rPr>
              <w:t xml:space="preserve">    1.3 Evolution of Credit Underwriting: From 5 Cs to Automated ML</w:t>
            </w:r>
          </w:p>
        </w:tc>
        <w:tc>
          <w:tcPr>
            <w:tcW w:type="dxa" w:w="1440"/>
            <w:shd w:fill="F8FAFC"/>
          </w:tcPr>
          <w:p>
            <w:pPr>
              <w:jc w:val="center"/>
            </w:pPr>
            <w:r>
              <w:rPr>
                <w:rFonts w:ascii="Times New Roman" w:hAnsi="Times New Roman"/>
                <w:sz w:val="19"/>
              </w:rPr>
              <w:t>18</w:t>
            </w:r>
          </w:p>
        </w:tc>
      </w:tr>
      <w:tr>
        <w:tc>
          <w:tcPr>
            <w:tcW w:type="dxa" w:w="7488"/>
          </w:tcPr>
          <w:p>
            <w:pPr>
              <w:jc w:val="left"/>
            </w:pPr>
            <w:r>
              <w:rPr>
                <w:rFonts w:ascii="Times New Roman" w:hAnsi="Times New Roman"/>
                <w:sz w:val="19"/>
              </w:rPr>
              <w:t xml:space="preserve">    1.4 Regulatory Framework &amp; Supervisory Compliance</w:t>
            </w:r>
          </w:p>
        </w:tc>
        <w:tc>
          <w:tcPr>
            <w:tcW w:type="dxa" w:w="1440"/>
          </w:tcPr>
          <w:p>
            <w:pPr>
              <w:jc w:val="center"/>
            </w:pPr>
            <w:r>
              <w:rPr>
                <w:rFonts w:ascii="Times New Roman" w:hAnsi="Times New Roman"/>
                <w:sz w:val="19"/>
              </w:rPr>
              <w:t>18</w:t>
            </w:r>
          </w:p>
        </w:tc>
      </w:tr>
      <w:tr>
        <w:tc>
          <w:tcPr>
            <w:tcW w:type="dxa" w:w="7488"/>
            <w:shd w:fill="F8FAFC"/>
          </w:tcPr>
          <w:p>
            <w:pPr>
              <w:jc w:val="left"/>
            </w:pPr>
            <w:r>
              <w:rPr>
                <w:rFonts w:ascii="Times New Roman" w:hAnsi="Times New Roman"/>
                <w:sz w:val="19"/>
              </w:rPr>
              <w:t xml:space="preserve">    1.5 Existing Work &amp; Comparative Evaluation Review</w:t>
            </w:r>
          </w:p>
        </w:tc>
        <w:tc>
          <w:tcPr>
            <w:tcW w:type="dxa" w:w="1440"/>
            <w:shd w:fill="F8FAFC"/>
          </w:tcPr>
          <w:p>
            <w:pPr>
              <w:jc w:val="center"/>
            </w:pPr>
            <w:r>
              <w:rPr>
                <w:rFonts w:ascii="Times New Roman" w:hAnsi="Times New Roman"/>
                <w:sz w:val="19"/>
              </w:rPr>
              <w:t>19</w:t>
            </w:r>
          </w:p>
        </w:tc>
      </w:tr>
      <w:tr>
        <w:tc>
          <w:tcPr>
            <w:tcW w:type="dxa" w:w="7488"/>
          </w:tcPr>
          <w:p>
            <w:pPr>
              <w:jc w:val="left"/>
            </w:pPr>
            <w:r>
              <w:rPr>
                <w:rFonts w:ascii="Times New Roman" w:hAnsi="Times New Roman"/>
                <w:sz w:val="19"/>
              </w:rPr>
              <w:t xml:space="preserve">    1.6 Motivation &amp; Philosophical Underpinnings</w:t>
            </w:r>
          </w:p>
        </w:tc>
        <w:tc>
          <w:tcPr>
            <w:tcW w:type="dxa" w:w="1440"/>
          </w:tcPr>
          <w:p>
            <w:pPr>
              <w:jc w:val="center"/>
            </w:pPr>
            <w:r>
              <w:rPr>
                <w:rFonts w:ascii="Times New Roman" w:hAnsi="Times New Roman"/>
                <w:sz w:val="19"/>
              </w:rPr>
              <w:t>21</w:t>
            </w:r>
          </w:p>
        </w:tc>
      </w:tr>
      <w:tr>
        <w:tc>
          <w:tcPr>
            <w:tcW w:type="dxa" w:w="7488"/>
            <w:shd w:fill="F8FAFC"/>
          </w:tcPr>
          <w:p>
            <w:pPr>
              <w:jc w:val="left"/>
            </w:pPr>
            <w:r>
              <w:rPr>
                <w:rFonts w:ascii="Times New Roman" w:hAnsi="Times New Roman"/>
                <w:sz w:val="19"/>
              </w:rPr>
              <w:t xml:space="preserve">    1.7 Formal Problem Statement</w:t>
            </w:r>
          </w:p>
        </w:tc>
        <w:tc>
          <w:tcPr>
            <w:tcW w:type="dxa" w:w="1440"/>
            <w:shd w:fill="F8FAFC"/>
          </w:tcPr>
          <w:p>
            <w:pPr>
              <w:jc w:val="center"/>
            </w:pPr>
            <w:r>
              <w:rPr>
                <w:rFonts w:ascii="Times New Roman" w:hAnsi="Times New Roman"/>
                <w:sz w:val="19"/>
              </w:rPr>
              <w:t>22</w:t>
            </w:r>
          </w:p>
        </w:tc>
      </w:tr>
      <w:tr>
        <w:tc>
          <w:tcPr>
            <w:tcW w:type="dxa" w:w="7488"/>
          </w:tcPr>
          <w:p>
            <w:pPr>
              <w:jc w:val="left"/>
            </w:pPr>
            <w:r>
              <w:rPr>
                <w:rFonts w:ascii="Times New Roman" w:hAnsi="Times New Roman"/>
                <w:sz w:val="19"/>
              </w:rPr>
              <w:t xml:space="preserve">    1.8 Aim &amp; Measurable Objectives</w:t>
            </w:r>
          </w:p>
        </w:tc>
        <w:tc>
          <w:tcPr>
            <w:tcW w:type="dxa" w:w="1440"/>
          </w:tcPr>
          <w:p>
            <w:pPr>
              <w:jc w:val="center"/>
            </w:pPr>
            <w:r>
              <w:rPr>
                <w:rFonts w:ascii="Times New Roman" w:hAnsi="Times New Roman"/>
                <w:sz w:val="19"/>
              </w:rPr>
              <w:t>22</w:t>
            </w:r>
          </w:p>
        </w:tc>
      </w:tr>
      <w:tr>
        <w:tc>
          <w:tcPr>
            <w:tcW w:type="dxa" w:w="7488"/>
            <w:shd w:fill="F8FAFC"/>
          </w:tcPr>
          <w:p>
            <w:pPr>
              <w:jc w:val="left"/>
            </w:pPr>
            <w:r>
              <w:rPr>
                <w:rFonts w:ascii="Times New Roman" w:hAnsi="Times New Roman"/>
                <w:sz w:val="19"/>
              </w:rPr>
              <w:t xml:space="preserve">    1.9 Scope, Operational Boundaries &amp; Commercial Assumptions</w:t>
            </w:r>
          </w:p>
        </w:tc>
        <w:tc>
          <w:tcPr>
            <w:tcW w:type="dxa" w:w="1440"/>
            <w:shd w:fill="F8FAFC"/>
          </w:tcPr>
          <w:p>
            <w:pPr>
              <w:jc w:val="center"/>
            </w:pPr>
            <w:r>
              <w:rPr>
                <w:rFonts w:ascii="Times New Roman" w:hAnsi="Times New Roman"/>
                <w:sz w:val="19"/>
              </w:rPr>
              <w:t>23</w:t>
            </w:r>
          </w:p>
        </w:tc>
      </w:tr>
      <w:tr>
        <w:tc>
          <w:tcPr>
            <w:tcW w:type="dxa" w:w="7488"/>
          </w:tcPr>
          <w:p>
            <w:pPr>
              <w:jc w:val="left"/>
            </w:pPr>
            <w:r>
              <w:rPr>
                <w:rFonts w:ascii="Times New Roman" w:hAnsi="Times New Roman"/>
                <w:sz w:val="19"/>
              </w:rPr>
              <w:t>Chapter 2: CONCEPTS AND METHODS</w:t>
            </w:r>
          </w:p>
        </w:tc>
        <w:tc>
          <w:tcPr>
            <w:tcW w:type="dxa" w:w="1440"/>
          </w:tcPr>
          <w:p>
            <w:pPr>
              <w:jc w:val="center"/>
            </w:pPr>
            <w:r>
              <w:rPr>
                <w:rFonts w:ascii="Times New Roman" w:hAnsi="Times New Roman"/>
                <w:sz w:val="19"/>
              </w:rPr>
              <w:t>24</w:t>
            </w:r>
          </w:p>
        </w:tc>
      </w:tr>
      <w:tr>
        <w:tc>
          <w:tcPr>
            <w:tcW w:type="dxa" w:w="7488"/>
            <w:shd w:fill="F8FAFC"/>
          </w:tcPr>
          <w:p>
            <w:pPr>
              <w:jc w:val="left"/>
            </w:pPr>
            <w:r>
              <w:rPr>
                <w:rFonts w:ascii="Times New Roman" w:hAnsi="Times New Roman"/>
                <w:sz w:val="19"/>
              </w:rPr>
              <w:t xml:space="preserve">    2.1 Theoretical Foundations &amp; Mathematical Formulations</w:t>
            </w:r>
          </w:p>
        </w:tc>
        <w:tc>
          <w:tcPr>
            <w:tcW w:type="dxa" w:w="1440"/>
            <w:shd w:fill="F8FAFC"/>
          </w:tcPr>
          <w:p>
            <w:pPr>
              <w:jc w:val="center"/>
            </w:pPr>
            <w:r>
              <w:rPr>
                <w:rFonts w:ascii="Times New Roman" w:hAnsi="Times New Roman"/>
                <w:sz w:val="19"/>
              </w:rPr>
              <w:t>24</w:t>
            </w:r>
          </w:p>
        </w:tc>
      </w:tr>
      <w:tr>
        <w:tc>
          <w:tcPr>
            <w:tcW w:type="dxa" w:w="7488"/>
          </w:tcPr>
          <w:p>
            <w:pPr>
              <w:jc w:val="left"/>
            </w:pPr>
            <w:r>
              <w:rPr>
                <w:rFonts w:ascii="Times New Roman" w:hAnsi="Times New Roman"/>
                <w:sz w:val="19"/>
              </w:rPr>
              <w:t xml:space="preserve">    2.2 Class Imbalance &amp; Synthetic Resampling Mechanics (SMOTE &amp; ADASYN)</w:t>
            </w:r>
          </w:p>
        </w:tc>
        <w:tc>
          <w:tcPr>
            <w:tcW w:type="dxa" w:w="1440"/>
          </w:tcPr>
          <w:p>
            <w:pPr>
              <w:jc w:val="center"/>
            </w:pPr>
            <w:r>
              <w:rPr>
                <w:rFonts w:ascii="Times New Roman" w:hAnsi="Times New Roman"/>
                <w:sz w:val="19"/>
              </w:rPr>
              <w:t>25</w:t>
            </w:r>
          </w:p>
        </w:tc>
      </w:tr>
      <w:tr>
        <w:tc>
          <w:tcPr>
            <w:tcW w:type="dxa" w:w="7488"/>
            <w:shd w:fill="F8FAFC"/>
          </w:tcPr>
          <w:p>
            <w:pPr>
              <w:jc w:val="left"/>
            </w:pPr>
            <w:r>
              <w:rPr>
                <w:rFonts w:ascii="Times New Roman" w:hAnsi="Times New Roman"/>
                <w:sz w:val="19"/>
              </w:rPr>
              <w:t xml:space="preserve">    2.3 Cooperative Game Theory &amp; Shapley Additive Explanations (SHAP)</w:t>
            </w:r>
          </w:p>
        </w:tc>
        <w:tc>
          <w:tcPr>
            <w:tcW w:type="dxa" w:w="1440"/>
            <w:shd w:fill="F8FAFC"/>
          </w:tcPr>
          <w:p>
            <w:pPr>
              <w:jc w:val="center"/>
            </w:pPr>
            <w:r>
              <w:rPr>
                <w:rFonts w:ascii="Times New Roman" w:hAnsi="Times New Roman"/>
                <w:sz w:val="19"/>
              </w:rPr>
              <w:t>26</w:t>
            </w:r>
          </w:p>
        </w:tc>
      </w:tr>
      <w:tr>
        <w:tc>
          <w:tcPr>
            <w:tcW w:type="dxa" w:w="7488"/>
          </w:tcPr>
          <w:p>
            <w:pPr>
              <w:jc w:val="left"/>
            </w:pPr>
            <w:r>
              <w:rPr>
                <w:rFonts w:ascii="Times New Roman" w:hAnsi="Times New Roman"/>
                <w:sz w:val="19"/>
              </w:rPr>
              <w:t xml:space="preserve">    2.4 Financial Feature Engineering Formulation</w:t>
            </w:r>
          </w:p>
        </w:tc>
        <w:tc>
          <w:tcPr>
            <w:tcW w:type="dxa" w:w="1440"/>
          </w:tcPr>
          <w:p>
            <w:pPr>
              <w:jc w:val="center"/>
            </w:pPr>
            <w:r>
              <w:rPr>
                <w:rFonts w:ascii="Times New Roman" w:hAnsi="Times New Roman"/>
                <w:sz w:val="19"/>
              </w:rPr>
              <w:t>27</w:t>
            </w:r>
          </w:p>
        </w:tc>
      </w:tr>
      <w:tr>
        <w:tc>
          <w:tcPr>
            <w:tcW w:type="dxa" w:w="7488"/>
            <w:shd w:fill="F8FAFC"/>
          </w:tcPr>
          <w:p>
            <w:pPr>
              <w:jc w:val="left"/>
            </w:pPr>
            <w:r>
              <w:rPr>
                <w:rFonts w:ascii="Times New Roman" w:hAnsi="Times New Roman"/>
                <w:sz w:val="19"/>
              </w:rPr>
              <w:t xml:space="preserve">    2.5 Deterministic 5-Pillar Financial Health Scoring Architecture</w:t>
            </w:r>
          </w:p>
        </w:tc>
        <w:tc>
          <w:tcPr>
            <w:tcW w:type="dxa" w:w="1440"/>
            <w:shd w:fill="F8FAFC"/>
          </w:tcPr>
          <w:p>
            <w:pPr>
              <w:jc w:val="center"/>
            </w:pPr>
            <w:r>
              <w:rPr>
                <w:rFonts w:ascii="Times New Roman" w:hAnsi="Times New Roman"/>
                <w:sz w:val="19"/>
              </w:rPr>
              <w:t>28</w:t>
            </w:r>
          </w:p>
        </w:tc>
      </w:tr>
      <w:tr>
        <w:tc>
          <w:tcPr>
            <w:tcW w:type="dxa" w:w="7488"/>
          </w:tcPr>
          <w:p>
            <w:pPr>
              <w:jc w:val="left"/>
            </w:pPr>
            <w:r>
              <w:rPr>
                <w:rFonts w:ascii="Times New Roman" w:hAnsi="Times New Roman"/>
                <w:sz w:val="19"/>
              </w:rPr>
              <w:t xml:space="preserve">    2.6 Counterfactual &amp; Scenario Simulation Mechanics</w:t>
            </w:r>
          </w:p>
        </w:tc>
        <w:tc>
          <w:tcPr>
            <w:tcW w:type="dxa" w:w="1440"/>
          </w:tcPr>
          <w:p>
            <w:pPr>
              <w:jc w:val="center"/>
            </w:pPr>
            <w:r>
              <w:rPr>
                <w:rFonts w:ascii="Times New Roman" w:hAnsi="Times New Roman"/>
                <w:sz w:val="19"/>
              </w:rPr>
              <w:t>30</w:t>
            </w:r>
          </w:p>
        </w:tc>
      </w:tr>
      <w:tr>
        <w:tc>
          <w:tcPr>
            <w:tcW w:type="dxa" w:w="7488"/>
            <w:shd w:fill="F8FAFC"/>
          </w:tcPr>
          <w:p>
            <w:pPr>
              <w:jc w:val="left"/>
            </w:pPr>
            <w:r>
              <w:rPr>
                <w:rFonts w:ascii="Times New Roman" w:hAnsi="Times New Roman"/>
                <w:sz w:val="19"/>
              </w:rPr>
              <w:t>Chapter 3: LITERATURE SURVEY</w:t>
            </w:r>
          </w:p>
        </w:tc>
        <w:tc>
          <w:tcPr>
            <w:tcW w:type="dxa" w:w="1440"/>
            <w:shd w:fill="F8FAFC"/>
          </w:tcPr>
          <w:p>
            <w:pPr>
              <w:jc w:val="center"/>
            </w:pPr>
            <w:r>
              <w:rPr>
                <w:rFonts w:ascii="Times New Roman" w:hAnsi="Times New Roman"/>
                <w:sz w:val="19"/>
              </w:rPr>
              <w:t>31</w:t>
            </w:r>
          </w:p>
        </w:tc>
      </w:tr>
      <w:tr>
        <w:tc>
          <w:tcPr>
            <w:tcW w:type="dxa" w:w="7488"/>
          </w:tcPr>
          <w:p>
            <w:pPr>
              <w:jc w:val="left"/>
            </w:pPr>
            <w:r>
              <w:rPr>
                <w:rFonts w:ascii="Times New Roman" w:hAnsi="Times New Roman"/>
                <w:sz w:val="19"/>
              </w:rPr>
              <w:t xml:space="preserve">    3.1 In-Depth Review of Foundational Literature</w:t>
            </w:r>
          </w:p>
        </w:tc>
        <w:tc>
          <w:tcPr>
            <w:tcW w:type="dxa" w:w="1440"/>
          </w:tcPr>
          <w:p>
            <w:pPr>
              <w:jc w:val="center"/>
            </w:pPr>
            <w:r>
              <w:rPr>
                <w:rFonts w:ascii="Times New Roman" w:hAnsi="Times New Roman"/>
                <w:sz w:val="19"/>
              </w:rPr>
              <w:t>31</w:t>
            </w:r>
          </w:p>
        </w:tc>
      </w:tr>
      <w:tr>
        <w:tc>
          <w:tcPr>
            <w:tcW w:type="dxa" w:w="7488"/>
            <w:shd w:fill="F8FAFC"/>
          </w:tcPr>
          <w:p>
            <w:pPr>
              <w:jc w:val="left"/>
            </w:pPr>
            <w:r>
              <w:rPr>
                <w:rFonts w:ascii="Times New Roman" w:hAnsi="Times New Roman"/>
                <w:sz w:val="19"/>
              </w:rPr>
              <w:t xml:space="preserve">    3.2 Comprehensive Literature Survey &amp; Comparative Matrix</w:t>
            </w:r>
          </w:p>
        </w:tc>
        <w:tc>
          <w:tcPr>
            <w:tcW w:type="dxa" w:w="1440"/>
            <w:shd w:fill="F8FAFC"/>
          </w:tcPr>
          <w:p>
            <w:pPr>
              <w:jc w:val="center"/>
            </w:pPr>
            <w:r>
              <w:rPr>
                <w:rFonts w:ascii="Times New Roman" w:hAnsi="Times New Roman"/>
                <w:sz w:val="19"/>
              </w:rPr>
              <w:t>33</w:t>
            </w:r>
          </w:p>
        </w:tc>
      </w:tr>
      <w:tr>
        <w:tc>
          <w:tcPr>
            <w:tcW w:type="dxa" w:w="7488"/>
          </w:tcPr>
          <w:p>
            <w:pPr>
              <w:jc w:val="left"/>
            </w:pPr>
            <w:r>
              <w:rPr>
                <w:rFonts w:ascii="Times New Roman" w:hAnsi="Times New Roman"/>
                <w:sz w:val="19"/>
              </w:rPr>
              <w:t xml:space="preserve">    3.3 Critical Research Gap Analysis &amp; Project Differentiation Strategy</w:t>
            </w:r>
          </w:p>
        </w:tc>
        <w:tc>
          <w:tcPr>
            <w:tcW w:type="dxa" w:w="1440"/>
          </w:tcPr>
          <w:p>
            <w:pPr>
              <w:jc w:val="center"/>
            </w:pPr>
            <w:r>
              <w:rPr>
                <w:rFonts w:ascii="Times New Roman" w:hAnsi="Times New Roman"/>
                <w:sz w:val="19"/>
              </w:rPr>
              <w:t>34</w:t>
            </w:r>
          </w:p>
        </w:tc>
      </w:tr>
      <w:tr>
        <w:tc>
          <w:tcPr>
            <w:tcW w:type="dxa" w:w="7488"/>
            <w:shd w:fill="F8FAFC"/>
          </w:tcPr>
          <w:p>
            <w:pPr>
              <w:jc w:val="left"/>
            </w:pPr>
            <w:r>
              <w:rPr>
                <w:rFonts w:ascii="Times New Roman" w:hAnsi="Times New Roman"/>
                <w:sz w:val="19"/>
              </w:rPr>
              <w:t>Chapter 4: PROJECT PLAN &amp; PROCESS MODEL</w:t>
            </w:r>
          </w:p>
        </w:tc>
        <w:tc>
          <w:tcPr>
            <w:tcW w:type="dxa" w:w="1440"/>
            <w:shd w:fill="F8FAFC"/>
          </w:tcPr>
          <w:p>
            <w:pPr>
              <w:jc w:val="center"/>
            </w:pPr>
            <w:r>
              <w:rPr>
                <w:rFonts w:ascii="Times New Roman" w:hAnsi="Times New Roman"/>
                <w:sz w:val="19"/>
              </w:rPr>
              <w:t>36</w:t>
            </w:r>
          </w:p>
        </w:tc>
      </w:tr>
      <w:tr>
        <w:tc>
          <w:tcPr>
            <w:tcW w:type="dxa" w:w="7488"/>
          </w:tcPr>
          <w:p>
            <w:pPr>
              <w:jc w:val="left"/>
            </w:pPr>
            <w:r>
              <w:rPr>
                <w:rFonts w:ascii="Times New Roman" w:hAnsi="Times New Roman"/>
                <w:sz w:val="19"/>
              </w:rPr>
              <w:t xml:space="preserve">    4.1 Software Engineering Process Model (Hybrid Waterfall-Agile)</w:t>
            </w:r>
          </w:p>
        </w:tc>
        <w:tc>
          <w:tcPr>
            <w:tcW w:type="dxa" w:w="1440"/>
          </w:tcPr>
          <w:p>
            <w:pPr>
              <w:jc w:val="center"/>
            </w:pPr>
            <w:r>
              <w:rPr>
                <w:rFonts w:ascii="Times New Roman" w:hAnsi="Times New Roman"/>
                <w:sz w:val="19"/>
              </w:rPr>
              <w:t>36</w:t>
            </w:r>
          </w:p>
        </w:tc>
      </w:tr>
      <w:tr>
        <w:tc>
          <w:tcPr>
            <w:tcW w:type="dxa" w:w="7488"/>
            <w:shd w:fill="F8FAFC"/>
          </w:tcPr>
          <w:p>
            <w:pPr>
              <w:jc w:val="left"/>
            </w:pPr>
            <w:r>
              <w:rPr>
                <w:rFonts w:ascii="Times New Roman" w:hAnsi="Times New Roman"/>
                <w:sz w:val="19"/>
              </w:rPr>
              <w:t xml:space="preserve">    4.2 Work Breakdown Structure (WBS) &amp; 6-Sprint Roadmap</w:t>
            </w:r>
          </w:p>
        </w:tc>
        <w:tc>
          <w:tcPr>
            <w:tcW w:type="dxa" w:w="1440"/>
            <w:shd w:fill="F8FAFC"/>
          </w:tcPr>
          <w:p>
            <w:pPr>
              <w:jc w:val="center"/>
            </w:pPr>
            <w:r>
              <w:rPr>
                <w:rFonts w:ascii="Times New Roman" w:hAnsi="Times New Roman"/>
                <w:sz w:val="19"/>
              </w:rPr>
              <w:t>37</w:t>
            </w:r>
          </w:p>
        </w:tc>
      </w:tr>
      <w:tr>
        <w:tc>
          <w:tcPr>
            <w:tcW w:type="dxa" w:w="7488"/>
          </w:tcPr>
          <w:p>
            <w:pPr>
              <w:jc w:val="left"/>
            </w:pPr>
            <w:r>
              <w:rPr>
                <w:rFonts w:ascii="Times New Roman" w:hAnsi="Times New Roman"/>
                <w:sz w:val="19"/>
              </w:rPr>
              <w:t xml:space="preserve">    4.3 Gantt Chart &amp; Milestone Timeline</w:t>
            </w:r>
          </w:p>
        </w:tc>
        <w:tc>
          <w:tcPr>
            <w:tcW w:type="dxa" w:w="1440"/>
          </w:tcPr>
          <w:p>
            <w:pPr>
              <w:jc w:val="center"/>
            </w:pPr>
            <w:r>
              <w:rPr>
                <w:rFonts w:ascii="Times New Roman" w:hAnsi="Times New Roman"/>
                <w:sz w:val="19"/>
              </w:rPr>
              <w:t>38</w:t>
            </w:r>
          </w:p>
        </w:tc>
      </w:tr>
      <w:tr>
        <w:tc>
          <w:tcPr>
            <w:tcW w:type="dxa" w:w="7488"/>
            <w:shd w:fill="F8FAFC"/>
          </w:tcPr>
          <w:p>
            <w:pPr>
              <w:jc w:val="left"/>
            </w:pPr>
            <w:r>
              <w:rPr>
                <w:rFonts w:ascii="Times New Roman" w:hAnsi="Times New Roman"/>
                <w:sz w:val="19"/>
              </w:rPr>
              <w:t xml:space="preserve">    4.4 Hardware, Software &amp; Development Environment Specifications</w:t>
            </w:r>
          </w:p>
        </w:tc>
        <w:tc>
          <w:tcPr>
            <w:tcW w:type="dxa" w:w="1440"/>
            <w:shd w:fill="F8FAFC"/>
          </w:tcPr>
          <w:p>
            <w:pPr>
              <w:jc w:val="center"/>
            </w:pPr>
            <w:r>
              <w:rPr>
                <w:rFonts w:ascii="Times New Roman" w:hAnsi="Times New Roman"/>
                <w:sz w:val="19"/>
              </w:rPr>
              <w:t>39</w:t>
            </w:r>
          </w:p>
        </w:tc>
      </w:tr>
      <w:tr>
        <w:tc>
          <w:tcPr>
            <w:tcW w:type="dxa" w:w="7488"/>
          </w:tcPr>
          <w:p>
            <w:pPr>
              <w:jc w:val="left"/>
            </w:pPr>
            <w:r>
              <w:rPr>
                <w:rFonts w:ascii="Times New Roman" w:hAnsi="Times New Roman"/>
                <w:sz w:val="19"/>
              </w:rPr>
              <w:t xml:space="preserve">    4.5 Risk Assessment &amp; Mitigation Strategy</w:t>
            </w:r>
          </w:p>
        </w:tc>
        <w:tc>
          <w:tcPr>
            <w:tcW w:type="dxa" w:w="1440"/>
          </w:tcPr>
          <w:p>
            <w:pPr>
              <w:jc w:val="center"/>
            </w:pPr>
            <w:r>
              <w:rPr>
                <w:rFonts w:ascii="Times New Roman" w:hAnsi="Times New Roman"/>
                <w:sz w:val="19"/>
              </w:rPr>
              <w:t>40</w:t>
            </w:r>
          </w:p>
        </w:tc>
      </w:tr>
      <w:tr>
        <w:tc>
          <w:tcPr>
            <w:tcW w:type="dxa" w:w="7488"/>
            <w:shd w:fill="F8FAFC"/>
          </w:tcPr>
          <w:p>
            <w:pPr>
              <w:jc w:val="left"/>
            </w:pPr>
            <w:r>
              <w:rPr>
                <w:rFonts w:ascii="Times New Roman" w:hAnsi="Times New Roman"/>
                <w:sz w:val="19"/>
              </w:rPr>
              <w:t>Chapter 5: SOFTWARE REQUIREMENT SPECIFICATION (SRS)</w:t>
            </w:r>
          </w:p>
        </w:tc>
        <w:tc>
          <w:tcPr>
            <w:tcW w:type="dxa" w:w="1440"/>
            <w:shd w:fill="F8FAFC"/>
          </w:tcPr>
          <w:p>
            <w:pPr>
              <w:jc w:val="center"/>
            </w:pPr>
            <w:r>
              <w:rPr>
                <w:rFonts w:ascii="Times New Roman" w:hAnsi="Times New Roman"/>
                <w:sz w:val="19"/>
              </w:rPr>
              <w:t>41</w:t>
            </w:r>
          </w:p>
        </w:tc>
      </w:tr>
      <w:tr>
        <w:tc>
          <w:tcPr>
            <w:tcW w:type="dxa" w:w="7488"/>
          </w:tcPr>
          <w:p>
            <w:pPr>
              <w:jc w:val="left"/>
            </w:pPr>
            <w:r>
              <w:rPr>
                <w:rFonts w:ascii="Times New Roman" w:hAnsi="Times New Roman"/>
                <w:sz w:val="19"/>
              </w:rPr>
              <w:t xml:space="preserve">    5.1 Project Scope &amp; System Boundary Specification</w:t>
            </w:r>
          </w:p>
        </w:tc>
        <w:tc>
          <w:tcPr>
            <w:tcW w:type="dxa" w:w="1440"/>
          </w:tcPr>
          <w:p>
            <w:pPr>
              <w:jc w:val="center"/>
            </w:pPr>
            <w:r>
              <w:rPr>
                <w:rFonts w:ascii="Times New Roman" w:hAnsi="Times New Roman"/>
                <w:sz w:val="19"/>
              </w:rPr>
              <w:t>41</w:t>
            </w:r>
          </w:p>
        </w:tc>
      </w:tr>
      <w:tr>
        <w:tc>
          <w:tcPr>
            <w:tcW w:type="dxa" w:w="7488"/>
            <w:shd w:fill="F8FAFC"/>
          </w:tcPr>
          <w:p>
            <w:pPr>
              <w:jc w:val="left"/>
            </w:pPr>
            <w:r>
              <w:rPr>
                <w:rFonts w:ascii="Times New Roman" w:hAnsi="Times New Roman"/>
                <w:sz w:val="19"/>
              </w:rPr>
              <w:t xml:space="preserve">    5.2 User Classes &amp; Stakeholder Persona Analysis</w:t>
            </w:r>
          </w:p>
        </w:tc>
        <w:tc>
          <w:tcPr>
            <w:tcW w:type="dxa" w:w="1440"/>
            <w:shd w:fill="F8FAFC"/>
          </w:tcPr>
          <w:p>
            <w:pPr>
              <w:jc w:val="center"/>
            </w:pPr>
            <w:r>
              <w:rPr>
                <w:rFonts w:ascii="Times New Roman" w:hAnsi="Times New Roman"/>
                <w:sz w:val="19"/>
              </w:rPr>
              <w:t>41</w:t>
            </w:r>
          </w:p>
        </w:tc>
      </w:tr>
      <w:tr>
        <w:tc>
          <w:tcPr>
            <w:tcW w:type="dxa" w:w="7488"/>
          </w:tcPr>
          <w:p>
            <w:pPr>
              <w:jc w:val="left"/>
            </w:pPr>
            <w:r>
              <w:rPr>
                <w:rFonts w:ascii="Times New Roman" w:hAnsi="Times New Roman"/>
                <w:sz w:val="19"/>
              </w:rPr>
              <w:t xml:space="preserve">    5.3 Detailed Functional Requirements (FR-01 to FR-12)</w:t>
            </w:r>
          </w:p>
        </w:tc>
        <w:tc>
          <w:tcPr>
            <w:tcW w:type="dxa" w:w="1440"/>
          </w:tcPr>
          <w:p>
            <w:pPr>
              <w:jc w:val="center"/>
            </w:pPr>
            <w:r>
              <w:rPr>
                <w:rFonts w:ascii="Times New Roman" w:hAnsi="Times New Roman"/>
                <w:sz w:val="19"/>
              </w:rPr>
              <w:t>42</w:t>
            </w:r>
          </w:p>
        </w:tc>
      </w:tr>
      <w:tr>
        <w:tc>
          <w:tcPr>
            <w:tcW w:type="dxa" w:w="7488"/>
            <w:shd w:fill="F8FAFC"/>
          </w:tcPr>
          <w:p>
            <w:pPr>
              <w:jc w:val="left"/>
            </w:pPr>
            <w:r>
              <w:rPr>
                <w:rFonts w:ascii="Times New Roman" w:hAnsi="Times New Roman"/>
                <w:sz w:val="19"/>
              </w:rPr>
              <w:t xml:space="preserve">    5.4 Comprehensive Non-Functional Requirements (NFR-01 to NFR-08)</w:t>
            </w:r>
          </w:p>
        </w:tc>
        <w:tc>
          <w:tcPr>
            <w:tcW w:type="dxa" w:w="1440"/>
            <w:shd w:fill="F8FAFC"/>
          </w:tcPr>
          <w:p>
            <w:pPr>
              <w:jc w:val="center"/>
            </w:pPr>
            <w:r>
              <w:rPr>
                <w:rFonts w:ascii="Times New Roman" w:hAnsi="Times New Roman"/>
                <w:sz w:val="19"/>
              </w:rPr>
              <w:t>43</w:t>
            </w:r>
          </w:p>
        </w:tc>
      </w:tr>
      <w:tr>
        <w:tc>
          <w:tcPr>
            <w:tcW w:type="dxa" w:w="7488"/>
          </w:tcPr>
          <w:p>
            <w:pPr>
              <w:jc w:val="left"/>
            </w:pPr>
            <w:r>
              <w:rPr>
                <w:rFonts w:ascii="Times New Roman" w:hAnsi="Times New Roman"/>
                <w:sz w:val="19"/>
              </w:rPr>
              <w:t xml:space="preserve">    5.5 External Interface Requirements</w:t>
            </w:r>
          </w:p>
        </w:tc>
        <w:tc>
          <w:tcPr>
            <w:tcW w:type="dxa" w:w="1440"/>
          </w:tcPr>
          <w:p>
            <w:pPr>
              <w:jc w:val="center"/>
            </w:pPr>
            <w:r>
              <w:rPr>
                <w:rFonts w:ascii="Times New Roman" w:hAnsi="Times New Roman"/>
                <w:sz w:val="19"/>
              </w:rPr>
              <w:t>44</w:t>
            </w:r>
          </w:p>
        </w:tc>
      </w:tr>
      <w:tr>
        <w:tc>
          <w:tcPr>
            <w:tcW w:type="dxa" w:w="7488"/>
            <w:shd w:fill="F8FAFC"/>
          </w:tcPr>
          <w:p>
            <w:pPr>
              <w:jc w:val="left"/>
            </w:pPr>
            <w:r>
              <w:rPr>
                <w:rFonts w:ascii="Times New Roman" w:hAnsi="Times New Roman"/>
                <w:sz w:val="19"/>
              </w:rPr>
              <w:t>Chapter 6: SYSTEM DESIGN &amp; ARCHITECTURE</w:t>
            </w:r>
          </w:p>
        </w:tc>
        <w:tc>
          <w:tcPr>
            <w:tcW w:type="dxa" w:w="1440"/>
            <w:shd w:fill="F8FAFC"/>
          </w:tcPr>
          <w:p>
            <w:pPr>
              <w:jc w:val="center"/>
            </w:pPr>
            <w:r>
              <w:rPr>
                <w:rFonts w:ascii="Times New Roman" w:hAnsi="Times New Roman"/>
                <w:sz w:val="19"/>
              </w:rPr>
              <w:t>45</w:t>
            </w:r>
          </w:p>
        </w:tc>
      </w:tr>
      <w:tr>
        <w:tc>
          <w:tcPr>
            <w:tcW w:type="dxa" w:w="7488"/>
          </w:tcPr>
          <w:p>
            <w:pPr>
              <w:jc w:val="left"/>
            </w:pPr>
            <w:r>
              <w:rPr>
                <w:rFonts w:ascii="Times New Roman" w:hAnsi="Times New Roman"/>
                <w:sz w:val="19"/>
              </w:rPr>
              <w:t xml:space="preserve">    6.1 Multi-Tier Enterprise Software Architecture</w:t>
            </w:r>
          </w:p>
        </w:tc>
        <w:tc>
          <w:tcPr>
            <w:tcW w:type="dxa" w:w="1440"/>
          </w:tcPr>
          <w:p>
            <w:pPr>
              <w:jc w:val="center"/>
            </w:pPr>
            <w:r>
              <w:rPr>
                <w:rFonts w:ascii="Times New Roman" w:hAnsi="Times New Roman"/>
                <w:sz w:val="19"/>
              </w:rPr>
              <w:t>45</w:t>
            </w:r>
          </w:p>
        </w:tc>
      </w:tr>
      <w:tr>
        <w:tc>
          <w:tcPr>
            <w:tcW w:type="dxa" w:w="7488"/>
            <w:shd w:fill="F8FAFC"/>
          </w:tcPr>
          <w:p>
            <w:pPr>
              <w:jc w:val="left"/>
            </w:pPr>
            <w:r>
              <w:rPr>
                <w:rFonts w:ascii="Times New Roman" w:hAnsi="Times New Roman"/>
                <w:sz w:val="19"/>
              </w:rPr>
              <w:t xml:space="preserve">    6.2 Data Flow Diagrams (DFD Level 0, Level 1, Level 2)</w:t>
            </w:r>
          </w:p>
        </w:tc>
        <w:tc>
          <w:tcPr>
            <w:tcW w:type="dxa" w:w="1440"/>
            <w:shd w:fill="F8FAFC"/>
          </w:tcPr>
          <w:p>
            <w:pPr>
              <w:jc w:val="center"/>
            </w:pPr>
            <w:r>
              <w:rPr>
                <w:rFonts w:ascii="Times New Roman" w:hAnsi="Times New Roman"/>
                <w:sz w:val="19"/>
              </w:rPr>
              <w:t>46</w:t>
            </w:r>
          </w:p>
        </w:tc>
      </w:tr>
      <w:tr>
        <w:tc>
          <w:tcPr>
            <w:tcW w:type="dxa" w:w="7488"/>
          </w:tcPr>
          <w:p>
            <w:pPr>
              <w:jc w:val="left"/>
            </w:pPr>
            <w:r>
              <w:rPr>
                <w:rFonts w:ascii="Times New Roman" w:hAnsi="Times New Roman"/>
                <w:sz w:val="19"/>
              </w:rPr>
              <w:t xml:space="preserve">    6.3 UML Design (Use Case &amp; Sequence Diagrams)</w:t>
            </w:r>
          </w:p>
        </w:tc>
        <w:tc>
          <w:tcPr>
            <w:tcW w:type="dxa" w:w="1440"/>
          </w:tcPr>
          <w:p>
            <w:pPr>
              <w:jc w:val="center"/>
            </w:pPr>
            <w:r>
              <w:rPr>
                <w:rFonts w:ascii="Times New Roman" w:hAnsi="Times New Roman"/>
                <w:sz w:val="19"/>
              </w:rPr>
              <w:t>47</w:t>
            </w:r>
          </w:p>
        </w:tc>
      </w:tr>
      <w:tr>
        <w:tc>
          <w:tcPr>
            <w:tcW w:type="dxa" w:w="7488"/>
            <w:shd w:fill="F8FAFC"/>
          </w:tcPr>
          <w:p>
            <w:pPr>
              <w:jc w:val="left"/>
            </w:pPr>
            <w:r>
              <w:rPr>
                <w:rFonts w:ascii="Times New Roman" w:hAnsi="Times New Roman"/>
                <w:sz w:val="19"/>
              </w:rPr>
              <w:t xml:space="preserve">    6.4 Relational Database Design (3NF Entity-Relationship Schema)</w:t>
            </w:r>
          </w:p>
        </w:tc>
        <w:tc>
          <w:tcPr>
            <w:tcW w:type="dxa" w:w="1440"/>
            <w:shd w:fill="F8FAFC"/>
          </w:tcPr>
          <w:p>
            <w:pPr>
              <w:jc w:val="center"/>
            </w:pPr>
            <w:r>
              <w:rPr>
                <w:rFonts w:ascii="Times New Roman" w:hAnsi="Times New Roman"/>
                <w:sz w:val="19"/>
              </w:rPr>
              <w:t>48</w:t>
            </w:r>
          </w:p>
        </w:tc>
      </w:tr>
      <w:tr>
        <w:tc>
          <w:tcPr>
            <w:tcW w:type="dxa" w:w="7488"/>
          </w:tcPr>
          <w:p>
            <w:pPr>
              <w:jc w:val="left"/>
            </w:pPr>
            <w:r>
              <w:rPr>
                <w:rFonts w:ascii="Times New Roman" w:hAnsi="Times New Roman"/>
                <w:sz w:val="19"/>
              </w:rPr>
              <w:t xml:space="preserve">    6.5 Zero-Leakage Machine Learning Pipeline Design Architecture</w:t>
            </w:r>
          </w:p>
        </w:tc>
        <w:tc>
          <w:tcPr>
            <w:tcW w:type="dxa" w:w="1440"/>
          </w:tcPr>
          <w:p>
            <w:pPr>
              <w:jc w:val="center"/>
            </w:pPr>
            <w:r>
              <w:rPr>
                <w:rFonts w:ascii="Times New Roman" w:hAnsi="Times New Roman"/>
                <w:sz w:val="19"/>
              </w:rPr>
              <w:t>50</w:t>
            </w:r>
          </w:p>
        </w:tc>
      </w:tr>
      <w:tr>
        <w:tc>
          <w:tcPr>
            <w:tcW w:type="dxa" w:w="7488"/>
            <w:shd w:fill="F8FAFC"/>
          </w:tcPr>
          <w:p>
            <w:pPr>
              <w:jc w:val="left"/>
            </w:pPr>
            <w:r>
              <w:rPr>
                <w:rFonts w:ascii="Times New Roman" w:hAnsi="Times New Roman"/>
                <w:sz w:val="19"/>
              </w:rPr>
              <w:t>Chapter 7: IMPLEMENTATION</w:t>
            </w:r>
          </w:p>
        </w:tc>
        <w:tc>
          <w:tcPr>
            <w:tcW w:type="dxa" w:w="1440"/>
            <w:shd w:fill="F8FAFC"/>
          </w:tcPr>
          <w:p>
            <w:pPr>
              <w:jc w:val="center"/>
            </w:pPr>
            <w:r>
              <w:rPr>
                <w:rFonts w:ascii="Times New Roman" w:hAnsi="Times New Roman"/>
                <w:sz w:val="19"/>
              </w:rPr>
              <w:t>52</w:t>
            </w:r>
          </w:p>
        </w:tc>
      </w:tr>
      <w:tr>
        <w:tc>
          <w:tcPr>
            <w:tcW w:type="dxa" w:w="7488"/>
          </w:tcPr>
          <w:p>
            <w:pPr>
              <w:jc w:val="left"/>
            </w:pPr>
            <w:r>
              <w:rPr>
                <w:rFonts w:ascii="Times New Roman" w:hAnsi="Times New Roman"/>
                <w:sz w:val="19"/>
              </w:rPr>
              <w:t xml:space="preserve">    7.1 Dataset Construction &amp; Synthetic Generation Methodology</w:t>
            </w:r>
          </w:p>
        </w:tc>
        <w:tc>
          <w:tcPr>
            <w:tcW w:type="dxa" w:w="1440"/>
          </w:tcPr>
          <w:p>
            <w:pPr>
              <w:jc w:val="center"/>
            </w:pPr>
            <w:r>
              <w:rPr>
                <w:rFonts w:ascii="Times New Roman" w:hAnsi="Times New Roman"/>
                <w:sz w:val="19"/>
              </w:rPr>
              <w:t>52</w:t>
            </w:r>
          </w:p>
        </w:tc>
      </w:tr>
      <w:tr>
        <w:tc>
          <w:tcPr>
            <w:tcW w:type="dxa" w:w="7488"/>
            <w:shd w:fill="F8FAFC"/>
          </w:tcPr>
          <w:p>
            <w:pPr>
              <w:jc w:val="left"/>
            </w:pPr>
            <w:r>
              <w:rPr>
                <w:rFonts w:ascii="Times New Roman" w:hAnsi="Times New Roman"/>
                <w:sz w:val="19"/>
              </w:rPr>
              <w:t xml:space="preserve">    7.2 Preprocessing &amp; ColumnTransformer Pipeline Implementation</w:t>
            </w:r>
          </w:p>
        </w:tc>
        <w:tc>
          <w:tcPr>
            <w:tcW w:type="dxa" w:w="1440"/>
            <w:shd w:fill="F8FAFC"/>
          </w:tcPr>
          <w:p>
            <w:pPr>
              <w:jc w:val="center"/>
            </w:pPr>
            <w:r>
              <w:rPr>
                <w:rFonts w:ascii="Times New Roman" w:hAnsi="Times New Roman"/>
                <w:sz w:val="19"/>
              </w:rPr>
              <w:t>53</w:t>
            </w:r>
          </w:p>
        </w:tc>
      </w:tr>
      <w:tr>
        <w:tc>
          <w:tcPr>
            <w:tcW w:type="dxa" w:w="7488"/>
          </w:tcPr>
          <w:p>
            <w:pPr>
              <w:jc w:val="left"/>
            </w:pPr>
            <w:r>
              <w:rPr>
                <w:rFonts w:ascii="Times New Roman" w:hAnsi="Times New Roman"/>
                <w:sz w:val="19"/>
              </w:rPr>
              <w:t xml:space="preserve">    7.3 Financial Feature Engineering Module Implementation</w:t>
            </w:r>
          </w:p>
        </w:tc>
        <w:tc>
          <w:tcPr>
            <w:tcW w:type="dxa" w:w="1440"/>
          </w:tcPr>
          <w:p>
            <w:pPr>
              <w:jc w:val="center"/>
            </w:pPr>
            <w:r>
              <w:rPr>
                <w:rFonts w:ascii="Times New Roman" w:hAnsi="Times New Roman"/>
                <w:sz w:val="19"/>
              </w:rPr>
              <w:t>53</w:t>
            </w:r>
          </w:p>
        </w:tc>
      </w:tr>
      <w:tr>
        <w:tc>
          <w:tcPr>
            <w:tcW w:type="dxa" w:w="7488"/>
            <w:shd w:fill="F8FAFC"/>
          </w:tcPr>
          <w:p>
            <w:pPr>
              <w:jc w:val="left"/>
            </w:pPr>
            <w:r>
              <w:rPr>
                <w:rFonts w:ascii="Times New Roman" w:hAnsi="Times New Roman"/>
                <w:sz w:val="19"/>
              </w:rPr>
              <w:t xml:space="preserve">    7.4 Model Training, Resampling &amp; Cross-Validation Architecture</w:t>
            </w:r>
          </w:p>
        </w:tc>
        <w:tc>
          <w:tcPr>
            <w:tcW w:type="dxa" w:w="1440"/>
            <w:shd w:fill="F8FAFC"/>
          </w:tcPr>
          <w:p>
            <w:pPr>
              <w:jc w:val="center"/>
            </w:pPr>
            <w:r>
              <w:rPr>
                <w:rFonts w:ascii="Times New Roman" w:hAnsi="Times New Roman"/>
                <w:sz w:val="19"/>
              </w:rPr>
              <w:t>54</w:t>
            </w:r>
          </w:p>
        </w:tc>
      </w:tr>
      <w:tr>
        <w:tc>
          <w:tcPr>
            <w:tcW w:type="dxa" w:w="7488"/>
          </w:tcPr>
          <w:p>
            <w:pPr>
              <w:jc w:val="left"/>
            </w:pPr>
            <w:r>
              <w:rPr>
                <w:rFonts w:ascii="Times New Roman" w:hAnsi="Times New Roman"/>
                <w:sz w:val="19"/>
              </w:rPr>
              <w:t xml:space="preserve">    7.5 Explainable AI (SHAP) Module Implementation</w:t>
            </w:r>
          </w:p>
        </w:tc>
        <w:tc>
          <w:tcPr>
            <w:tcW w:type="dxa" w:w="1440"/>
          </w:tcPr>
          <w:p>
            <w:pPr>
              <w:jc w:val="center"/>
            </w:pPr>
            <w:r>
              <w:rPr>
                <w:rFonts w:ascii="Times New Roman" w:hAnsi="Times New Roman"/>
                <w:sz w:val="19"/>
              </w:rPr>
              <w:t>54</w:t>
            </w:r>
          </w:p>
        </w:tc>
      </w:tr>
      <w:tr>
        <w:tc>
          <w:tcPr>
            <w:tcW w:type="dxa" w:w="7488"/>
            <w:shd w:fill="F8FAFC"/>
          </w:tcPr>
          <w:p>
            <w:pPr>
              <w:jc w:val="left"/>
            </w:pPr>
            <w:r>
              <w:rPr>
                <w:rFonts w:ascii="Times New Roman" w:hAnsi="Times New Roman"/>
                <w:sz w:val="19"/>
              </w:rPr>
              <w:t xml:space="preserve">    7.6 Deterministic 5-Pillar Financial Health Engine Implementation</w:t>
            </w:r>
          </w:p>
        </w:tc>
        <w:tc>
          <w:tcPr>
            <w:tcW w:type="dxa" w:w="1440"/>
            <w:shd w:fill="F8FAFC"/>
          </w:tcPr>
          <w:p>
            <w:pPr>
              <w:jc w:val="center"/>
            </w:pPr>
            <w:r>
              <w:rPr>
                <w:rFonts w:ascii="Times New Roman" w:hAnsi="Times New Roman"/>
                <w:sz w:val="19"/>
              </w:rPr>
              <w:t>54</w:t>
            </w:r>
          </w:p>
        </w:tc>
      </w:tr>
      <w:tr>
        <w:tc>
          <w:tcPr>
            <w:tcW w:type="dxa" w:w="7488"/>
          </w:tcPr>
          <w:p>
            <w:pPr>
              <w:jc w:val="left"/>
            </w:pPr>
            <w:r>
              <w:rPr>
                <w:rFonts w:ascii="Times New Roman" w:hAnsi="Times New Roman"/>
                <w:sz w:val="19"/>
              </w:rPr>
              <w:t xml:space="preserve">    7.7 What-If Counterfactual Scenario Engine Implementation</w:t>
            </w:r>
          </w:p>
        </w:tc>
        <w:tc>
          <w:tcPr>
            <w:tcW w:type="dxa" w:w="1440"/>
          </w:tcPr>
          <w:p>
            <w:pPr>
              <w:jc w:val="center"/>
            </w:pPr>
            <w:r>
              <w:rPr>
                <w:rFonts w:ascii="Times New Roman" w:hAnsi="Times New Roman"/>
                <w:sz w:val="19"/>
              </w:rPr>
              <w:t>55</w:t>
            </w:r>
          </w:p>
        </w:tc>
      </w:tr>
      <w:tr>
        <w:tc>
          <w:tcPr>
            <w:tcW w:type="dxa" w:w="7488"/>
            <w:shd w:fill="F8FAFC"/>
          </w:tcPr>
          <w:p>
            <w:pPr>
              <w:jc w:val="left"/>
            </w:pPr>
            <w:r>
              <w:rPr>
                <w:rFonts w:ascii="Times New Roman" w:hAnsi="Times New Roman"/>
                <w:sz w:val="19"/>
              </w:rPr>
              <w:t xml:space="preserve">    7.8 Interactive Streamlit Web Application (9 Tabs Walkthrough)</w:t>
            </w:r>
          </w:p>
        </w:tc>
        <w:tc>
          <w:tcPr>
            <w:tcW w:type="dxa" w:w="1440"/>
            <w:shd w:fill="F8FAFC"/>
          </w:tcPr>
          <w:p>
            <w:pPr>
              <w:jc w:val="center"/>
            </w:pPr>
            <w:r>
              <w:rPr>
                <w:rFonts w:ascii="Times New Roman" w:hAnsi="Times New Roman"/>
                <w:sz w:val="19"/>
              </w:rPr>
              <w:t>55</w:t>
            </w:r>
          </w:p>
        </w:tc>
      </w:tr>
      <w:tr>
        <w:tc>
          <w:tcPr>
            <w:tcW w:type="dxa" w:w="7488"/>
          </w:tcPr>
          <w:p>
            <w:pPr>
              <w:jc w:val="left"/>
            </w:pPr>
            <w:r>
              <w:rPr>
                <w:rFonts w:ascii="Times New Roman" w:hAnsi="Times New Roman"/>
                <w:sz w:val="19"/>
              </w:rPr>
              <w:t xml:space="preserve">    7.9 High-Throughput Batch Processing Engine</w:t>
            </w:r>
          </w:p>
        </w:tc>
        <w:tc>
          <w:tcPr>
            <w:tcW w:type="dxa" w:w="1440"/>
          </w:tcPr>
          <w:p>
            <w:pPr>
              <w:jc w:val="center"/>
            </w:pPr>
            <w:r>
              <w:rPr>
                <w:rFonts w:ascii="Times New Roman" w:hAnsi="Times New Roman"/>
                <w:sz w:val="19"/>
              </w:rPr>
              <w:t>56</w:t>
            </w:r>
          </w:p>
        </w:tc>
      </w:tr>
      <w:tr>
        <w:tc>
          <w:tcPr>
            <w:tcW w:type="dxa" w:w="7488"/>
            <w:shd w:fill="F8FAFC"/>
          </w:tcPr>
          <w:p>
            <w:pPr>
              <w:jc w:val="left"/>
            </w:pPr>
            <w:r>
              <w:rPr>
                <w:rFonts w:ascii="Times New Roman" w:hAnsi="Times New Roman"/>
                <w:sz w:val="19"/>
              </w:rPr>
              <w:t xml:space="preserve">    7.10 Automated ReportLab PDF Report Compilation Engine</w:t>
            </w:r>
          </w:p>
        </w:tc>
        <w:tc>
          <w:tcPr>
            <w:tcW w:type="dxa" w:w="1440"/>
            <w:shd w:fill="F8FAFC"/>
          </w:tcPr>
          <w:p>
            <w:pPr>
              <w:jc w:val="center"/>
            </w:pPr>
            <w:r>
              <w:rPr>
                <w:rFonts w:ascii="Times New Roman" w:hAnsi="Times New Roman"/>
                <w:sz w:val="19"/>
              </w:rPr>
              <w:t>56</w:t>
            </w:r>
          </w:p>
        </w:tc>
      </w:tr>
      <w:tr>
        <w:tc>
          <w:tcPr>
            <w:tcW w:type="dxa" w:w="7488"/>
          </w:tcPr>
          <w:p>
            <w:pPr>
              <w:jc w:val="left"/>
            </w:pPr>
            <w:r>
              <w:rPr>
                <w:rFonts w:ascii="Times New Roman" w:hAnsi="Times New Roman"/>
                <w:sz w:val="19"/>
              </w:rPr>
              <w:t>Chapter 8: SOFTWARE TESTING &amp; EMPIRICAL RESULTS</w:t>
            </w:r>
          </w:p>
        </w:tc>
        <w:tc>
          <w:tcPr>
            <w:tcW w:type="dxa" w:w="1440"/>
          </w:tcPr>
          <w:p>
            <w:pPr>
              <w:jc w:val="center"/>
            </w:pPr>
            <w:r>
              <w:rPr>
                <w:rFonts w:ascii="Times New Roman" w:hAnsi="Times New Roman"/>
                <w:sz w:val="19"/>
              </w:rPr>
              <w:t>58</w:t>
            </w:r>
          </w:p>
        </w:tc>
      </w:tr>
      <w:tr>
        <w:tc>
          <w:tcPr>
            <w:tcW w:type="dxa" w:w="7488"/>
            <w:shd w:fill="F8FAFC"/>
          </w:tcPr>
          <w:p>
            <w:pPr>
              <w:jc w:val="left"/>
            </w:pPr>
            <w:r>
              <w:rPr>
                <w:rFonts w:ascii="Times New Roman" w:hAnsi="Times New Roman"/>
                <w:sz w:val="19"/>
              </w:rPr>
              <w:t xml:space="preserve">    8.1 Testing Strategy &amp; PyTest Verification (7 Test Suites)</w:t>
            </w:r>
          </w:p>
        </w:tc>
        <w:tc>
          <w:tcPr>
            <w:tcW w:type="dxa" w:w="1440"/>
            <w:shd w:fill="F8FAFC"/>
          </w:tcPr>
          <w:p>
            <w:pPr>
              <w:jc w:val="center"/>
            </w:pPr>
            <w:r>
              <w:rPr>
                <w:rFonts w:ascii="Times New Roman" w:hAnsi="Times New Roman"/>
                <w:sz w:val="19"/>
              </w:rPr>
              <w:t>58</w:t>
            </w:r>
          </w:p>
        </w:tc>
      </w:tr>
      <w:tr>
        <w:tc>
          <w:tcPr>
            <w:tcW w:type="dxa" w:w="7488"/>
          </w:tcPr>
          <w:p>
            <w:pPr>
              <w:jc w:val="left"/>
            </w:pPr>
            <w:r>
              <w:rPr>
                <w:rFonts w:ascii="Times New Roman" w:hAnsi="Times New Roman"/>
                <w:sz w:val="19"/>
              </w:rPr>
              <w:t xml:space="preserve">    8.2 Test Cases &amp; Execution Summary Table</w:t>
            </w:r>
          </w:p>
        </w:tc>
        <w:tc>
          <w:tcPr>
            <w:tcW w:type="dxa" w:w="1440"/>
          </w:tcPr>
          <w:p>
            <w:pPr>
              <w:jc w:val="center"/>
            </w:pPr>
            <w:r>
              <w:rPr>
                <w:rFonts w:ascii="Times New Roman" w:hAnsi="Times New Roman"/>
                <w:sz w:val="19"/>
              </w:rPr>
              <w:t>58</w:t>
            </w:r>
          </w:p>
        </w:tc>
      </w:tr>
      <w:tr>
        <w:tc>
          <w:tcPr>
            <w:tcW w:type="dxa" w:w="7488"/>
            <w:shd w:fill="F8FAFC"/>
          </w:tcPr>
          <w:p>
            <w:pPr>
              <w:jc w:val="left"/>
            </w:pPr>
            <w:r>
              <w:rPr>
                <w:rFonts w:ascii="Times New Roman" w:hAnsi="Times New Roman"/>
                <w:sz w:val="19"/>
              </w:rPr>
              <w:t xml:space="preserve">    8.3 Empirical Cross-Validation Model Comparison Matrix</w:t>
            </w:r>
          </w:p>
        </w:tc>
        <w:tc>
          <w:tcPr>
            <w:tcW w:type="dxa" w:w="1440"/>
            <w:shd w:fill="F8FAFC"/>
          </w:tcPr>
          <w:p>
            <w:pPr>
              <w:jc w:val="center"/>
            </w:pPr>
            <w:r>
              <w:rPr>
                <w:rFonts w:ascii="Times New Roman" w:hAnsi="Times New Roman"/>
                <w:sz w:val="19"/>
              </w:rPr>
              <w:t>59</w:t>
            </w:r>
          </w:p>
        </w:tc>
      </w:tr>
      <w:tr>
        <w:tc>
          <w:tcPr>
            <w:tcW w:type="dxa" w:w="7488"/>
          </w:tcPr>
          <w:p>
            <w:pPr>
              <w:jc w:val="left"/>
            </w:pPr>
            <w:r>
              <w:rPr>
                <w:rFonts w:ascii="Times New Roman" w:hAnsi="Times New Roman"/>
                <w:sz w:val="19"/>
              </w:rPr>
              <w:t xml:space="preserve">    8.4 Unbiased Test Set Performance Evaluation &amp; Confusion Matrix</w:t>
            </w:r>
          </w:p>
        </w:tc>
        <w:tc>
          <w:tcPr>
            <w:tcW w:type="dxa" w:w="1440"/>
          </w:tcPr>
          <w:p>
            <w:pPr>
              <w:jc w:val="center"/>
            </w:pPr>
            <w:r>
              <w:rPr>
                <w:rFonts w:ascii="Times New Roman" w:hAnsi="Times New Roman"/>
                <w:sz w:val="19"/>
              </w:rPr>
              <w:t>60</w:t>
            </w:r>
          </w:p>
        </w:tc>
      </w:tr>
      <w:tr>
        <w:tc>
          <w:tcPr>
            <w:tcW w:type="dxa" w:w="7488"/>
            <w:shd w:fill="F8FAFC"/>
          </w:tcPr>
          <w:p>
            <w:pPr>
              <w:jc w:val="left"/>
            </w:pPr>
            <w:r>
              <w:rPr>
                <w:rFonts w:ascii="Times New Roman" w:hAnsi="Times New Roman"/>
                <w:sz w:val="19"/>
              </w:rPr>
              <w:t xml:space="preserve">    8.5 Model Interpretability Analysis (Global &amp; Local SHAP)</w:t>
            </w:r>
          </w:p>
        </w:tc>
        <w:tc>
          <w:tcPr>
            <w:tcW w:type="dxa" w:w="1440"/>
            <w:shd w:fill="F8FAFC"/>
          </w:tcPr>
          <w:p>
            <w:pPr>
              <w:jc w:val="center"/>
            </w:pPr>
            <w:r>
              <w:rPr>
                <w:rFonts w:ascii="Times New Roman" w:hAnsi="Times New Roman"/>
                <w:sz w:val="19"/>
              </w:rPr>
              <w:t>61</w:t>
            </w:r>
          </w:p>
        </w:tc>
      </w:tr>
      <w:tr>
        <w:tc>
          <w:tcPr>
            <w:tcW w:type="dxa" w:w="7488"/>
          </w:tcPr>
          <w:p>
            <w:pPr>
              <w:jc w:val="left"/>
            </w:pPr>
            <w:r>
              <w:rPr>
                <w:rFonts w:ascii="Times New Roman" w:hAnsi="Times New Roman"/>
                <w:sz w:val="19"/>
              </w:rPr>
              <w:t xml:space="preserve">    8.6 Scalability &amp; Latency Stress Testing</w:t>
            </w:r>
          </w:p>
        </w:tc>
        <w:tc>
          <w:tcPr>
            <w:tcW w:type="dxa" w:w="1440"/>
          </w:tcPr>
          <w:p>
            <w:pPr>
              <w:jc w:val="center"/>
            </w:pPr>
            <w:r>
              <w:rPr>
                <w:rFonts w:ascii="Times New Roman" w:hAnsi="Times New Roman"/>
                <w:sz w:val="19"/>
              </w:rPr>
              <w:t>62</w:t>
            </w:r>
          </w:p>
        </w:tc>
      </w:tr>
      <w:tr>
        <w:tc>
          <w:tcPr>
            <w:tcW w:type="dxa" w:w="7488"/>
            <w:shd w:fill="F8FAFC"/>
          </w:tcPr>
          <w:p>
            <w:pPr>
              <w:jc w:val="left"/>
            </w:pPr>
            <w:r>
              <w:rPr>
                <w:rFonts w:ascii="Times New Roman" w:hAnsi="Times New Roman"/>
                <w:sz w:val="19"/>
              </w:rPr>
              <w:t>Chapter 9: CONCLUSION AND FUTURE WORK</w:t>
            </w:r>
          </w:p>
        </w:tc>
        <w:tc>
          <w:tcPr>
            <w:tcW w:type="dxa" w:w="1440"/>
            <w:shd w:fill="F8FAFC"/>
          </w:tcPr>
          <w:p>
            <w:pPr>
              <w:jc w:val="center"/>
            </w:pPr>
            <w:r>
              <w:rPr>
                <w:rFonts w:ascii="Times New Roman" w:hAnsi="Times New Roman"/>
                <w:sz w:val="19"/>
              </w:rPr>
              <w:t>63</w:t>
            </w:r>
          </w:p>
        </w:tc>
      </w:tr>
      <w:tr>
        <w:tc>
          <w:tcPr>
            <w:tcW w:type="dxa" w:w="7488"/>
          </w:tcPr>
          <w:p>
            <w:pPr>
              <w:jc w:val="left"/>
            </w:pPr>
            <w:r>
              <w:rPr>
                <w:rFonts w:ascii="Times New Roman" w:hAnsi="Times New Roman"/>
                <w:sz w:val="19"/>
              </w:rPr>
              <w:t xml:space="preserve">    9.1 Comprehensive Summary of Contributions</w:t>
            </w:r>
          </w:p>
        </w:tc>
        <w:tc>
          <w:tcPr>
            <w:tcW w:type="dxa" w:w="1440"/>
          </w:tcPr>
          <w:p>
            <w:pPr>
              <w:jc w:val="center"/>
            </w:pPr>
            <w:r>
              <w:rPr>
                <w:rFonts w:ascii="Times New Roman" w:hAnsi="Times New Roman"/>
                <w:sz w:val="19"/>
              </w:rPr>
              <w:t>63</w:t>
            </w:r>
          </w:p>
        </w:tc>
      </w:tr>
      <w:tr>
        <w:tc>
          <w:tcPr>
            <w:tcW w:type="dxa" w:w="7488"/>
            <w:shd w:fill="F8FAFC"/>
          </w:tcPr>
          <w:p>
            <w:pPr>
              <w:jc w:val="left"/>
            </w:pPr>
            <w:r>
              <w:rPr>
                <w:rFonts w:ascii="Times New Roman" w:hAnsi="Times New Roman"/>
                <w:sz w:val="19"/>
              </w:rPr>
              <w:t xml:space="preserve">    9.2 Verification Mapping: Project Objectives to Realized Outcomes</w:t>
            </w:r>
          </w:p>
        </w:tc>
        <w:tc>
          <w:tcPr>
            <w:tcW w:type="dxa" w:w="1440"/>
            <w:shd w:fill="F8FAFC"/>
          </w:tcPr>
          <w:p>
            <w:pPr>
              <w:jc w:val="center"/>
            </w:pPr>
            <w:r>
              <w:rPr>
                <w:rFonts w:ascii="Times New Roman" w:hAnsi="Times New Roman"/>
                <w:sz w:val="19"/>
              </w:rPr>
              <w:t>63</w:t>
            </w:r>
          </w:p>
        </w:tc>
      </w:tr>
      <w:tr>
        <w:tc>
          <w:tcPr>
            <w:tcW w:type="dxa" w:w="7488"/>
          </w:tcPr>
          <w:p>
            <w:pPr>
              <w:jc w:val="left"/>
            </w:pPr>
            <w:r>
              <w:rPr>
                <w:rFonts w:ascii="Times New Roman" w:hAnsi="Times New Roman"/>
                <w:sz w:val="19"/>
              </w:rPr>
              <w:t xml:space="preserve">    9.3 Practical Constraints &amp; Methodological Limitations</w:t>
            </w:r>
          </w:p>
        </w:tc>
        <w:tc>
          <w:tcPr>
            <w:tcW w:type="dxa" w:w="1440"/>
          </w:tcPr>
          <w:p>
            <w:pPr>
              <w:jc w:val="center"/>
            </w:pPr>
            <w:r>
              <w:rPr>
                <w:rFonts w:ascii="Times New Roman" w:hAnsi="Times New Roman"/>
                <w:sz w:val="19"/>
              </w:rPr>
              <w:t>64</w:t>
            </w:r>
          </w:p>
        </w:tc>
      </w:tr>
      <w:tr>
        <w:tc>
          <w:tcPr>
            <w:tcW w:type="dxa" w:w="7488"/>
            <w:shd w:fill="F8FAFC"/>
          </w:tcPr>
          <w:p>
            <w:pPr>
              <w:jc w:val="left"/>
            </w:pPr>
            <w:r>
              <w:rPr>
                <w:rFonts w:ascii="Times New Roman" w:hAnsi="Times New Roman"/>
                <w:sz w:val="19"/>
              </w:rPr>
              <w:t xml:space="preserve">    9.4 Future Work &amp; Commercial Roadmap</w:t>
            </w:r>
          </w:p>
        </w:tc>
        <w:tc>
          <w:tcPr>
            <w:tcW w:type="dxa" w:w="1440"/>
            <w:shd w:fill="F8FAFC"/>
          </w:tcPr>
          <w:p>
            <w:pPr>
              <w:jc w:val="center"/>
            </w:pPr>
            <w:r>
              <w:rPr>
                <w:rFonts w:ascii="Times New Roman" w:hAnsi="Times New Roman"/>
                <w:sz w:val="19"/>
              </w:rPr>
              <w:t>64</w:t>
            </w:r>
          </w:p>
        </w:tc>
      </w:tr>
      <w:tr>
        <w:tc>
          <w:tcPr>
            <w:tcW w:type="dxa" w:w="7488"/>
          </w:tcPr>
          <w:p>
            <w:pPr>
              <w:jc w:val="left"/>
            </w:pPr>
            <w:r>
              <w:rPr>
                <w:rFonts w:ascii="Times New Roman" w:hAnsi="Times New Roman"/>
                <w:sz w:val="19"/>
              </w:rPr>
              <w:t>BIBLIOGRAPHY / REFERENCES</w:t>
            </w:r>
          </w:p>
        </w:tc>
        <w:tc>
          <w:tcPr>
            <w:tcW w:type="dxa" w:w="1440"/>
          </w:tcPr>
          <w:p>
            <w:pPr>
              <w:jc w:val="center"/>
            </w:pPr>
            <w:r>
              <w:rPr>
                <w:rFonts w:ascii="Times New Roman" w:hAnsi="Times New Roman"/>
                <w:sz w:val="19"/>
              </w:rPr>
              <w:t>65</w:t>
            </w:r>
          </w:p>
        </w:tc>
      </w:tr>
      <w:tr>
        <w:tc>
          <w:tcPr>
            <w:tcW w:type="dxa" w:w="7488"/>
            <w:shd w:fill="F8FAFC"/>
          </w:tcPr>
          <w:p>
            <w:pPr>
              <w:jc w:val="left"/>
            </w:pPr>
            <w:r>
              <w:rPr>
                <w:rFonts w:ascii="Times New Roman" w:hAnsi="Times New Roman"/>
                <w:sz w:val="19"/>
              </w:rPr>
              <w:t>ANNEXURE A: List of Publications &amp; Full Research Paper Draft</w:t>
            </w:r>
          </w:p>
        </w:tc>
        <w:tc>
          <w:tcPr>
            <w:tcW w:type="dxa" w:w="1440"/>
            <w:shd w:fill="F8FAFC"/>
          </w:tcPr>
          <w:p>
            <w:pPr>
              <w:jc w:val="center"/>
            </w:pPr>
            <w:r>
              <w:rPr>
                <w:rFonts w:ascii="Times New Roman" w:hAnsi="Times New Roman"/>
                <w:sz w:val="19"/>
              </w:rPr>
              <w:t>67</w:t>
            </w:r>
          </w:p>
        </w:tc>
      </w:tr>
      <w:tr>
        <w:tc>
          <w:tcPr>
            <w:tcW w:type="dxa" w:w="7488"/>
          </w:tcPr>
          <w:p>
            <w:pPr>
              <w:jc w:val="left"/>
            </w:pPr>
            <w:r>
              <w:rPr>
                <w:rFonts w:ascii="Times New Roman" w:hAnsi="Times New Roman"/>
                <w:sz w:val="19"/>
              </w:rPr>
              <w:t>ANNEXURE B: Plagiarism &amp; Originality Statement</w:t>
            </w:r>
          </w:p>
        </w:tc>
        <w:tc>
          <w:tcPr>
            <w:tcW w:type="dxa" w:w="1440"/>
          </w:tcPr>
          <w:p>
            <w:pPr>
              <w:jc w:val="center"/>
            </w:pPr>
            <w:r>
              <w:rPr>
                <w:rFonts w:ascii="Times New Roman" w:hAnsi="Times New Roman"/>
                <w:sz w:val="19"/>
              </w:rPr>
              <w:t>70</w:t>
            </w:r>
          </w:p>
        </w:tc>
      </w:tr>
      <w:tr>
        <w:tc>
          <w:tcPr>
            <w:tcW w:type="dxa" w:w="7488"/>
            <w:shd w:fill="F8FAFC"/>
          </w:tcPr>
          <w:p>
            <w:pPr>
              <w:jc w:val="left"/>
            </w:pPr>
            <w:r>
              <w:rPr>
                <w:rFonts w:ascii="Times New Roman" w:hAnsi="Times New Roman"/>
                <w:sz w:val="19"/>
              </w:rPr>
              <w:t>ANNEXURE C: Design Thinking Empathy Chart &amp; Solution Document</w:t>
            </w:r>
          </w:p>
        </w:tc>
        <w:tc>
          <w:tcPr>
            <w:tcW w:type="dxa" w:w="1440"/>
            <w:shd w:fill="F8FAFC"/>
          </w:tcPr>
          <w:p>
            <w:pPr>
              <w:jc w:val="center"/>
            </w:pPr>
            <w:r>
              <w:rPr>
                <w:rFonts w:ascii="Times New Roman" w:hAnsi="Times New Roman"/>
                <w:sz w:val="19"/>
              </w:rPr>
              <w:t>71</w:t>
            </w:r>
          </w:p>
        </w:tc>
      </w:tr>
      <w:tr>
        <w:tc>
          <w:tcPr>
            <w:tcW w:type="dxa" w:w="7488"/>
          </w:tcPr>
          <w:p>
            <w:pPr>
              <w:jc w:val="left"/>
            </w:pPr>
            <w:r>
              <w:rPr>
                <w:rFonts w:ascii="Times New Roman" w:hAnsi="Times New Roman"/>
                <w:sz w:val="19"/>
              </w:rPr>
              <w:t>ANNEXURE D: Project Tracker &amp; Milestone Execution Record</w:t>
            </w:r>
          </w:p>
        </w:tc>
        <w:tc>
          <w:tcPr>
            <w:tcW w:type="dxa" w:w="1440"/>
          </w:tcPr>
          <w:p>
            <w:pPr>
              <w:jc w:val="center"/>
            </w:pPr>
            <w:r>
              <w:rPr>
                <w:rFonts w:ascii="Times New Roman" w:hAnsi="Times New Roman"/>
                <w:sz w:val="19"/>
              </w:rPr>
              <w:t>72</w:t>
            </w:r>
          </w:p>
        </w:tc>
      </w:tr>
      <w:tr>
        <w:tc>
          <w:tcPr>
            <w:tcW w:type="dxa" w:w="7488"/>
            <w:shd w:fill="F8FAFC"/>
          </w:tcPr>
          <w:p>
            <w:pPr>
              <w:jc w:val="left"/>
            </w:pPr>
            <w:r>
              <w:rPr>
                <w:rFonts w:ascii="Times New Roman" w:hAnsi="Times New Roman"/>
                <w:sz w:val="19"/>
              </w:rPr>
              <w:t>Official iThenticate Plagiarism Certificate</w:t>
            </w:r>
          </w:p>
        </w:tc>
        <w:tc>
          <w:tcPr>
            <w:tcW w:type="dxa" w:w="1440"/>
            <w:shd w:fill="F8FAFC"/>
          </w:tcPr>
          <w:p>
            <w:pPr>
              <w:jc w:val="center"/>
            </w:pPr>
            <w:r>
              <w:rPr>
                <w:rFonts w:ascii="Times New Roman" w:hAnsi="Times New Roman"/>
                <w:sz w:val="19"/>
              </w:rPr>
              <w:t>73</w:t>
            </w:r>
          </w:p>
        </w:tc>
      </w:tr>
    </w:tbl>
    <w:p>
      <w:r>
        <w:br w:type="page"/>
      </w:r>
    </w:p>
    <w:p>
      <w:pPr>
        <w:spacing w:before="360" w:after="280" w:line="276" w:lineRule="auto"/>
        <w:jc w:val="center"/>
      </w:pPr>
      <w:r>
        <w:rPr>
          <w:rFonts w:ascii="Times New Roman" w:hAnsi="Times New Roman"/>
          <w:b/>
          <w:color w:val="000000"/>
          <w:sz w:val="32"/>
        </w:rPr>
        <w:t>LIST OF FIGURES</w:t>
      </w:r>
    </w:p>
    <w:tbl>
      <w:tblPr>
        <w:tblW w:type="auto" w:w="0"/>
        <w:jc w:val="center"/>
        <w:tblLook w:firstColumn="1" w:firstRow="1" w:lastColumn="0" w:lastRow="0" w:noHBand="0" w:noVBand="1" w:val="04A0"/>
      </w:tblPr>
      <w:tblGrid>
        <w:gridCol w:w="4334"/>
        <w:gridCol w:w="4334"/>
      </w:tblGrid>
      <w:tr>
        <w:tc>
          <w:tcPr>
            <w:tcW w:type="dxa" w:w="7488"/>
            <w:shd w:fill="E2E8F0"/>
          </w:tcPr>
          <w:p>
            <w:pPr>
              <w:jc w:val="center"/>
            </w:pPr>
            <w:r>
              <w:rPr>
                <w:rFonts w:ascii="Times New Roman" w:hAnsi="Times New Roman"/>
                <w:b/>
                <w:sz w:val="20"/>
              </w:rPr>
              <w:t>Figure No. and Title / Description</w:t>
            </w:r>
          </w:p>
        </w:tc>
        <w:tc>
          <w:tcPr>
            <w:tcW w:type="dxa" w:w="1440"/>
            <w:shd w:fill="E2E8F0"/>
          </w:tcPr>
          <w:p>
            <w:pPr>
              <w:jc w:val="center"/>
            </w:pPr>
            <w:r>
              <w:rPr>
                <w:rFonts w:ascii="Times New Roman" w:hAnsi="Times New Roman"/>
                <w:b/>
                <w:sz w:val="20"/>
              </w:rPr>
              <w:t>Page</w:t>
            </w:r>
          </w:p>
        </w:tc>
      </w:tr>
      <w:tr>
        <w:tc>
          <w:tcPr>
            <w:tcW w:type="dxa" w:w="7488"/>
          </w:tcPr>
          <w:p>
            <w:pPr>
              <w:jc w:val="left"/>
            </w:pPr>
            <w:r>
              <w:rPr>
                <w:rFonts w:ascii="Times New Roman" w:hAnsi="Times New Roman"/>
                <w:sz w:val="19"/>
              </w:rPr>
              <w:t>Figure 1.1: The MSME Credit Gap and Traditional Underwriting Funnel</w:t>
            </w:r>
          </w:p>
        </w:tc>
        <w:tc>
          <w:tcPr>
            <w:tcW w:type="dxa" w:w="1440"/>
          </w:tcPr>
          <w:p>
            <w:pPr>
              <w:jc w:val="center"/>
            </w:pPr>
            <w:r>
              <w:rPr>
                <w:rFonts w:ascii="Times New Roman" w:hAnsi="Times New Roman"/>
                <w:sz w:val="19"/>
              </w:rPr>
              <w:t>17</w:t>
            </w:r>
          </w:p>
        </w:tc>
      </w:tr>
      <w:tr>
        <w:tc>
          <w:tcPr>
            <w:tcW w:type="dxa" w:w="7488"/>
            <w:shd w:fill="F8FAFC"/>
          </w:tcPr>
          <w:p>
            <w:pPr>
              <w:jc w:val="left"/>
            </w:pPr>
            <w:r>
              <w:rPr>
                <w:rFonts w:ascii="Times New Roman" w:hAnsi="Times New Roman"/>
                <w:sz w:val="19"/>
              </w:rPr>
              <w:t>Figure 2.1: The PREDICT → EXPLAIN → SIMULATE → IMPROVE Operational Paradigm</w:t>
            </w:r>
          </w:p>
        </w:tc>
        <w:tc>
          <w:tcPr>
            <w:tcW w:type="dxa" w:w="1440"/>
            <w:shd w:fill="F8FAFC"/>
          </w:tcPr>
          <w:p>
            <w:pPr>
              <w:jc w:val="center"/>
            </w:pPr>
            <w:r>
              <w:rPr>
                <w:rFonts w:ascii="Times New Roman" w:hAnsi="Times New Roman"/>
                <w:sz w:val="19"/>
              </w:rPr>
              <w:t>26</w:t>
            </w:r>
          </w:p>
        </w:tc>
      </w:tr>
      <w:tr>
        <w:tc>
          <w:tcPr>
            <w:tcW w:type="dxa" w:w="7488"/>
          </w:tcPr>
          <w:p>
            <w:pPr>
              <w:jc w:val="left"/>
            </w:pPr>
            <w:r>
              <w:rPr>
                <w:rFonts w:ascii="Times New Roman" w:hAnsi="Times New Roman"/>
                <w:sz w:val="19"/>
              </w:rPr>
              <w:t>Figure 2.2: Polar Radar Representation of the 5-Pillar Financial Health Index</w:t>
            </w:r>
          </w:p>
        </w:tc>
        <w:tc>
          <w:tcPr>
            <w:tcW w:type="dxa" w:w="1440"/>
          </w:tcPr>
          <w:p>
            <w:pPr>
              <w:jc w:val="center"/>
            </w:pPr>
            <w:r>
              <w:rPr>
                <w:rFonts w:ascii="Times New Roman" w:hAnsi="Times New Roman"/>
                <w:sz w:val="19"/>
              </w:rPr>
              <w:t>29</w:t>
            </w:r>
          </w:p>
        </w:tc>
      </w:tr>
      <w:tr>
        <w:tc>
          <w:tcPr>
            <w:tcW w:type="dxa" w:w="7488"/>
            <w:shd w:fill="F8FAFC"/>
          </w:tcPr>
          <w:p>
            <w:pPr>
              <w:jc w:val="left"/>
            </w:pPr>
            <w:r>
              <w:rPr>
                <w:rFonts w:ascii="Times New Roman" w:hAnsi="Times New Roman"/>
                <w:sz w:val="19"/>
              </w:rPr>
              <w:t>Figure 4.1: Iterative Waterfall-Agile Hybrid Process Model Flowchart</w:t>
            </w:r>
          </w:p>
        </w:tc>
        <w:tc>
          <w:tcPr>
            <w:tcW w:type="dxa" w:w="1440"/>
            <w:shd w:fill="F8FAFC"/>
          </w:tcPr>
          <w:p>
            <w:pPr>
              <w:jc w:val="center"/>
            </w:pPr>
            <w:r>
              <w:rPr>
                <w:rFonts w:ascii="Times New Roman" w:hAnsi="Times New Roman"/>
                <w:sz w:val="19"/>
              </w:rPr>
              <w:t>36</w:t>
            </w:r>
          </w:p>
        </w:tc>
      </w:tr>
      <w:tr>
        <w:tc>
          <w:tcPr>
            <w:tcW w:type="dxa" w:w="7488"/>
          </w:tcPr>
          <w:p>
            <w:pPr>
              <w:jc w:val="left"/>
            </w:pPr>
            <w:r>
              <w:rPr>
                <w:rFonts w:ascii="Times New Roman" w:hAnsi="Times New Roman"/>
                <w:sz w:val="19"/>
              </w:rPr>
              <w:t>Figure 4.2: End-to-End Machine Learning Pipeline and Methodology Flowchart</w:t>
            </w:r>
          </w:p>
        </w:tc>
        <w:tc>
          <w:tcPr>
            <w:tcW w:type="dxa" w:w="1440"/>
          </w:tcPr>
          <w:p>
            <w:pPr>
              <w:jc w:val="center"/>
            </w:pPr>
            <w:r>
              <w:rPr>
                <w:rFonts w:ascii="Times New Roman" w:hAnsi="Times New Roman"/>
                <w:sz w:val="19"/>
              </w:rPr>
              <w:t>37</w:t>
            </w:r>
          </w:p>
        </w:tc>
      </w:tr>
      <w:tr>
        <w:tc>
          <w:tcPr>
            <w:tcW w:type="dxa" w:w="7488"/>
            <w:shd w:fill="F8FAFC"/>
          </w:tcPr>
          <w:p>
            <w:pPr>
              <w:jc w:val="left"/>
            </w:pPr>
            <w:r>
              <w:rPr>
                <w:rFonts w:ascii="Times New Roman" w:hAnsi="Times New Roman"/>
                <w:sz w:val="19"/>
              </w:rPr>
              <w:t>Figure 6.1: Multi-Tier Software and Architectural Block Diagram</w:t>
            </w:r>
          </w:p>
        </w:tc>
        <w:tc>
          <w:tcPr>
            <w:tcW w:type="dxa" w:w="1440"/>
            <w:shd w:fill="F8FAFC"/>
          </w:tcPr>
          <w:p>
            <w:pPr>
              <w:jc w:val="center"/>
            </w:pPr>
            <w:r>
              <w:rPr>
                <w:rFonts w:ascii="Times New Roman" w:hAnsi="Times New Roman"/>
                <w:sz w:val="19"/>
              </w:rPr>
              <w:t>45</w:t>
            </w:r>
          </w:p>
        </w:tc>
      </w:tr>
      <w:tr>
        <w:tc>
          <w:tcPr>
            <w:tcW w:type="dxa" w:w="7488"/>
          </w:tcPr>
          <w:p>
            <w:pPr>
              <w:jc w:val="left"/>
            </w:pPr>
            <w:r>
              <w:rPr>
                <w:rFonts w:ascii="Times New Roman" w:hAnsi="Times New Roman"/>
                <w:sz w:val="19"/>
              </w:rPr>
              <w:t>Figure 6.2: Data Flow Diagram Level 0 (Context Level Diagram)</w:t>
            </w:r>
          </w:p>
        </w:tc>
        <w:tc>
          <w:tcPr>
            <w:tcW w:type="dxa" w:w="1440"/>
          </w:tcPr>
          <w:p>
            <w:pPr>
              <w:jc w:val="center"/>
            </w:pPr>
            <w:r>
              <w:rPr>
                <w:rFonts w:ascii="Times New Roman" w:hAnsi="Times New Roman"/>
                <w:sz w:val="19"/>
              </w:rPr>
              <w:t>46</w:t>
            </w:r>
          </w:p>
        </w:tc>
      </w:tr>
      <w:tr>
        <w:tc>
          <w:tcPr>
            <w:tcW w:type="dxa" w:w="7488"/>
            <w:shd w:fill="F8FAFC"/>
          </w:tcPr>
          <w:p>
            <w:pPr>
              <w:jc w:val="left"/>
            </w:pPr>
            <w:r>
              <w:rPr>
                <w:rFonts w:ascii="Times New Roman" w:hAnsi="Times New Roman"/>
                <w:sz w:val="19"/>
              </w:rPr>
              <w:t>Figure 6.3: UML Use Case Diagram for Primary System Actors</w:t>
            </w:r>
          </w:p>
        </w:tc>
        <w:tc>
          <w:tcPr>
            <w:tcW w:type="dxa" w:w="1440"/>
            <w:shd w:fill="F8FAFC"/>
          </w:tcPr>
          <w:p>
            <w:pPr>
              <w:jc w:val="center"/>
            </w:pPr>
            <w:r>
              <w:rPr>
                <w:rFonts w:ascii="Times New Roman" w:hAnsi="Times New Roman"/>
                <w:sz w:val="19"/>
              </w:rPr>
              <w:t>47</w:t>
            </w:r>
          </w:p>
        </w:tc>
      </w:tr>
      <w:tr>
        <w:tc>
          <w:tcPr>
            <w:tcW w:type="dxa" w:w="7488"/>
          </w:tcPr>
          <w:p>
            <w:pPr>
              <w:jc w:val="left"/>
            </w:pPr>
            <w:r>
              <w:rPr>
                <w:rFonts w:ascii="Times New Roman" w:hAnsi="Times New Roman"/>
                <w:sz w:val="19"/>
              </w:rPr>
              <w:t>Figure 6.4: Database Entity-Relationship (ER) Relational Schema (3NF)</w:t>
            </w:r>
          </w:p>
        </w:tc>
        <w:tc>
          <w:tcPr>
            <w:tcW w:type="dxa" w:w="1440"/>
          </w:tcPr>
          <w:p>
            <w:pPr>
              <w:jc w:val="center"/>
            </w:pPr>
            <w:r>
              <w:rPr>
                <w:rFonts w:ascii="Times New Roman" w:hAnsi="Times New Roman"/>
                <w:sz w:val="19"/>
              </w:rPr>
              <w:t>48</w:t>
            </w:r>
          </w:p>
        </w:tc>
      </w:tr>
      <w:tr>
        <w:tc>
          <w:tcPr>
            <w:tcW w:type="dxa" w:w="7488"/>
            <w:shd w:fill="F8FAFC"/>
          </w:tcPr>
          <w:p>
            <w:pPr>
              <w:jc w:val="left"/>
            </w:pPr>
            <w:r>
              <w:rPr>
                <w:rFonts w:ascii="Times New Roman" w:hAnsi="Times New Roman"/>
                <w:sz w:val="19"/>
              </w:rPr>
              <w:t>Figure 6.5: Zero-Leakage Training and Resampling Architecture</w:t>
            </w:r>
          </w:p>
        </w:tc>
        <w:tc>
          <w:tcPr>
            <w:tcW w:type="dxa" w:w="1440"/>
            <w:shd w:fill="F8FAFC"/>
          </w:tcPr>
          <w:p>
            <w:pPr>
              <w:jc w:val="center"/>
            </w:pPr>
            <w:r>
              <w:rPr>
                <w:rFonts w:ascii="Times New Roman" w:hAnsi="Times New Roman"/>
                <w:sz w:val="19"/>
              </w:rPr>
              <w:t>51</w:t>
            </w:r>
          </w:p>
        </w:tc>
      </w:tr>
      <w:tr>
        <w:tc>
          <w:tcPr>
            <w:tcW w:type="dxa" w:w="7488"/>
          </w:tcPr>
          <w:p>
            <w:pPr>
              <w:jc w:val="left"/>
            </w:pPr>
            <w:r>
              <w:rPr>
                <w:rFonts w:ascii="Times New Roman" w:hAnsi="Times New Roman"/>
                <w:sz w:val="19"/>
              </w:rPr>
              <w:t>Figure 7.1: Interactive Streamlit Executive Dashboard Interface</w:t>
            </w:r>
          </w:p>
        </w:tc>
        <w:tc>
          <w:tcPr>
            <w:tcW w:type="dxa" w:w="1440"/>
          </w:tcPr>
          <w:p>
            <w:pPr>
              <w:jc w:val="center"/>
            </w:pPr>
            <w:r>
              <w:rPr>
                <w:rFonts w:ascii="Times New Roman" w:hAnsi="Times New Roman"/>
                <w:sz w:val="19"/>
              </w:rPr>
              <w:t>55</w:t>
            </w:r>
          </w:p>
        </w:tc>
      </w:tr>
      <w:tr>
        <w:tc>
          <w:tcPr>
            <w:tcW w:type="dxa" w:w="7488"/>
            <w:shd w:fill="F8FAFC"/>
          </w:tcPr>
          <w:p>
            <w:pPr>
              <w:jc w:val="left"/>
            </w:pPr>
            <w:r>
              <w:rPr>
                <w:rFonts w:ascii="Times New Roman" w:hAnsi="Times New Roman"/>
                <w:sz w:val="19"/>
              </w:rPr>
              <w:t>Figure 7.2: Automated ReportLab Institutional PDF Assessment Report</w:t>
            </w:r>
          </w:p>
        </w:tc>
        <w:tc>
          <w:tcPr>
            <w:tcW w:type="dxa" w:w="1440"/>
            <w:shd w:fill="F8FAFC"/>
          </w:tcPr>
          <w:p>
            <w:pPr>
              <w:jc w:val="center"/>
            </w:pPr>
            <w:r>
              <w:rPr>
                <w:rFonts w:ascii="Times New Roman" w:hAnsi="Times New Roman"/>
                <w:sz w:val="19"/>
              </w:rPr>
              <w:t>57</w:t>
            </w:r>
          </w:p>
        </w:tc>
      </w:tr>
      <w:tr>
        <w:tc>
          <w:tcPr>
            <w:tcW w:type="dxa" w:w="7488"/>
          </w:tcPr>
          <w:p>
            <w:pPr>
              <w:jc w:val="left"/>
            </w:pPr>
            <w:r>
              <w:rPr>
                <w:rFonts w:ascii="Times New Roman" w:hAnsi="Times New Roman"/>
                <w:sz w:val="19"/>
              </w:rPr>
              <w:t>Figure 8.1: Cross-Validation Benchmarking and Confusion Matrix on Test Set</w:t>
            </w:r>
          </w:p>
        </w:tc>
        <w:tc>
          <w:tcPr>
            <w:tcW w:type="dxa" w:w="1440"/>
          </w:tcPr>
          <w:p>
            <w:pPr>
              <w:jc w:val="center"/>
            </w:pPr>
            <w:r>
              <w:rPr>
                <w:rFonts w:ascii="Times New Roman" w:hAnsi="Times New Roman"/>
                <w:sz w:val="19"/>
              </w:rPr>
              <w:t>60</w:t>
            </w:r>
          </w:p>
        </w:tc>
      </w:tr>
      <w:tr>
        <w:tc>
          <w:tcPr>
            <w:tcW w:type="dxa" w:w="7488"/>
            <w:shd w:fill="F8FAFC"/>
          </w:tcPr>
          <w:p>
            <w:pPr>
              <w:jc w:val="left"/>
            </w:pPr>
            <w:r>
              <w:rPr>
                <w:rFonts w:ascii="Times New Roman" w:hAnsi="Times New Roman"/>
                <w:sz w:val="19"/>
              </w:rPr>
              <w:t>Figure 8.2: Granular Instance-Level SHAP Feature Attribution Spectrum</w:t>
            </w:r>
          </w:p>
        </w:tc>
        <w:tc>
          <w:tcPr>
            <w:tcW w:type="dxa" w:w="1440"/>
            <w:shd w:fill="F8FAFC"/>
          </w:tcPr>
          <w:p>
            <w:pPr>
              <w:jc w:val="center"/>
            </w:pPr>
            <w:r>
              <w:rPr>
                <w:rFonts w:ascii="Times New Roman" w:hAnsi="Times New Roman"/>
                <w:sz w:val="19"/>
              </w:rPr>
              <w:t>62</w:t>
            </w:r>
          </w:p>
        </w:tc>
      </w:tr>
      <w:tr>
        <w:tc>
          <w:tcPr>
            <w:tcW w:type="dxa" w:w="7488"/>
          </w:tcPr>
          <w:p>
            <w:pPr>
              <w:jc w:val="left"/>
            </w:pPr>
            <w:r>
              <w:rPr>
                <w:rFonts w:ascii="Times New Roman" w:hAnsi="Times New Roman"/>
                <w:sz w:val="19"/>
              </w:rPr>
              <w:t>Figure 8.3: Multi-Class One-vs-Rest ROC Curves and PR Frontiers</w:t>
            </w:r>
          </w:p>
        </w:tc>
        <w:tc>
          <w:tcPr>
            <w:tcW w:type="dxa" w:w="1440"/>
          </w:tcPr>
          <w:p>
            <w:pPr>
              <w:jc w:val="center"/>
            </w:pPr>
            <w:r>
              <w:rPr>
                <w:rFonts w:ascii="Times New Roman" w:hAnsi="Times New Roman"/>
                <w:sz w:val="19"/>
              </w:rPr>
              <w:t>61</w:t>
            </w:r>
          </w:p>
        </w:tc>
      </w:tr>
    </w:tbl>
    <w:p>
      <w:r>
        <w:br w:type="page"/>
      </w:r>
    </w:p>
    <w:p>
      <w:pPr>
        <w:spacing w:before="360" w:after="280" w:line="276" w:lineRule="auto"/>
        <w:jc w:val="center"/>
      </w:pPr>
      <w:r>
        <w:rPr>
          <w:rFonts w:ascii="Times New Roman" w:hAnsi="Times New Roman"/>
          <w:b/>
          <w:color w:val="000000"/>
          <w:sz w:val="32"/>
        </w:rPr>
        <w:t>LIST OF TABLES</w:t>
      </w:r>
    </w:p>
    <w:tbl>
      <w:tblPr>
        <w:tblW w:type="auto" w:w="0"/>
        <w:jc w:val="center"/>
        <w:tblLook w:firstColumn="1" w:firstRow="1" w:lastColumn="0" w:lastRow="0" w:noHBand="0" w:noVBand="1" w:val="04A0"/>
      </w:tblPr>
      <w:tblGrid>
        <w:gridCol w:w="4334"/>
        <w:gridCol w:w="4334"/>
      </w:tblGrid>
      <w:tr>
        <w:tc>
          <w:tcPr>
            <w:tcW w:type="dxa" w:w="7488"/>
            <w:shd w:fill="E2E8F0"/>
          </w:tcPr>
          <w:p>
            <w:pPr>
              <w:jc w:val="center"/>
            </w:pPr>
            <w:r>
              <w:rPr>
                <w:rFonts w:ascii="Times New Roman" w:hAnsi="Times New Roman"/>
                <w:b/>
                <w:sz w:val="20"/>
              </w:rPr>
              <w:t>Table No. and Title / Description</w:t>
            </w:r>
          </w:p>
        </w:tc>
        <w:tc>
          <w:tcPr>
            <w:tcW w:type="dxa" w:w="1440"/>
            <w:shd w:fill="E2E8F0"/>
          </w:tcPr>
          <w:p>
            <w:pPr>
              <w:jc w:val="center"/>
            </w:pPr>
            <w:r>
              <w:rPr>
                <w:rFonts w:ascii="Times New Roman" w:hAnsi="Times New Roman"/>
                <w:b/>
                <w:sz w:val="20"/>
              </w:rPr>
              <w:t>Page</w:t>
            </w:r>
          </w:p>
        </w:tc>
      </w:tr>
      <w:tr>
        <w:tc>
          <w:tcPr>
            <w:tcW w:type="dxa" w:w="7488"/>
          </w:tcPr>
          <w:p>
            <w:pPr>
              <w:jc w:val="left"/>
            </w:pPr>
            <w:r>
              <w:rPr>
                <w:rFonts w:ascii="Times New Roman" w:hAnsi="Times New Roman"/>
                <w:sz w:val="19"/>
              </w:rPr>
              <w:t>Table 1.1: Comparison Between Traditional Underwriting and Proposed AI System</w:t>
            </w:r>
          </w:p>
        </w:tc>
        <w:tc>
          <w:tcPr>
            <w:tcW w:type="dxa" w:w="1440"/>
          </w:tcPr>
          <w:p>
            <w:pPr>
              <w:jc w:val="center"/>
            </w:pPr>
            <w:r>
              <w:rPr>
                <w:rFonts w:ascii="Times New Roman" w:hAnsi="Times New Roman"/>
                <w:sz w:val="19"/>
              </w:rPr>
              <w:t>20</w:t>
            </w:r>
          </w:p>
        </w:tc>
      </w:tr>
      <w:tr>
        <w:tc>
          <w:tcPr>
            <w:tcW w:type="dxa" w:w="7488"/>
            <w:shd w:fill="F8FAFC"/>
          </w:tcPr>
          <w:p>
            <w:pPr>
              <w:jc w:val="left"/>
            </w:pPr>
            <w:r>
              <w:rPr>
                <w:rFonts w:ascii="Times New Roman" w:hAnsi="Times New Roman"/>
                <w:sz w:val="19"/>
              </w:rPr>
              <w:t>Table 2.1: Engineered Financial Indicators and Mathematical Formulations</w:t>
            </w:r>
          </w:p>
        </w:tc>
        <w:tc>
          <w:tcPr>
            <w:tcW w:type="dxa" w:w="1440"/>
            <w:shd w:fill="F8FAFC"/>
          </w:tcPr>
          <w:p>
            <w:pPr>
              <w:jc w:val="center"/>
            </w:pPr>
            <w:r>
              <w:rPr>
                <w:rFonts w:ascii="Times New Roman" w:hAnsi="Times New Roman"/>
                <w:sz w:val="19"/>
              </w:rPr>
              <w:t>27</w:t>
            </w:r>
          </w:p>
        </w:tc>
      </w:tr>
      <w:tr>
        <w:tc>
          <w:tcPr>
            <w:tcW w:type="dxa" w:w="7488"/>
          </w:tcPr>
          <w:p>
            <w:pPr>
              <w:jc w:val="left"/>
            </w:pPr>
            <w:r>
              <w:rPr>
                <w:rFonts w:ascii="Times New Roman" w:hAnsi="Times New Roman"/>
                <w:sz w:val="19"/>
              </w:rPr>
              <w:t>Table 2.2: Pillar Weightings and Score Thresholds for Financial Health Index</w:t>
            </w:r>
          </w:p>
        </w:tc>
        <w:tc>
          <w:tcPr>
            <w:tcW w:type="dxa" w:w="1440"/>
          </w:tcPr>
          <w:p>
            <w:pPr>
              <w:jc w:val="center"/>
            </w:pPr>
            <w:r>
              <w:rPr>
                <w:rFonts w:ascii="Times New Roman" w:hAnsi="Times New Roman"/>
                <w:sz w:val="19"/>
              </w:rPr>
              <w:t>29</w:t>
            </w:r>
          </w:p>
        </w:tc>
      </w:tr>
      <w:tr>
        <w:tc>
          <w:tcPr>
            <w:tcW w:type="dxa" w:w="7488"/>
            <w:shd w:fill="F8FAFC"/>
          </w:tcPr>
          <w:p>
            <w:pPr>
              <w:jc w:val="left"/>
            </w:pPr>
            <w:r>
              <w:rPr>
                <w:rFonts w:ascii="Times New Roman" w:hAnsi="Times New Roman"/>
                <w:sz w:val="19"/>
              </w:rPr>
              <w:t>Table 3.1: Comprehensive Literature Survey and Comparative Evaluation Matrix</w:t>
            </w:r>
          </w:p>
        </w:tc>
        <w:tc>
          <w:tcPr>
            <w:tcW w:type="dxa" w:w="1440"/>
            <w:shd w:fill="F8FAFC"/>
          </w:tcPr>
          <w:p>
            <w:pPr>
              <w:jc w:val="center"/>
            </w:pPr>
            <w:r>
              <w:rPr>
                <w:rFonts w:ascii="Times New Roman" w:hAnsi="Times New Roman"/>
                <w:sz w:val="19"/>
              </w:rPr>
              <w:t>33</w:t>
            </w:r>
          </w:p>
        </w:tc>
      </w:tr>
      <w:tr>
        <w:tc>
          <w:tcPr>
            <w:tcW w:type="dxa" w:w="7488"/>
          </w:tcPr>
          <w:p>
            <w:pPr>
              <w:jc w:val="left"/>
            </w:pPr>
            <w:r>
              <w:rPr>
                <w:rFonts w:ascii="Times New Roman" w:hAnsi="Times New Roman"/>
                <w:sz w:val="19"/>
              </w:rPr>
              <w:t>Table 4.1: Work Breakdown Structure (WBS) and Project Sprint Timeline</w:t>
            </w:r>
          </w:p>
        </w:tc>
        <w:tc>
          <w:tcPr>
            <w:tcW w:type="dxa" w:w="1440"/>
          </w:tcPr>
          <w:p>
            <w:pPr>
              <w:jc w:val="center"/>
            </w:pPr>
            <w:r>
              <w:rPr>
                <w:rFonts w:ascii="Times New Roman" w:hAnsi="Times New Roman"/>
                <w:sz w:val="19"/>
              </w:rPr>
              <w:t>38</w:t>
            </w:r>
          </w:p>
        </w:tc>
      </w:tr>
      <w:tr>
        <w:tc>
          <w:tcPr>
            <w:tcW w:type="dxa" w:w="7488"/>
            <w:shd w:fill="F8FAFC"/>
          </w:tcPr>
          <w:p>
            <w:pPr>
              <w:jc w:val="left"/>
            </w:pPr>
            <w:r>
              <w:rPr>
                <w:rFonts w:ascii="Times New Roman" w:hAnsi="Times New Roman"/>
                <w:sz w:val="19"/>
              </w:rPr>
              <w:t>Table 4.2: Hardware and Software Development Environment Specifications</w:t>
            </w:r>
          </w:p>
        </w:tc>
        <w:tc>
          <w:tcPr>
            <w:tcW w:type="dxa" w:w="1440"/>
            <w:shd w:fill="F8FAFC"/>
          </w:tcPr>
          <w:p>
            <w:pPr>
              <w:jc w:val="center"/>
            </w:pPr>
            <w:r>
              <w:rPr>
                <w:rFonts w:ascii="Times New Roman" w:hAnsi="Times New Roman"/>
                <w:sz w:val="19"/>
              </w:rPr>
              <w:t>39</w:t>
            </w:r>
          </w:p>
        </w:tc>
      </w:tr>
      <w:tr>
        <w:tc>
          <w:tcPr>
            <w:tcW w:type="dxa" w:w="7488"/>
          </w:tcPr>
          <w:p>
            <w:pPr>
              <w:jc w:val="left"/>
            </w:pPr>
            <w:r>
              <w:rPr>
                <w:rFonts w:ascii="Times New Roman" w:hAnsi="Times New Roman"/>
                <w:sz w:val="19"/>
              </w:rPr>
              <w:t>Table 4.3: Comprehensive Project Risk Assessment and Mitigation Matrix</w:t>
            </w:r>
          </w:p>
        </w:tc>
        <w:tc>
          <w:tcPr>
            <w:tcW w:type="dxa" w:w="1440"/>
          </w:tcPr>
          <w:p>
            <w:pPr>
              <w:jc w:val="center"/>
            </w:pPr>
            <w:r>
              <w:rPr>
                <w:rFonts w:ascii="Times New Roman" w:hAnsi="Times New Roman"/>
                <w:sz w:val="19"/>
              </w:rPr>
              <w:t>40</w:t>
            </w:r>
          </w:p>
        </w:tc>
      </w:tr>
      <w:tr>
        <w:tc>
          <w:tcPr>
            <w:tcW w:type="dxa" w:w="7488"/>
            <w:shd w:fill="F8FAFC"/>
          </w:tcPr>
          <w:p>
            <w:pPr>
              <w:jc w:val="left"/>
            </w:pPr>
            <w:r>
              <w:rPr>
                <w:rFonts w:ascii="Times New Roman" w:hAnsi="Times New Roman"/>
                <w:sz w:val="19"/>
              </w:rPr>
              <w:t>Table 5.1: Functional Requirements Specification Matrix (FR-01 to FR-12)</w:t>
            </w:r>
          </w:p>
        </w:tc>
        <w:tc>
          <w:tcPr>
            <w:tcW w:type="dxa" w:w="1440"/>
            <w:shd w:fill="F8FAFC"/>
          </w:tcPr>
          <w:p>
            <w:pPr>
              <w:jc w:val="center"/>
            </w:pPr>
            <w:r>
              <w:rPr>
                <w:rFonts w:ascii="Times New Roman" w:hAnsi="Times New Roman"/>
                <w:sz w:val="19"/>
              </w:rPr>
              <w:t>42</w:t>
            </w:r>
          </w:p>
        </w:tc>
      </w:tr>
      <w:tr>
        <w:tc>
          <w:tcPr>
            <w:tcW w:type="dxa" w:w="7488"/>
          </w:tcPr>
          <w:p>
            <w:pPr>
              <w:jc w:val="left"/>
            </w:pPr>
            <w:r>
              <w:rPr>
                <w:rFonts w:ascii="Times New Roman" w:hAnsi="Times New Roman"/>
                <w:sz w:val="19"/>
              </w:rPr>
              <w:t>Table 5.2: Non-Functional System Performance Parameters (NFR-01 to NFR-08)</w:t>
            </w:r>
          </w:p>
        </w:tc>
        <w:tc>
          <w:tcPr>
            <w:tcW w:type="dxa" w:w="1440"/>
          </w:tcPr>
          <w:p>
            <w:pPr>
              <w:jc w:val="center"/>
            </w:pPr>
            <w:r>
              <w:rPr>
                <w:rFonts w:ascii="Times New Roman" w:hAnsi="Times New Roman"/>
                <w:sz w:val="19"/>
              </w:rPr>
              <w:t>43</w:t>
            </w:r>
          </w:p>
        </w:tc>
      </w:tr>
      <w:tr>
        <w:tc>
          <w:tcPr>
            <w:tcW w:type="dxa" w:w="7488"/>
            <w:shd w:fill="F8FAFC"/>
          </w:tcPr>
          <w:p>
            <w:pPr>
              <w:jc w:val="left"/>
            </w:pPr>
            <w:r>
              <w:rPr>
                <w:rFonts w:ascii="Times New Roman" w:hAnsi="Times New Roman"/>
                <w:sz w:val="19"/>
              </w:rPr>
              <w:t>Table 6.1: Relational Database Data Dictionary and Field Constraints (3NF)</w:t>
            </w:r>
          </w:p>
        </w:tc>
        <w:tc>
          <w:tcPr>
            <w:tcW w:type="dxa" w:w="1440"/>
            <w:shd w:fill="F8FAFC"/>
          </w:tcPr>
          <w:p>
            <w:pPr>
              <w:jc w:val="center"/>
            </w:pPr>
            <w:r>
              <w:rPr>
                <w:rFonts w:ascii="Times New Roman" w:hAnsi="Times New Roman"/>
                <w:sz w:val="19"/>
              </w:rPr>
              <w:t>48</w:t>
            </w:r>
          </w:p>
        </w:tc>
      </w:tr>
      <w:tr>
        <w:tc>
          <w:tcPr>
            <w:tcW w:type="dxa" w:w="7488"/>
          </w:tcPr>
          <w:p>
            <w:pPr>
              <w:jc w:val="left"/>
            </w:pPr>
            <w:r>
              <w:rPr>
                <w:rFonts w:ascii="Times New Roman" w:hAnsi="Times New Roman"/>
                <w:sz w:val="19"/>
              </w:rPr>
              <w:t>Table 7.1: Synthetic MSME Dataset Parameters and Statistical Distributions</w:t>
            </w:r>
          </w:p>
        </w:tc>
        <w:tc>
          <w:tcPr>
            <w:tcW w:type="dxa" w:w="1440"/>
          </w:tcPr>
          <w:p>
            <w:pPr>
              <w:jc w:val="center"/>
            </w:pPr>
            <w:r>
              <w:rPr>
                <w:rFonts w:ascii="Times New Roman" w:hAnsi="Times New Roman"/>
                <w:sz w:val="19"/>
              </w:rPr>
              <w:t>52</w:t>
            </w:r>
          </w:p>
        </w:tc>
      </w:tr>
      <w:tr>
        <w:tc>
          <w:tcPr>
            <w:tcW w:type="dxa" w:w="7488"/>
            <w:shd w:fill="F8FAFC"/>
          </w:tcPr>
          <w:p>
            <w:pPr>
              <w:jc w:val="left"/>
            </w:pPr>
            <w:r>
              <w:rPr>
                <w:rFonts w:ascii="Times New Roman" w:hAnsi="Times New Roman"/>
                <w:sz w:val="19"/>
              </w:rPr>
              <w:t>Table 8.1: PyTest Automated Unit Testing Execution Matrix (7 Test Modules)</w:t>
            </w:r>
          </w:p>
        </w:tc>
        <w:tc>
          <w:tcPr>
            <w:tcW w:type="dxa" w:w="1440"/>
            <w:shd w:fill="F8FAFC"/>
          </w:tcPr>
          <w:p>
            <w:pPr>
              <w:jc w:val="center"/>
            </w:pPr>
            <w:r>
              <w:rPr>
                <w:rFonts w:ascii="Times New Roman" w:hAnsi="Times New Roman"/>
                <w:sz w:val="19"/>
              </w:rPr>
              <w:t>58</w:t>
            </w:r>
          </w:p>
        </w:tc>
      </w:tr>
      <w:tr>
        <w:tc>
          <w:tcPr>
            <w:tcW w:type="dxa" w:w="7488"/>
          </w:tcPr>
          <w:p>
            <w:pPr>
              <w:jc w:val="left"/>
            </w:pPr>
            <w:r>
              <w:rPr>
                <w:rFonts w:ascii="Times New Roman" w:hAnsi="Times New Roman"/>
                <w:sz w:val="19"/>
              </w:rPr>
              <w:t>Table 8.2: Empirical Cross-Validation Performance Comparison Across Models</w:t>
            </w:r>
          </w:p>
        </w:tc>
        <w:tc>
          <w:tcPr>
            <w:tcW w:type="dxa" w:w="1440"/>
          </w:tcPr>
          <w:p>
            <w:pPr>
              <w:jc w:val="center"/>
            </w:pPr>
            <w:r>
              <w:rPr>
                <w:rFonts w:ascii="Times New Roman" w:hAnsi="Times New Roman"/>
                <w:sz w:val="19"/>
              </w:rPr>
              <w:t>59</w:t>
            </w:r>
          </w:p>
        </w:tc>
      </w:tr>
      <w:tr>
        <w:tc>
          <w:tcPr>
            <w:tcW w:type="dxa" w:w="7488"/>
            <w:shd w:fill="F8FAFC"/>
          </w:tcPr>
          <w:p>
            <w:pPr>
              <w:jc w:val="left"/>
            </w:pPr>
            <w:r>
              <w:rPr>
                <w:rFonts w:ascii="Times New Roman" w:hAnsi="Times New Roman"/>
                <w:sz w:val="19"/>
              </w:rPr>
              <w:t>Table 8.3: Class-Wise Classification Performance on Untouched Test Set (N=300)</w:t>
            </w:r>
          </w:p>
        </w:tc>
        <w:tc>
          <w:tcPr>
            <w:tcW w:type="dxa" w:w="1440"/>
            <w:shd w:fill="F8FAFC"/>
          </w:tcPr>
          <w:p>
            <w:pPr>
              <w:jc w:val="center"/>
            </w:pPr>
            <w:r>
              <w:rPr>
                <w:rFonts w:ascii="Times New Roman" w:hAnsi="Times New Roman"/>
                <w:sz w:val="19"/>
              </w:rPr>
              <w:t>60</w:t>
            </w:r>
          </w:p>
        </w:tc>
      </w:tr>
      <w:tr>
        <w:tc>
          <w:tcPr>
            <w:tcW w:type="dxa" w:w="7488"/>
          </w:tcPr>
          <w:p>
            <w:pPr>
              <w:jc w:val="left"/>
            </w:pPr>
            <w:r>
              <w:rPr>
                <w:rFonts w:ascii="Times New Roman" w:hAnsi="Times New Roman"/>
                <w:sz w:val="19"/>
              </w:rPr>
              <w:t>Table 8.4: Stress and Latency Benchmarking Across Varying Batch Sizes</w:t>
            </w:r>
          </w:p>
        </w:tc>
        <w:tc>
          <w:tcPr>
            <w:tcW w:type="dxa" w:w="1440"/>
          </w:tcPr>
          <w:p>
            <w:pPr>
              <w:jc w:val="center"/>
            </w:pPr>
            <w:r>
              <w:rPr>
                <w:rFonts w:ascii="Times New Roman" w:hAnsi="Times New Roman"/>
                <w:sz w:val="19"/>
              </w:rPr>
              <w:t>62</w:t>
            </w:r>
          </w:p>
        </w:tc>
      </w:tr>
    </w:tbl>
    <w:p>
      <w:r>
        <w:br w:type="page"/>
      </w:r>
    </w:p>
    <w:p>
      <w:pPr>
        <w:spacing w:before="360" w:after="280" w:line="276" w:lineRule="auto"/>
        <w:jc w:val="center"/>
      </w:pPr>
      <w:r>
        <w:rPr>
          <w:rFonts w:ascii="Times New Roman" w:hAnsi="Times New Roman"/>
          <w:b/>
          <w:color w:val="000000"/>
          <w:sz w:val="32"/>
        </w:rPr>
        <w:t>NOMENCLATURE &amp; ABBREVIATIONS</w:t>
      </w:r>
    </w:p>
    <w:tbl>
      <w:tblPr>
        <w:tblW w:type="auto" w:w="0"/>
        <w:jc w:val="center"/>
        <w:tblLook w:firstColumn="1" w:firstRow="1" w:lastColumn="0" w:lastRow="0" w:noHBand="0" w:noVBand="1" w:val="04A0"/>
      </w:tblPr>
      <w:tblGrid>
        <w:gridCol w:w="4334"/>
        <w:gridCol w:w="4334"/>
      </w:tblGrid>
      <w:tr>
        <w:tc>
          <w:tcPr>
            <w:tcW w:type="dxa" w:w="2592"/>
            <w:shd w:fill="E2E8F0"/>
          </w:tcPr>
          <w:p>
            <w:pPr>
              <w:jc w:val="center"/>
            </w:pPr>
            <w:r>
              <w:rPr>
                <w:rFonts w:ascii="Times New Roman" w:hAnsi="Times New Roman"/>
                <w:b/>
                <w:sz w:val="20"/>
              </w:rPr>
              <w:t>Abbreviation</w:t>
            </w:r>
          </w:p>
        </w:tc>
        <w:tc>
          <w:tcPr>
            <w:tcW w:type="dxa" w:w="6336"/>
            <w:shd w:fill="E2E8F0"/>
          </w:tcPr>
          <w:p>
            <w:pPr>
              <w:jc w:val="center"/>
            </w:pPr>
            <w:r>
              <w:rPr>
                <w:rFonts w:ascii="Times New Roman" w:hAnsi="Times New Roman"/>
                <w:b/>
                <w:sz w:val="20"/>
              </w:rPr>
              <w:t>Definition / Description</w:t>
            </w:r>
          </w:p>
        </w:tc>
      </w:tr>
      <w:tr>
        <w:tc>
          <w:tcPr>
            <w:tcW w:type="dxa" w:w="2592"/>
          </w:tcPr>
          <w:p>
            <w:pPr>
              <w:jc w:val="left"/>
            </w:pPr>
            <w:r>
              <w:rPr>
                <w:rFonts w:ascii="Times New Roman" w:hAnsi="Times New Roman"/>
                <w:sz w:val="19"/>
              </w:rPr>
              <w:t>MSME</w:t>
            </w:r>
          </w:p>
        </w:tc>
        <w:tc>
          <w:tcPr>
            <w:tcW w:type="dxa" w:w="6336"/>
          </w:tcPr>
          <w:p>
            <w:pPr>
              <w:jc w:val="left"/>
            </w:pPr>
            <w:r>
              <w:rPr>
                <w:rFonts w:ascii="Times New Roman" w:hAnsi="Times New Roman"/>
                <w:sz w:val="19"/>
              </w:rPr>
              <w:t>Micro, Small, and Medium Enterprises</w:t>
            </w:r>
          </w:p>
        </w:tc>
      </w:tr>
      <w:tr>
        <w:tc>
          <w:tcPr>
            <w:tcW w:type="dxa" w:w="2592"/>
            <w:shd w:fill="F8FAFC"/>
          </w:tcPr>
          <w:p>
            <w:pPr>
              <w:jc w:val="left"/>
            </w:pPr>
            <w:r>
              <w:rPr>
                <w:rFonts w:ascii="Times New Roman" w:hAnsi="Times New Roman"/>
                <w:sz w:val="19"/>
              </w:rPr>
              <w:t>SHAP</w:t>
            </w:r>
          </w:p>
        </w:tc>
        <w:tc>
          <w:tcPr>
            <w:tcW w:type="dxa" w:w="6336"/>
            <w:shd w:fill="F8FAFC"/>
          </w:tcPr>
          <w:p>
            <w:pPr>
              <w:jc w:val="left"/>
            </w:pPr>
            <w:r>
              <w:rPr>
                <w:rFonts w:ascii="Times New Roman" w:hAnsi="Times New Roman"/>
                <w:sz w:val="19"/>
              </w:rPr>
              <w:t>SHapley Additive exPlanations (Cooperative Game-Theoretic Framework)</w:t>
            </w:r>
          </w:p>
        </w:tc>
      </w:tr>
      <w:tr>
        <w:tc>
          <w:tcPr>
            <w:tcW w:type="dxa" w:w="2592"/>
          </w:tcPr>
          <w:p>
            <w:pPr>
              <w:jc w:val="left"/>
            </w:pPr>
            <w:r>
              <w:rPr>
                <w:rFonts w:ascii="Times New Roman" w:hAnsi="Times New Roman"/>
                <w:sz w:val="19"/>
              </w:rPr>
              <w:t>XAI</w:t>
            </w:r>
          </w:p>
        </w:tc>
        <w:tc>
          <w:tcPr>
            <w:tcW w:type="dxa" w:w="6336"/>
          </w:tcPr>
          <w:p>
            <w:pPr>
              <w:jc w:val="left"/>
            </w:pPr>
            <w:r>
              <w:rPr>
                <w:rFonts w:ascii="Times New Roman" w:hAnsi="Times New Roman"/>
                <w:sz w:val="19"/>
              </w:rPr>
              <w:t>Explainable Artificial Intelligence</w:t>
            </w:r>
          </w:p>
        </w:tc>
      </w:tr>
      <w:tr>
        <w:tc>
          <w:tcPr>
            <w:tcW w:type="dxa" w:w="2592"/>
            <w:shd w:fill="F8FAFC"/>
          </w:tcPr>
          <w:p>
            <w:pPr>
              <w:jc w:val="left"/>
            </w:pPr>
            <w:r>
              <w:rPr>
                <w:rFonts w:ascii="Times New Roman" w:hAnsi="Times New Roman"/>
                <w:sz w:val="19"/>
              </w:rPr>
              <w:t>SMOTE</w:t>
            </w:r>
          </w:p>
        </w:tc>
        <w:tc>
          <w:tcPr>
            <w:tcW w:type="dxa" w:w="6336"/>
            <w:shd w:fill="F8FAFC"/>
          </w:tcPr>
          <w:p>
            <w:pPr>
              <w:jc w:val="left"/>
            </w:pPr>
            <w:r>
              <w:rPr>
                <w:rFonts w:ascii="Times New Roman" w:hAnsi="Times New Roman"/>
                <w:sz w:val="19"/>
              </w:rPr>
              <w:t>Synthetic Minority Over-sampling Technique</w:t>
            </w:r>
          </w:p>
        </w:tc>
      </w:tr>
      <w:tr>
        <w:tc>
          <w:tcPr>
            <w:tcW w:type="dxa" w:w="2592"/>
          </w:tcPr>
          <w:p>
            <w:pPr>
              <w:jc w:val="left"/>
            </w:pPr>
            <w:r>
              <w:rPr>
                <w:rFonts w:ascii="Times New Roman" w:hAnsi="Times New Roman"/>
                <w:sz w:val="19"/>
              </w:rPr>
              <w:t>ADASYN</w:t>
            </w:r>
          </w:p>
        </w:tc>
        <w:tc>
          <w:tcPr>
            <w:tcW w:type="dxa" w:w="6336"/>
          </w:tcPr>
          <w:p>
            <w:pPr>
              <w:jc w:val="left"/>
            </w:pPr>
            <w:r>
              <w:rPr>
                <w:rFonts w:ascii="Times New Roman" w:hAnsi="Times New Roman"/>
                <w:sz w:val="19"/>
              </w:rPr>
              <w:t>Adaptive Synthetic Sampling Approach for Imbalanced Learning</w:t>
            </w:r>
          </w:p>
        </w:tc>
      </w:tr>
      <w:tr>
        <w:tc>
          <w:tcPr>
            <w:tcW w:type="dxa" w:w="2592"/>
            <w:shd w:fill="F8FAFC"/>
          </w:tcPr>
          <w:p>
            <w:pPr>
              <w:jc w:val="left"/>
            </w:pPr>
            <w:r>
              <w:rPr>
                <w:rFonts w:ascii="Times New Roman" w:hAnsi="Times New Roman"/>
                <w:sz w:val="19"/>
              </w:rPr>
              <w:t>DTI</w:t>
            </w:r>
          </w:p>
        </w:tc>
        <w:tc>
          <w:tcPr>
            <w:tcW w:type="dxa" w:w="6336"/>
            <w:shd w:fill="F8FAFC"/>
          </w:tcPr>
          <w:p>
            <w:pPr>
              <w:jc w:val="center"/>
            </w:pPr>
            <w:r>
              <w:rPr>
                <w:rFonts w:ascii="Times New Roman" w:hAnsi="Times New Roman"/>
                <w:sz w:val="19"/>
              </w:rPr>
              <w:t>Debt-to-Income Ratio</w:t>
            </w:r>
          </w:p>
        </w:tc>
      </w:tr>
      <w:tr>
        <w:tc>
          <w:tcPr>
            <w:tcW w:type="dxa" w:w="2592"/>
          </w:tcPr>
          <w:p>
            <w:pPr>
              <w:jc w:val="left"/>
            </w:pPr>
            <w:r>
              <w:rPr>
                <w:rFonts w:ascii="Times New Roman" w:hAnsi="Times New Roman"/>
                <w:sz w:val="19"/>
              </w:rPr>
              <w:t>LTI</w:t>
            </w:r>
          </w:p>
        </w:tc>
        <w:tc>
          <w:tcPr>
            <w:tcW w:type="dxa" w:w="6336"/>
          </w:tcPr>
          <w:p>
            <w:pPr>
              <w:jc w:val="center"/>
            </w:pPr>
            <w:r>
              <w:rPr>
                <w:rFonts w:ascii="Times New Roman" w:hAnsi="Times New Roman"/>
                <w:sz w:val="19"/>
              </w:rPr>
              <w:t>Loan-to-Income Ratio</w:t>
            </w:r>
          </w:p>
        </w:tc>
      </w:tr>
      <w:tr>
        <w:tc>
          <w:tcPr>
            <w:tcW w:type="dxa" w:w="2592"/>
            <w:shd w:fill="F8FAFC"/>
          </w:tcPr>
          <w:p>
            <w:pPr>
              <w:jc w:val="left"/>
            </w:pPr>
            <w:r>
              <w:rPr>
                <w:rFonts w:ascii="Times New Roman" w:hAnsi="Times New Roman"/>
                <w:sz w:val="19"/>
              </w:rPr>
              <w:t>NPA</w:t>
            </w:r>
          </w:p>
        </w:tc>
        <w:tc>
          <w:tcPr>
            <w:tcW w:type="dxa" w:w="6336"/>
            <w:shd w:fill="F8FAFC"/>
          </w:tcPr>
          <w:p>
            <w:pPr>
              <w:jc w:val="left"/>
            </w:pPr>
            <w:r>
              <w:rPr>
                <w:rFonts w:ascii="Times New Roman" w:hAnsi="Times New Roman"/>
                <w:sz w:val="19"/>
              </w:rPr>
              <w:t>Non-Performing Asset (Defaulted Loan Facility)</w:t>
            </w:r>
          </w:p>
        </w:tc>
      </w:tr>
      <w:tr>
        <w:tc>
          <w:tcPr>
            <w:tcW w:type="dxa" w:w="2592"/>
          </w:tcPr>
          <w:p>
            <w:pPr>
              <w:jc w:val="left"/>
            </w:pPr>
            <w:r>
              <w:rPr>
                <w:rFonts w:ascii="Times New Roman" w:hAnsi="Times New Roman"/>
                <w:sz w:val="19"/>
              </w:rPr>
              <w:t>PSL</w:t>
            </w:r>
          </w:p>
        </w:tc>
        <w:tc>
          <w:tcPr>
            <w:tcW w:type="dxa" w:w="6336"/>
          </w:tcPr>
          <w:p>
            <w:pPr>
              <w:jc w:val="left"/>
            </w:pPr>
            <w:r>
              <w:rPr>
                <w:rFonts w:ascii="Times New Roman" w:hAnsi="Times New Roman"/>
                <w:sz w:val="19"/>
              </w:rPr>
              <w:t>Priority Sector Lending (Statutory Reserve Bank of India Mandate)</w:t>
            </w:r>
          </w:p>
        </w:tc>
      </w:tr>
      <w:tr>
        <w:tc>
          <w:tcPr>
            <w:tcW w:type="dxa" w:w="2592"/>
            <w:shd w:fill="F8FAFC"/>
          </w:tcPr>
          <w:p>
            <w:pPr>
              <w:jc w:val="left"/>
            </w:pPr>
            <w:r>
              <w:rPr>
                <w:rFonts w:ascii="Times New Roman" w:hAnsi="Times New Roman"/>
                <w:sz w:val="19"/>
              </w:rPr>
              <w:t>ROC-AUC</w:t>
            </w:r>
          </w:p>
        </w:tc>
        <w:tc>
          <w:tcPr>
            <w:tcW w:type="dxa" w:w="6336"/>
            <w:shd w:fill="F8FAFC"/>
          </w:tcPr>
          <w:p>
            <w:pPr>
              <w:jc w:val="left"/>
            </w:pPr>
            <w:r>
              <w:rPr>
                <w:rFonts w:ascii="Times New Roman" w:hAnsi="Times New Roman"/>
                <w:sz w:val="19"/>
              </w:rPr>
              <w:t>Receiver Operating Characteristic - Area Under the Curve</w:t>
            </w:r>
          </w:p>
        </w:tc>
      </w:tr>
      <w:tr>
        <w:tc>
          <w:tcPr>
            <w:tcW w:type="dxa" w:w="2592"/>
          </w:tcPr>
          <w:p>
            <w:pPr>
              <w:jc w:val="left"/>
            </w:pPr>
            <w:r>
              <w:rPr>
                <w:rFonts w:ascii="Times New Roman" w:hAnsi="Times New Roman"/>
                <w:sz w:val="19"/>
              </w:rPr>
              <w:t>3NF</w:t>
            </w:r>
          </w:p>
        </w:tc>
        <w:tc>
          <w:tcPr>
            <w:tcW w:type="dxa" w:w="6336"/>
          </w:tcPr>
          <w:p>
            <w:pPr>
              <w:jc w:val="left"/>
            </w:pPr>
            <w:r>
              <w:rPr>
                <w:rFonts w:ascii="Times New Roman" w:hAnsi="Times New Roman"/>
                <w:sz w:val="19"/>
              </w:rPr>
              <w:t>Third Normal Form (Relational Database Normalization Standard)</w:t>
            </w:r>
          </w:p>
        </w:tc>
      </w:tr>
      <w:tr>
        <w:tc>
          <w:tcPr>
            <w:tcW w:type="dxa" w:w="2592"/>
            <w:shd w:fill="F8FAFC"/>
          </w:tcPr>
          <w:p>
            <w:pPr>
              <w:jc w:val="left"/>
            </w:pPr>
            <w:r>
              <w:rPr>
                <w:rFonts w:ascii="Times New Roman" w:hAnsi="Times New Roman"/>
                <w:sz w:val="19"/>
              </w:rPr>
              <w:t>RBI</w:t>
            </w:r>
          </w:p>
        </w:tc>
        <w:tc>
          <w:tcPr>
            <w:tcW w:type="dxa" w:w="6336"/>
            <w:shd w:fill="F8FAFC"/>
          </w:tcPr>
          <w:p>
            <w:pPr>
              <w:jc w:val="left"/>
            </w:pPr>
            <w:r>
              <w:rPr>
                <w:rFonts w:ascii="Times New Roman" w:hAnsi="Times New Roman"/>
                <w:sz w:val="19"/>
              </w:rPr>
              <w:t>Reserve Bank of India</w:t>
            </w:r>
          </w:p>
        </w:tc>
      </w:tr>
      <w:tr>
        <w:tc>
          <w:tcPr>
            <w:tcW w:type="dxa" w:w="2592"/>
          </w:tcPr>
          <w:p>
            <w:pPr>
              <w:jc w:val="left"/>
            </w:pPr>
            <w:r>
              <w:rPr>
                <w:rFonts w:ascii="Times New Roman" w:hAnsi="Times New Roman"/>
                <w:sz w:val="19"/>
              </w:rPr>
              <w:t>IFC</w:t>
            </w:r>
          </w:p>
        </w:tc>
        <w:tc>
          <w:tcPr>
            <w:tcW w:type="dxa" w:w="6336"/>
          </w:tcPr>
          <w:p>
            <w:pPr>
              <w:jc w:val="left"/>
            </w:pPr>
            <w:r>
              <w:rPr>
                <w:rFonts w:ascii="Times New Roman" w:hAnsi="Times New Roman"/>
                <w:sz w:val="19"/>
              </w:rPr>
              <w:t>International Finance Corporation (World Bank Group)</w:t>
            </w:r>
          </w:p>
        </w:tc>
      </w:tr>
      <w:tr>
        <w:tc>
          <w:tcPr>
            <w:tcW w:type="dxa" w:w="2592"/>
            <w:shd w:fill="F8FAFC"/>
          </w:tcPr>
          <w:p>
            <w:pPr>
              <w:jc w:val="left"/>
            </w:pPr>
            <w:r>
              <w:rPr>
                <w:rFonts w:ascii="Times New Roman" w:hAnsi="Times New Roman"/>
                <w:sz w:val="19"/>
              </w:rPr>
              <w:t>ECOA</w:t>
            </w:r>
          </w:p>
        </w:tc>
        <w:tc>
          <w:tcPr>
            <w:tcW w:type="dxa" w:w="6336"/>
            <w:shd w:fill="F8FAFC"/>
          </w:tcPr>
          <w:p>
            <w:pPr>
              <w:jc w:val="left"/>
            </w:pPr>
            <w:r>
              <w:rPr>
                <w:rFonts w:ascii="Times New Roman" w:hAnsi="Times New Roman"/>
                <w:sz w:val="19"/>
              </w:rPr>
              <w:t>Equal Credit Opportunity Act (Fair Lending Regulation)</w:t>
            </w:r>
          </w:p>
        </w:tc>
      </w:tr>
      <w:tr>
        <w:tc>
          <w:tcPr>
            <w:tcW w:type="dxa" w:w="2592"/>
          </w:tcPr>
          <w:p>
            <w:pPr>
              <w:jc w:val="left"/>
            </w:pPr>
            <w:r>
              <w:rPr>
                <w:rFonts w:ascii="Times New Roman" w:hAnsi="Times New Roman"/>
                <w:sz w:val="19"/>
              </w:rPr>
              <w:t>BCBS</w:t>
            </w:r>
          </w:p>
        </w:tc>
        <w:tc>
          <w:tcPr>
            <w:tcW w:type="dxa" w:w="6336"/>
          </w:tcPr>
          <w:p>
            <w:pPr>
              <w:jc w:val="left"/>
            </w:pPr>
            <w:r>
              <w:rPr>
                <w:rFonts w:ascii="Times New Roman" w:hAnsi="Times New Roman"/>
                <w:sz w:val="19"/>
              </w:rPr>
              <w:t>Basel Committee on Banking Supervision (Basel II/III Frameworks)</w:t>
            </w:r>
          </w:p>
        </w:tc>
      </w:tr>
      <w:tr>
        <w:tc>
          <w:tcPr>
            <w:tcW w:type="dxa" w:w="2592"/>
            <w:shd w:fill="F8FAFC"/>
          </w:tcPr>
          <w:p>
            <w:pPr>
              <w:jc w:val="left"/>
            </w:pPr>
            <w:r>
              <w:rPr>
                <w:rFonts w:ascii="Times New Roman" w:hAnsi="Times New Roman"/>
                <w:sz w:val="19"/>
              </w:rPr>
              <w:t>CRUD</w:t>
            </w:r>
          </w:p>
        </w:tc>
        <w:tc>
          <w:tcPr>
            <w:tcW w:type="dxa" w:w="6336"/>
            <w:shd w:fill="F8FAFC"/>
          </w:tcPr>
          <w:p>
            <w:pPr>
              <w:jc w:val="left"/>
            </w:pPr>
            <w:r>
              <w:rPr>
                <w:rFonts w:ascii="Times New Roman" w:hAnsi="Times New Roman"/>
                <w:sz w:val="19"/>
              </w:rPr>
              <w:t>Create, Read, Update, Delete Database Operations</w:t>
            </w:r>
          </w:p>
        </w:tc>
      </w:tr>
      <w:tr>
        <w:tc>
          <w:tcPr>
            <w:tcW w:type="dxa" w:w="2592"/>
          </w:tcPr>
          <w:p>
            <w:pPr>
              <w:jc w:val="left"/>
            </w:pPr>
            <w:r>
              <w:rPr>
                <w:rFonts w:ascii="Times New Roman" w:hAnsi="Times New Roman"/>
                <w:sz w:val="19"/>
              </w:rPr>
              <w:t>JSON</w:t>
            </w:r>
          </w:p>
        </w:tc>
        <w:tc>
          <w:tcPr>
            <w:tcW w:type="dxa" w:w="6336"/>
          </w:tcPr>
          <w:p>
            <w:pPr>
              <w:jc w:val="left"/>
            </w:pPr>
            <w:r>
              <w:rPr>
                <w:rFonts w:ascii="Times New Roman" w:hAnsi="Times New Roman"/>
                <w:sz w:val="19"/>
              </w:rPr>
              <w:t>JavaScript Object Notation (Serialized Audit Format)</w:t>
            </w:r>
          </w:p>
        </w:tc>
      </w:tr>
      <w:tr>
        <w:tc>
          <w:tcPr>
            <w:tcW w:type="dxa" w:w="2592"/>
            <w:shd w:fill="F8FAFC"/>
          </w:tcPr>
          <w:p>
            <w:pPr>
              <w:jc w:val="left"/>
            </w:pPr>
            <w:r>
              <w:rPr>
                <w:rFonts w:ascii="Times New Roman" w:hAnsi="Times New Roman"/>
                <w:sz w:val="19"/>
              </w:rPr>
              <w:t>ACID</w:t>
            </w:r>
          </w:p>
        </w:tc>
        <w:tc>
          <w:tcPr>
            <w:tcW w:type="dxa" w:w="6336"/>
            <w:shd w:fill="F8FAFC"/>
          </w:tcPr>
          <w:p>
            <w:pPr>
              <w:jc w:val="left"/>
            </w:pPr>
            <w:r>
              <w:rPr>
                <w:rFonts w:ascii="Times New Roman" w:hAnsi="Times New Roman"/>
                <w:sz w:val="19"/>
              </w:rPr>
              <w:t>Atomicity, Consistency, Isolation, Durability Database Properties</w:t>
            </w:r>
          </w:p>
        </w:tc>
      </w:tr>
    </w:tbl>
    <w:p>
      <w:r>
        <w:br w:type="page"/>
      </w:r>
    </w:p>
    <w:p>
      <w:pPr>
        <w:sectPr>
          <w:footerReference w:type="default" r:id="rId10"/>
          <w:pgSz w:w="11909" w:h="16834"/>
          <w:pgMar w:top="1440" w:right="1440" w:bottom="1440" w:left="180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40" w:after="280" w:line="276" w:lineRule="auto"/>
        <w:jc w:val="center"/>
      </w:pPr>
      <w:r>
        <w:rPr>
          <w:rFonts w:ascii="Times New Roman" w:hAnsi="Times New Roman"/>
          <w:b/>
          <w:color w:val="000000"/>
          <w:sz w:val="36"/>
        </w:rPr>
        <w:t>CHAPTER 1: INTRODUCTION</w:t>
      </w:r>
    </w:p>
    <w:p>
      <w:pPr>
        <w:spacing w:before="320" w:after="120" w:line="276" w:lineRule="auto"/>
        <w:jc w:val="left"/>
      </w:pPr>
      <w:r>
        <w:rPr>
          <w:rFonts w:ascii="Times New Roman" w:hAnsi="Times New Roman"/>
          <w:b/>
          <w:color w:val="000000"/>
          <w:sz w:val="24"/>
        </w:rPr>
        <w:t>1.1 SOCIOECONOMIC DOMAIN CONTEXT &amp; MICROECONOMIC REALITY</w:t>
      </w:r>
    </w:p>
    <w:p>
      <w:pPr>
        <w:spacing w:line="360" w:lineRule="auto" w:after="120"/>
        <w:ind w:firstLine="360"/>
        <w:jc w:val="both"/>
      </w:pPr>
      <w:r>
        <w:rPr>
          <w:rFonts w:ascii="Times New Roman" w:hAnsi="Times New Roman"/>
          <w:sz w:val="24"/>
        </w:rPr>
        <w:t>Micro, Small, and Medium Enterprises (MSMEs) constitute the foundational engine of industrial vitality, innovation, and decentralized employment generation across emerging and industrialized economies alike. In the Indian macroeconomic landscape, the MSME sector encompasses an expansive network exceeding 63.38 million incorporated and unincorporated enterprises. According to official economic survey metrics from the Ministry of MSME and the Reserve Bank of India (RBI), this vibrant industrial fabric generates approximately 30% of India's nominal Gross Domestic Product (GDP), contributes over 45% of aggregate manufacturing output, and commands upwards of 48% of total merchandise export volume. Crucially, from a human capital and socioeconomic stability standpoint, the sector provides direct livelihood and gainful employment to more than 110.98 million individuals across manufacturing, retail trade, logistics, and service sectors, operating as the second-largest employer in the nation following agriculture.</w:t>
      </w:r>
    </w:p>
    <w:p>
      <w:pPr>
        <w:spacing w:line="360" w:lineRule="auto" w:after="120"/>
        <w:ind w:firstLine="360"/>
        <w:jc w:val="both"/>
      </w:pPr>
      <w:r>
        <w:rPr>
          <w:rFonts w:ascii="Times New Roman" w:hAnsi="Times New Roman"/>
          <w:sz w:val="24"/>
        </w:rPr>
        <w:t>In recognition of their systemic importance to inclusive regional industrialization, monetary and fiscal policy frameworks have long designated commercial lending to small enterprises as a core Priority Sector Lending (PSL) mandate. Under RBI regulatory guidelines, domestic commercial scheduled banks are mandated to allocate 40% of their Adjusted Net Bank Credit (ANBC) or Credit Equivalent Amount of Off-Balance Sheet Exposure (CEOBE) to priority sectors, with specific sub-targets explicitly earmarked for micro and small enterprises. Despite these stringent administrative mandates and ample aggregate liquidity within the formal banking apparatus, the flow of institutional credit to the vast majority of small commercial enterprises remains severely restricted.</w:t>
      </w:r>
    </w:p>
    <w:p>
      <w:pPr>
        <w:spacing w:before="320" w:after="120" w:line="276" w:lineRule="auto"/>
        <w:jc w:val="left"/>
      </w:pPr>
      <w:r>
        <w:rPr>
          <w:rFonts w:ascii="Times New Roman" w:hAnsi="Times New Roman"/>
          <w:b/>
          <w:color w:val="000000"/>
          <w:sz w:val="24"/>
        </w:rPr>
        <w:t>1.2 MSME CREDIT ACCESS BOTTLENECKS &amp; INFORMATION ASYMMETRY</w:t>
      </w:r>
    </w:p>
    <w:p>
      <w:pPr>
        <w:spacing w:line="360" w:lineRule="auto" w:after="120"/>
        <w:ind w:firstLine="360"/>
        <w:jc w:val="both"/>
      </w:pPr>
      <w:r>
        <w:rPr>
          <w:rFonts w:ascii="Times New Roman" w:hAnsi="Times New Roman"/>
          <w:sz w:val="24"/>
        </w:rPr>
        <w:t>Securing formal debt capital and structured working capital facilities represents an entrenched, perennial impediment for small business promoters. High-level inquiries conducted by the International Finance Corporation (IFC) of the World Bank Group and the Reserve Bank of India Expert Committee on MSMEs (chaired by U.K. Sinha) estimate the addressable formal credit deficit within India's small business sector to exceed ₹25.8 trillion (approximately $330 billion USD). This credit gap indicates that less than 16% of MSMEs possess an active commercial credit facility from formal banking channels or registered Non-Banking Financial Companies (NBFCs). The remaining 84% are compelled to rely on informal, high-cost non-institutional lenders, indigenous money brokers charging predatory annualized interest rates spanning 24% to 36%, or internally generated equity reserves that severely constrain capacity expansion.</w:t>
      </w:r>
    </w:p>
    <w:p>
      <w:pPr>
        <w:spacing w:before="240" w:after="80"/>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diag_credit_gap.png"/>
                    <pic:cNvPicPr/>
                  </pic:nvPicPr>
                  <pic:blipFill>
                    <a:blip r:embed="rId11"/>
                    <a:stretch>
                      <a:fillRect/>
                    </a:stretch>
                  </pic:blipFill>
                  <pic:spPr>
                    <a:xfrm>
                      <a:off x="0" y="0"/>
                      <a:ext cx="4572000" cy="2743200"/>
                    </a:xfrm>
                    <a:prstGeom prst="rect"/>
                  </pic:spPr>
                </pic:pic>
              </a:graphicData>
            </a:graphic>
          </wp:inline>
        </w:drawing>
      </w:r>
    </w:p>
    <w:p>
      <w:pPr>
        <w:spacing w:after="280"/>
        <w:jc w:val="center"/>
      </w:pPr>
      <w:r>
        <w:rPr>
          <w:rFonts w:ascii="Times New Roman" w:hAnsi="Times New Roman"/>
          <w:b/>
          <w:sz w:val="21"/>
        </w:rPr>
        <w:t>Figure 1.1: The MSME Credit Gap and Traditional Underwriting Funnel</w:t>
      </w:r>
    </w:p>
    <w:p>
      <w:pPr>
        <w:spacing w:line="360" w:lineRule="auto" w:after="120"/>
        <w:ind w:firstLine="360"/>
        <w:jc w:val="both"/>
      </w:pPr>
      <w:r>
        <w:rPr>
          <w:rFonts w:ascii="Times New Roman" w:hAnsi="Times New Roman"/>
          <w:sz w:val="24"/>
        </w:rPr>
        <w:t>This massive credit deficit does not stem from an unwillingness of commercial banks to deploy capital, but rather from profound structural frictions inherent in traditional commercial credit appraisal methodologies when applied to small businesses. The primary operational bottlenecks comprise:</w:t>
      </w:r>
    </w:p>
    <w:p>
      <w:pPr>
        <w:pStyle w:val="ListBullet"/>
        <w:spacing w:line="312" w:lineRule="auto" w:after="80"/>
        <w:jc w:val="both"/>
      </w:pPr>
      <w:r>
        <w:rPr>
          <w:rFonts w:ascii="Times New Roman" w:hAnsi="Times New Roman"/>
          <w:b/>
          <w:sz w:val="24"/>
        </w:rPr>
        <w:t xml:space="preserve">1. Asset Collateral Deficits and Hypothecation Hurdles: </w:t>
      </w:r>
      <w:r>
        <w:rPr>
          <w:rFonts w:ascii="Times New Roman" w:hAnsi="Times New Roman"/>
          <w:sz w:val="24"/>
        </w:rPr>
        <w:t>Conventional banking credit appraisal was historically engineered around corporate borrowing paradigms, relying on mortgageable real estate, immovable plant assets, and extensive equipment collateral. However, contemporary light manufacturing, software services, artisan aggregators, and retail traders predominantly operate from leased premises with minimal physical assets, rendering them incapable of satisfying conventional Loan-to-Value (LTV) collateral requirements.</w:t>
      </w:r>
    </w:p>
    <w:p>
      <w:pPr>
        <w:pStyle w:val="ListBullet"/>
        <w:spacing w:line="312" w:lineRule="auto" w:after="80"/>
        <w:jc w:val="both"/>
      </w:pPr>
      <w:r>
        <w:rPr>
          <w:rFonts w:ascii="Times New Roman" w:hAnsi="Times New Roman"/>
          <w:b/>
          <w:sz w:val="24"/>
        </w:rPr>
        <w:t xml:space="preserve">2. Operational Informality and Accounting Heterogeneity: </w:t>
      </w:r>
      <w:r>
        <w:rPr>
          <w:rFonts w:ascii="Times New Roman" w:hAnsi="Times New Roman"/>
          <w:sz w:val="24"/>
        </w:rPr>
        <w:t>Unlike listed corporations adhering to standardized Ind-AS double-entry accounting certified by statutory auditors, micro and small businesses maintain heterogeneous, fragmented operational ledgers. Many enterprises conduct a substantial fraction of transactions in cash or through fragmented digital wallets, resulting in official financial statements that fail to reflect the enterprise's true operational cash velocity.</w:t>
      </w:r>
    </w:p>
    <w:p>
      <w:pPr>
        <w:pStyle w:val="ListBullet"/>
        <w:spacing w:line="312" w:lineRule="auto" w:after="80"/>
        <w:jc w:val="both"/>
      </w:pPr>
      <w:r>
        <w:rPr>
          <w:rFonts w:ascii="Times New Roman" w:hAnsi="Times New Roman"/>
          <w:b/>
          <w:sz w:val="24"/>
        </w:rPr>
        <w:t xml:space="preserve">3. Backward-Looking Commercial Credit Bureaus: </w:t>
      </w:r>
      <w:r>
        <w:rPr>
          <w:rFonts w:ascii="Times New Roman" w:hAnsi="Times New Roman"/>
          <w:sz w:val="24"/>
        </w:rPr>
        <w:t>Commercial credit bureaus (such as CIBIL Commercial, CRIF High Mark, and Experian Commercial) evaluate creditworthiness strictly through historical debt repayment records. Nascent enterprises under three years of age, first-generation entrepreneurs, and newly formalized businesses suffer from 'thin credit files' or complete absence of bureau footprints, triggering automatic algorithm rejection under standard bank scorecards.</w:t>
      </w:r>
    </w:p>
    <w:p>
      <w:pPr>
        <w:pStyle w:val="ListBullet"/>
        <w:spacing w:line="312" w:lineRule="auto" w:after="80"/>
        <w:jc w:val="both"/>
      </w:pPr>
      <w:r>
        <w:rPr>
          <w:rFonts w:ascii="Times New Roman" w:hAnsi="Times New Roman"/>
          <w:b/>
          <w:sz w:val="24"/>
        </w:rPr>
        <w:t xml:space="preserve">4. Prohibitive Underwriting and Appraisal Overhead: </w:t>
      </w:r>
      <w:r>
        <w:rPr>
          <w:rFonts w:ascii="Times New Roman" w:hAnsi="Times New Roman"/>
          <w:sz w:val="24"/>
        </w:rPr>
        <w:t>Evaluating a commercial credit application traditionally requires physical branch visits, on-site inventory audits, physical ledger scrutiny, and qualitative committee deliberation. The administrative processing expense of this manual workflow is largely fixed, making small-ticket loan applications (between ₹10 Lakh and ₹50 Lakh) economically unviable for commercial banks relative to large corporate exposures.</w:t>
      </w:r>
    </w:p>
    <w:p>
      <w:pPr>
        <w:spacing w:before="320" w:after="120" w:line="276" w:lineRule="auto"/>
        <w:jc w:val="left"/>
      </w:pPr>
      <w:r>
        <w:rPr>
          <w:rFonts w:ascii="Times New Roman" w:hAnsi="Times New Roman"/>
          <w:b/>
          <w:color w:val="000000"/>
          <w:sz w:val="24"/>
        </w:rPr>
        <w:t>1.3 EVOLUTION OF CREDIT UNDERWRITING: FROM 5 CS TO AUTOMATED ML</w:t>
      </w:r>
    </w:p>
    <w:p>
      <w:pPr>
        <w:spacing w:line="360" w:lineRule="auto" w:after="120"/>
        <w:ind w:firstLine="360"/>
        <w:jc w:val="both"/>
      </w:pPr>
      <w:r>
        <w:rPr>
          <w:rFonts w:ascii="Times New Roman" w:hAnsi="Times New Roman"/>
          <w:sz w:val="24"/>
        </w:rPr>
        <w:t>To appreciate the necessity of machine learning in modern risk appraisal, it is instructive to examine the historical evolution of credit underwriting. For decades, commercial credit assessment rested upon the qualitative '5 Cs of Credit' framework: Character (reputation and integrity of the borrower), Capacity (cash flow ability to service debt), Capital (promoter equity stake), Collateral (pledged asset security), and Conditions (economic and industry environment). While philosophically sound, the operational execution of the 5 Cs was intensely subjective, highly susceptible to loan officer bias, and prone to severe cyclical inconsistency.</w:t>
      </w:r>
    </w:p>
    <w:p>
      <w:pPr>
        <w:spacing w:line="360" w:lineRule="auto" w:after="120"/>
        <w:ind w:firstLine="360"/>
        <w:jc w:val="both"/>
      </w:pPr>
      <w:r>
        <w:rPr>
          <w:rFonts w:ascii="Times New Roman" w:hAnsi="Times New Roman"/>
          <w:sz w:val="24"/>
        </w:rPr>
        <w:t>During the late 20th century, statistical credit scoring emerged through linear discriminant analysis (e.g., the Altman Z-score) and logistic regression scorecards. These models transformed qualitative inquiries into objective point-based scores. However, classical statistical scorecards rely on rigid linear and additive assumptions. They assume that risk increases monotonically with debt and decreases linearly with revenue, completely failing to capture the complex, non-linear interactions characteristic of real-world enterprise operations—such as high operating leverage amplifying seasonal sales dips, or rapid revenue expansion masking severe working capital depletion.</w:t>
      </w:r>
    </w:p>
    <w:p>
      <w:pPr>
        <w:spacing w:line="360" w:lineRule="auto" w:after="120"/>
        <w:ind w:firstLine="360"/>
        <w:jc w:val="both"/>
      </w:pPr>
      <w:r>
        <w:rPr>
          <w:rFonts w:ascii="Times New Roman" w:hAnsi="Times New Roman"/>
          <w:sz w:val="24"/>
        </w:rPr>
        <w:t>Modern machine learning offers the mathematical capacity to model multi-dimensional non-linear interactions, high-degree feature correlations, and heterogeneous operational metrics without imposing artificial distributional assumptions. By automating the extraction of non-linear financial ratios and operational relationships, machine learning transforms credit underwriting from a weeks-long manual investigation into an instantaneous, objective, data-driven analytical process.</w:t>
      </w:r>
    </w:p>
    <w:p>
      <w:pPr>
        <w:spacing w:before="320" w:after="120" w:line="276" w:lineRule="auto"/>
        <w:jc w:val="left"/>
      </w:pPr>
      <w:r>
        <w:rPr>
          <w:rFonts w:ascii="Times New Roman" w:hAnsi="Times New Roman"/>
          <w:b/>
          <w:color w:val="000000"/>
          <w:sz w:val="24"/>
        </w:rPr>
        <w:t>1.4 REGULATORY FRAMEWORK &amp; SUPERVISORY COMPLIANCE</w:t>
      </w:r>
    </w:p>
    <w:p>
      <w:pPr>
        <w:spacing w:line="360" w:lineRule="auto" w:after="120"/>
        <w:ind w:firstLine="360"/>
        <w:jc w:val="both"/>
      </w:pPr>
      <w:r>
        <w:rPr>
          <w:rFonts w:ascii="Times New Roman" w:hAnsi="Times New Roman"/>
          <w:sz w:val="24"/>
        </w:rPr>
        <w:t>While machine learning provides unprecedented predictive precision, deploying automated decision systems in commercial finance is strictly bounded by statutory financial regulations. In the international banking context, the Basel Committee on Banking Supervision (BCBS) under the Basel II and Basel III frameworks establishes rigorous criteria for Internal Ratings-Based (IRB) credit assessment systems. Key regulatory mandates include:</w:t>
      </w:r>
    </w:p>
    <w:p>
      <w:pPr>
        <w:pStyle w:val="ListBullet"/>
        <w:spacing w:line="312" w:lineRule="auto" w:after="80"/>
        <w:jc w:val="both"/>
      </w:pPr>
      <w:r>
        <w:rPr>
          <w:rFonts w:ascii="Times New Roman" w:hAnsi="Times New Roman"/>
          <w:b/>
          <w:sz w:val="24"/>
        </w:rPr>
        <w:t xml:space="preserve">• Minimum Capital Adequacy and Risk Calibration: </w:t>
      </w:r>
      <w:r>
        <w:rPr>
          <w:rFonts w:ascii="Times New Roman" w:hAnsi="Times New Roman"/>
          <w:sz w:val="24"/>
        </w:rPr>
        <w:t>Banks must demonstrate that their internal credit risk models output calibrated default probabilities that accurately reflect empirical default frequencies across distinct economic cycles.</w:t>
      </w:r>
    </w:p>
    <w:p>
      <w:pPr>
        <w:pStyle w:val="ListBullet"/>
        <w:spacing w:line="312" w:lineRule="auto" w:after="80"/>
        <w:jc w:val="both"/>
      </w:pPr>
      <w:r>
        <w:rPr>
          <w:rFonts w:ascii="Times New Roman" w:hAnsi="Times New Roman"/>
          <w:b/>
          <w:sz w:val="24"/>
        </w:rPr>
        <w:t xml:space="preserve">• Prohibition of Arbitrary Black-Box Discrimination: </w:t>
      </w:r>
      <w:r>
        <w:rPr>
          <w:rFonts w:ascii="Times New Roman" w:hAnsi="Times New Roman"/>
          <w:sz w:val="24"/>
        </w:rPr>
        <w:t>Under the Equal Credit Opportunity Act (ECOA) and the Reserve Bank of India's Fair Lending Practices Code, credit providers are legally prohibited from rejecting loan applicants based on opaque, inexplicable algorithmic outputs. Financial institutions must provide specific, legitimate, and actionable reasons for adverse credit decisions (Adverse Action Notices).</w:t>
      </w:r>
    </w:p>
    <w:p>
      <w:pPr>
        <w:pStyle w:val="ListBullet"/>
        <w:spacing w:line="312" w:lineRule="auto" w:after="80"/>
        <w:jc w:val="both"/>
      </w:pPr>
      <w:r>
        <w:rPr>
          <w:rFonts w:ascii="Times New Roman" w:hAnsi="Times New Roman"/>
          <w:b/>
          <w:sz w:val="24"/>
        </w:rPr>
        <w:t xml:space="preserve">• Audit Traceability and Model Governance: </w:t>
      </w:r>
      <w:r>
        <w:rPr>
          <w:rFonts w:ascii="Times New Roman" w:hAnsi="Times New Roman"/>
          <w:sz w:val="24"/>
        </w:rPr>
        <w:t>Every credit risk score and automated recommendation must be fully auditable by internal risk management committees and external supervisory inspectors. The underwriting system must log the exact input feature state, model version, and mathematical contribution of each variable to prevent algorithmic drift and regulatory non-compliance.</w:t>
      </w:r>
    </w:p>
    <w:p>
      <w:pPr>
        <w:spacing w:before="320" w:after="120" w:line="276" w:lineRule="auto"/>
        <w:jc w:val="left"/>
      </w:pPr>
      <w:r>
        <w:rPr>
          <w:rFonts w:ascii="Times New Roman" w:hAnsi="Times New Roman"/>
          <w:b/>
          <w:color w:val="000000"/>
          <w:sz w:val="24"/>
        </w:rPr>
        <w:t>1.5 EXISTING WORK &amp; COMPARATIVE EVALUATION REVIEW</w:t>
      </w:r>
    </w:p>
    <w:p>
      <w:pPr>
        <w:spacing w:line="360" w:lineRule="auto" w:after="120"/>
        <w:ind w:firstLine="360"/>
        <w:jc w:val="both"/>
      </w:pPr>
      <w:r>
        <w:rPr>
          <w:rFonts w:ascii="Times New Roman" w:hAnsi="Times New Roman"/>
          <w:sz w:val="24"/>
        </w:rPr>
        <w:t>Contemporary commercial fintech solutions and academic proposals have attempted to automate credit scoring with varying degrees of success. However, existing implementations exhibit critical structural and philosophical deficiencies. Commercial bureau scorecards (e.g., CIBIL TransUnion scorecards) operate as proprietary, unexplainable black boxes that provide only a single static three-digit number. When an MSME application is declined, the enterprise receives zero mathematical justification regarding which operational metrics triggered the refusal.</w:t>
      </w:r>
    </w:p>
    <w:p>
      <w:pPr>
        <w:spacing w:line="360" w:lineRule="auto" w:after="120"/>
        <w:ind w:firstLine="360"/>
        <w:jc w:val="both"/>
      </w:pPr>
      <w:r>
        <w:rPr>
          <w:rFonts w:ascii="Times New Roman" w:hAnsi="Times New Roman"/>
          <w:sz w:val="24"/>
        </w:rPr>
        <w:t>Conversely, academic machine learning literature has largely treated credit scoring as an isolated academic benchmark. Researchers frequently optimize pure classification accuracy or Area Under the ROC Curve (ROC-AUC) using complex gradient-boosted ensembles or deep neural networks without addressing the regulatory requirement for local explainability. Furthermore, existing systems operate on a 'terminal rejection' paradigm: if an applicant falls below the acceptance threshold, the software provides no mechanism to explore what operational adjustments (such as retiring specific debts or improving monthly margins) would be necessary to attain creditworthiness.</w:t>
      </w:r>
    </w:p>
    <w:p>
      <w:pPr>
        <w:spacing w:line="360" w:lineRule="auto" w:after="120"/>
        <w:ind w:firstLine="360"/>
        <w:jc w:val="both"/>
      </w:pPr>
      <w:r>
        <w:rPr>
          <w:rFonts w:ascii="Times New Roman" w:hAnsi="Times New Roman"/>
          <w:sz w:val="24"/>
        </w:rPr>
        <w:t>Table 1.1 provides a detailed comparative evaluation contrasting traditional manual underwriting, contemporary automated commercial credit bureaus, and the proposed AI-Based MSME Credit Risk Assistant platform across essential operational and regulatory dimensions:</w:t>
      </w:r>
    </w:p>
    <w:tbl>
      <w:tblPr>
        <w:tblW w:type="auto" w:w="0"/>
        <w:jc w:val="center"/>
        <w:tblLook w:firstColumn="1" w:firstRow="1" w:lastColumn="0" w:lastRow="0" w:noHBand="0" w:noVBand="1" w:val="04A0"/>
      </w:tblPr>
      <w:tblGrid>
        <w:gridCol w:w="2167"/>
        <w:gridCol w:w="2167"/>
        <w:gridCol w:w="2167"/>
        <w:gridCol w:w="2167"/>
      </w:tblGrid>
      <w:tr>
        <w:tc>
          <w:tcPr>
            <w:tcW w:type="dxa" w:w="2016"/>
            <w:shd w:fill="E2E8F0"/>
          </w:tcPr>
          <w:p>
            <w:pPr>
              <w:jc w:val="center"/>
            </w:pPr>
            <w:r>
              <w:rPr>
                <w:rFonts w:ascii="Times New Roman" w:hAnsi="Times New Roman"/>
                <w:b/>
                <w:sz w:val="20"/>
              </w:rPr>
              <w:t>Evaluation Dimension</w:t>
            </w:r>
          </w:p>
        </w:tc>
        <w:tc>
          <w:tcPr>
            <w:tcW w:type="dxa" w:w="2592"/>
            <w:shd w:fill="E2E8F0"/>
          </w:tcPr>
          <w:p>
            <w:pPr>
              <w:jc w:val="center"/>
            </w:pPr>
            <w:r>
              <w:rPr>
                <w:rFonts w:ascii="Times New Roman" w:hAnsi="Times New Roman"/>
                <w:b/>
                <w:sz w:val="20"/>
              </w:rPr>
              <w:t>Traditional Underwriting</w:t>
            </w:r>
          </w:p>
        </w:tc>
        <w:tc>
          <w:tcPr>
            <w:tcW w:type="dxa" w:w="2592"/>
            <w:shd w:fill="E2E8F0"/>
          </w:tcPr>
          <w:p>
            <w:pPr>
              <w:jc w:val="center"/>
            </w:pPr>
            <w:r>
              <w:rPr>
                <w:rFonts w:ascii="Times New Roman" w:hAnsi="Times New Roman"/>
                <w:b/>
                <w:sz w:val="20"/>
              </w:rPr>
              <w:t>Commercial Bureau Scoring</w:t>
            </w:r>
          </w:p>
        </w:tc>
        <w:tc>
          <w:tcPr>
            <w:tcW w:type="dxa" w:w="2592"/>
            <w:shd w:fill="E2E8F0"/>
          </w:tcPr>
          <w:p>
            <w:pPr>
              <w:jc w:val="center"/>
            </w:pPr>
            <w:r>
              <w:rPr>
                <w:rFonts w:ascii="Times New Roman" w:hAnsi="Times New Roman"/>
                <w:b/>
                <w:sz w:val="20"/>
              </w:rPr>
              <w:t>Proposed AI System</w:t>
            </w:r>
          </w:p>
        </w:tc>
      </w:tr>
      <w:tr>
        <w:tc>
          <w:tcPr>
            <w:tcW w:type="dxa" w:w="2016"/>
          </w:tcPr>
          <w:p>
            <w:pPr>
              <w:jc w:val="left"/>
            </w:pPr>
            <w:r>
              <w:rPr>
                <w:rFonts w:ascii="Times New Roman" w:hAnsi="Times New Roman"/>
                <w:sz w:val="19"/>
              </w:rPr>
              <w:t>Appraisal Mechanism</w:t>
            </w:r>
          </w:p>
        </w:tc>
        <w:tc>
          <w:tcPr>
            <w:tcW w:type="dxa" w:w="2592"/>
          </w:tcPr>
          <w:p>
            <w:pPr>
              <w:jc w:val="left"/>
            </w:pPr>
            <w:r>
              <w:rPr>
                <w:rFonts w:ascii="Times New Roman" w:hAnsi="Times New Roman"/>
                <w:sz w:val="19"/>
              </w:rPr>
              <w:t>Manual verification, physical visits, qualitative committee review</w:t>
            </w:r>
          </w:p>
        </w:tc>
        <w:tc>
          <w:tcPr>
            <w:tcW w:type="dxa" w:w="2592"/>
          </w:tcPr>
          <w:p>
            <w:pPr>
              <w:jc w:val="left"/>
            </w:pPr>
            <w:r>
              <w:rPr>
                <w:rFonts w:ascii="Times New Roman" w:hAnsi="Times New Roman"/>
                <w:sz w:val="19"/>
              </w:rPr>
              <w:t>Statistical logistic scorecard on credit history files</w:t>
            </w:r>
          </w:p>
        </w:tc>
        <w:tc>
          <w:tcPr>
            <w:tcW w:type="dxa" w:w="2592"/>
          </w:tcPr>
          <w:p>
            <w:pPr>
              <w:jc w:val="left"/>
            </w:pPr>
            <w:r>
              <w:rPr>
                <w:rFonts w:ascii="Times New Roman" w:hAnsi="Times New Roman"/>
                <w:sz w:val="19"/>
              </w:rPr>
              <w:t>Calibrated multi-class ML pipeline &amp; automated ratio engineering</w:t>
            </w:r>
          </w:p>
        </w:tc>
      </w:tr>
      <w:tr>
        <w:tc>
          <w:tcPr>
            <w:tcW w:type="dxa" w:w="2016"/>
            <w:shd w:fill="F8FAFC"/>
          </w:tcPr>
          <w:p>
            <w:pPr>
              <w:jc w:val="left"/>
            </w:pPr>
            <w:r>
              <w:rPr>
                <w:rFonts w:ascii="Times New Roman" w:hAnsi="Times New Roman"/>
                <w:sz w:val="19"/>
              </w:rPr>
              <w:t>Turnaround Latency</w:t>
            </w:r>
          </w:p>
        </w:tc>
        <w:tc>
          <w:tcPr>
            <w:tcW w:type="dxa" w:w="2592"/>
            <w:shd w:fill="F8FAFC"/>
          </w:tcPr>
          <w:p>
            <w:pPr>
              <w:jc w:val="left"/>
            </w:pPr>
            <w:r>
              <w:rPr>
                <w:rFonts w:ascii="Times New Roman" w:hAnsi="Times New Roman"/>
                <w:sz w:val="19"/>
              </w:rPr>
              <w:t>2 to 4 weeks per enterprise application</w:t>
            </w:r>
          </w:p>
        </w:tc>
        <w:tc>
          <w:tcPr>
            <w:tcW w:type="dxa" w:w="2592"/>
            <w:shd w:fill="F8FAFC"/>
          </w:tcPr>
          <w:p>
            <w:pPr>
              <w:jc w:val="left"/>
            </w:pPr>
            <w:r>
              <w:rPr>
                <w:rFonts w:ascii="Times New Roman" w:hAnsi="Times New Roman"/>
                <w:sz w:val="19"/>
              </w:rPr>
              <w:t>Several minutes to hours for bureau pull</w:t>
            </w:r>
          </w:p>
        </w:tc>
        <w:tc>
          <w:tcPr>
            <w:tcW w:type="dxa" w:w="2592"/>
            <w:shd w:fill="F8FAFC"/>
          </w:tcPr>
          <w:p>
            <w:pPr>
              <w:jc w:val="left"/>
            </w:pPr>
            <w:r>
              <w:rPr>
                <w:rFonts w:ascii="Times New Roman" w:hAnsi="Times New Roman"/>
                <w:sz w:val="19"/>
              </w:rPr>
              <w:t>Sub-second real-time inference (&lt; 500 ms)</w:t>
            </w:r>
          </w:p>
        </w:tc>
      </w:tr>
      <w:tr>
        <w:tc>
          <w:tcPr>
            <w:tcW w:type="dxa" w:w="2016"/>
          </w:tcPr>
          <w:p>
            <w:pPr>
              <w:jc w:val="left"/>
            </w:pPr>
            <w:r>
              <w:rPr>
                <w:rFonts w:ascii="Times New Roman" w:hAnsi="Times New Roman"/>
                <w:sz w:val="19"/>
              </w:rPr>
              <w:t>Explainability Level</w:t>
            </w:r>
          </w:p>
        </w:tc>
        <w:tc>
          <w:tcPr>
            <w:tcW w:type="dxa" w:w="2592"/>
          </w:tcPr>
          <w:p>
            <w:pPr>
              <w:jc w:val="left"/>
            </w:pPr>
            <w:r>
              <w:rPr>
                <w:rFonts w:ascii="Times New Roman" w:hAnsi="Times New Roman"/>
                <w:sz w:val="19"/>
              </w:rPr>
              <w:t>Subjective loan officer notes; unquantified feedback</w:t>
            </w:r>
          </w:p>
        </w:tc>
        <w:tc>
          <w:tcPr>
            <w:tcW w:type="dxa" w:w="2592"/>
          </w:tcPr>
          <w:p>
            <w:pPr>
              <w:jc w:val="left"/>
            </w:pPr>
            <w:r>
              <w:rPr>
                <w:rFonts w:ascii="Times New Roman" w:hAnsi="Times New Roman"/>
                <w:sz w:val="19"/>
              </w:rPr>
              <w:t>Generic bureau rejection codes; opaque calculation</w:t>
            </w:r>
          </w:p>
        </w:tc>
        <w:tc>
          <w:tcPr>
            <w:tcW w:type="dxa" w:w="2592"/>
          </w:tcPr>
          <w:p>
            <w:pPr>
              <w:jc w:val="left"/>
            </w:pPr>
            <w:r>
              <w:rPr>
                <w:rFonts w:ascii="Times New Roman" w:hAnsi="Times New Roman"/>
                <w:sz w:val="19"/>
              </w:rPr>
              <w:t>Game-theoretic SHAP local &amp; global directional attribution</w:t>
            </w:r>
          </w:p>
        </w:tc>
      </w:tr>
      <w:tr>
        <w:tc>
          <w:tcPr>
            <w:tcW w:type="dxa" w:w="2016"/>
            <w:shd w:fill="F8FAFC"/>
          </w:tcPr>
          <w:p>
            <w:pPr>
              <w:jc w:val="left"/>
            </w:pPr>
            <w:r>
              <w:rPr>
                <w:rFonts w:ascii="Times New Roman" w:hAnsi="Times New Roman"/>
                <w:sz w:val="19"/>
              </w:rPr>
              <w:t>Class Imbalance Handling</w:t>
            </w:r>
          </w:p>
        </w:tc>
        <w:tc>
          <w:tcPr>
            <w:tcW w:type="dxa" w:w="2592"/>
            <w:shd w:fill="F8FAFC"/>
          </w:tcPr>
          <w:p>
            <w:pPr>
              <w:jc w:val="left"/>
            </w:pPr>
            <w:r>
              <w:rPr>
                <w:rFonts w:ascii="Times New Roman" w:hAnsi="Times New Roman"/>
                <w:sz w:val="19"/>
              </w:rPr>
              <w:t>Ad-hoc; manual default penalty imposition</w:t>
            </w:r>
          </w:p>
        </w:tc>
        <w:tc>
          <w:tcPr>
            <w:tcW w:type="dxa" w:w="2592"/>
            <w:shd w:fill="F8FAFC"/>
          </w:tcPr>
          <w:p>
            <w:pPr>
              <w:jc w:val="left"/>
            </w:pPr>
            <w:r>
              <w:rPr>
                <w:rFonts w:ascii="Times New Roman" w:hAnsi="Times New Roman"/>
                <w:sz w:val="19"/>
              </w:rPr>
              <w:t>Ignored or fixed threshold shifts</w:t>
            </w:r>
          </w:p>
        </w:tc>
        <w:tc>
          <w:tcPr>
            <w:tcW w:type="dxa" w:w="2592"/>
            <w:shd w:fill="F8FAFC"/>
          </w:tcPr>
          <w:p>
            <w:pPr>
              <w:jc w:val="left"/>
            </w:pPr>
            <w:r>
              <w:rPr>
                <w:rFonts w:ascii="Times New Roman" w:hAnsi="Times New Roman"/>
                <w:sz w:val="19"/>
              </w:rPr>
              <w:t>SMOTE / ADASYN resampling evaluated strictly inside CV</w:t>
            </w:r>
          </w:p>
        </w:tc>
      </w:tr>
      <w:tr>
        <w:tc>
          <w:tcPr>
            <w:tcW w:type="dxa" w:w="2016"/>
          </w:tcPr>
          <w:p>
            <w:pPr>
              <w:jc w:val="left"/>
            </w:pPr>
            <w:r>
              <w:rPr>
                <w:rFonts w:ascii="Times New Roman" w:hAnsi="Times New Roman"/>
                <w:sz w:val="19"/>
              </w:rPr>
              <w:t>Financial Health Index</w:t>
            </w:r>
          </w:p>
        </w:tc>
        <w:tc>
          <w:tcPr>
            <w:tcW w:type="dxa" w:w="2592"/>
          </w:tcPr>
          <w:p>
            <w:pPr>
              <w:jc w:val="left"/>
            </w:pPr>
            <w:r>
              <w:rPr>
                <w:rFonts w:ascii="Times New Roman" w:hAnsi="Times New Roman"/>
                <w:sz w:val="19"/>
              </w:rPr>
              <w:t>Binary approval/decline; no independent score</w:t>
            </w:r>
          </w:p>
        </w:tc>
        <w:tc>
          <w:tcPr>
            <w:tcW w:type="dxa" w:w="2592"/>
          </w:tcPr>
          <w:p>
            <w:pPr>
              <w:jc w:val="left"/>
            </w:pPr>
            <w:r>
              <w:rPr>
                <w:rFonts w:ascii="Times New Roman" w:hAnsi="Times New Roman"/>
                <w:sz w:val="19"/>
              </w:rPr>
              <w:t>Single numeric credit bureau score (300-900)</w:t>
            </w:r>
          </w:p>
        </w:tc>
        <w:tc>
          <w:tcPr>
            <w:tcW w:type="dxa" w:w="2592"/>
          </w:tcPr>
          <w:p>
            <w:pPr>
              <w:jc w:val="left"/>
            </w:pPr>
            <w:r>
              <w:rPr>
                <w:rFonts w:ascii="Times New Roman" w:hAnsi="Times New Roman"/>
                <w:sz w:val="19"/>
              </w:rPr>
              <w:t>Decoupled deterministic 5-Pillar Financial Health Index (0-100)</w:t>
            </w:r>
          </w:p>
        </w:tc>
      </w:tr>
      <w:tr>
        <w:tc>
          <w:tcPr>
            <w:tcW w:type="dxa" w:w="2016"/>
            <w:shd w:fill="F8FAFC"/>
          </w:tcPr>
          <w:p>
            <w:pPr>
              <w:jc w:val="left"/>
            </w:pPr>
            <w:r>
              <w:rPr>
                <w:rFonts w:ascii="Times New Roman" w:hAnsi="Times New Roman"/>
                <w:sz w:val="19"/>
              </w:rPr>
              <w:t>Remediation Engine</w:t>
            </w:r>
          </w:p>
        </w:tc>
        <w:tc>
          <w:tcPr>
            <w:tcW w:type="dxa" w:w="2592"/>
            <w:shd w:fill="F8FAFC"/>
          </w:tcPr>
          <w:p>
            <w:pPr>
              <w:jc w:val="left"/>
            </w:pPr>
            <w:r>
              <w:rPr>
                <w:rFonts w:ascii="Times New Roman" w:hAnsi="Times New Roman"/>
                <w:sz w:val="19"/>
              </w:rPr>
              <w:t>None; static terminal rejection</w:t>
            </w:r>
          </w:p>
        </w:tc>
        <w:tc>
          <w:tcPr>
            <w:tcW w:type="dxa" w:w="2592"/>
            <w:shd w:fill="F8FAFC"/>
          </w:tcPr>
          <w:p>
            <w:pPr>
              <w:jc w:val="left"/>
            </w:pPr>
            <w:r>
              <w:rPr>
                <w:rFonts w:ascii="Times New Roman" w:hAnsi="Times New Roman"/>
                <w:sz w:val="19"/>
              </w:rPr>
              <w:t>None; static refusal notice</w:t>
            </w:r>
          </w:p>
        </w:tc>
        <w:tc>
          <w:tcPr>
            <w:tcW w:type="dxa" w:w="2592"/>
            <w:shd w:fill="F8FAFC"/>
          </w:tcPr>
          <w:p>
            <w:pPr>
              <w:jc w:val="left"/>
            </w:pPr>
            <w:r>
              <w:rPr>
                <w:rFonts w:ascii="Times New Roman" w:hAnsi="Times New Roman"/>
                <w:sz w:val="19"/>
              </w:rPr>
              <w:t>Interactive real-time counterfactual What-If scenario engine</w:t>
            </w:r>
          </w:p>
        </w:tc>
      </w:tr>
      <w:tr>
        <w:tc>
          <w:tcPr>
            <w:tcW w:type="dxa" w:w="2016"/>
          </w:tcPr>
          <w:p>
            <w:pPr>
              <w:jc w:val="left"/>
            </w:pPr>
            <w:r>
              <w:rPr>
                <w:rFonts w:ascii="Times New Roman" w:hAnsi="Times New Roman"/>
                <w:sz w:val="19"/>
              </w:rPr>
              <w:t>Data Persistence &amp; Audit</w:t>
            </w:r>
          </w:p>
        </w:tc>
        <w:tc>
          <w:tcPr>
            <w:tcW w:type="dxa" w:w="2592"/>
          </w:tcPr>
          <w:p>
            <w:pPr>
              <w:jc w:val="left"/>
            </w:pPr>
            <w:r>
              <w:rPr>
                <w:rFonts w:ascii="Times New Roman" w:hAnsi="Times New Roman"/>
                <w:sz w:val="19"/>
              </w:rPr>
              <w:t>Physical paper loan jackets; decentralized folders</w:t>
            </w:r>
          </w:p>
        </w:tc>
        <w:tc>
          <w:tcPr>
            <w:tcW w:type="dxa" w:w="2592"/>
          </w:tcPr>
          <w:p>
            <w:pPr>
              <w:jc w:val="left"/>
            </w:pPr>
            <w:r>
              <w:rPr>
                <w:rFonts w:ascii="Times New Roman" w:hAnsi="Times New Roman"/>
                <w:sz w:val="19"/>
              </w:rPr>
              <w:t>Proprietary bureau database; closed to borrower</w:t>
            </w:r>
          </w:p>
        </w:tc>
        <w:tc>
          <w:tcPr>
            <w:tcW w:type="dxa" w:w="2592"/>
          </w:tcPr>
          <w:p>
            <w:pPr>
              <w:jc w:val="left"/>
            </w:pPr>
            <w:r>
              <w:rPr>
                <w:rFonts w:ascii="Times New Roman" w:hAnsi="Times New Roman"/>
                <w:sz w:val="19"/>
              </w:rPr>
              <w:t>ACID-compliant SQLite relational store (3NF) &amp; ReportLab PDF</w:t>
            </w:r>
          </w:p>
        </w:tc>
      </w:tr>
    </w:tbl>
    <w:p>
      <w:pPr>
        <w:spacing w:before="320" w:after="120" w:line="276" w:lineRule="auto"/>
        <w:jc w:val="left"/>
      </w:pPr>
      <w:r>
        <w:rPr>
          <w:rFonts w:ascii="Times New Roman" w:hAnsi="Times New Roman"/>
          <w:b/>
          <w:color w:val="000000"/>
          <w:sz w:val="24"/>
        </w:rPr>
        <w:t>1.6 MOTIVATION &amp; PHILOSOPHICAL UNDERPINNINGS</w:t>
      </w:r>
    </w:p>
    <w:p>
      <w:pPr>
        <w:spacing w:line="360" w:lineRule="auto" w:after="120"/>
        <w:ind w:firstLine="360"/>
        <w:jc w:val="both"/>
      </w:pPr>
      <w:r>
        <w:rPr>
          <w:rFonts w:ascii="Times New Roman" w:hAnsi="Times New Roman"/>
          <w:sz w:val="24"/>
        </w:rPr>
        <w:t>The fundamental motivation driving this research project is the philosophical conviction that artificial intelligence should serve as an empowering, transparent, diagnostic decision-support instrument rather than an opaque, gatekeeping barrier. In traditional banking, an adverse credit decision is terminal, leaving the small business owner confused, alienated, and economically paralyzed. By synthesizing advanced machine learning classification with cooperative game theory (SHAP) and counterfactual optimization, it is possible to transform the credit assessment experience entirely.</w:t>
      </w:r>
    </w:p>
    <w:p>
      <w:pPr>
        <w:spacing w:line="360" w:lineRule="auto" w:after="120"/>
        <w:ind w:firstLine="360"/>
        <w:jc w:val="both"/>
      </w:pPr>
      <w:r>
        <w:rPr>
          <w:rFonts w:ascii="Times New Roman" w:hAnsi="Times New Roman"/>
          <w:sz w:val="24"/>
        </w:rPr>
        <w:t>Instead of merely saying 'Loan Rejected', the proposed system provides an institutional-grade diagnostic roadmap: it explains mathematically which financial ratios drove the classification, quantifies the enterprise's operational vitality across 5 independent pillars of financial health, and empowers the borrower and loan officer to interactively model counterfactual interventions—such as determining exactly how much debt must be retired or how much turnover must expand to transition from HIGH risk to creditworthy status.</w:t>
      </w:r>
    </w:p>
    <w:p>
      <w:pPr>
        <w:spacing w:before="320" w:after="120" w:line="276" w:lineRule="auto"/>
        <w:jc w:val="left"/>
      </w:pPr>
      <w:r>
        <w:rPr>
          <w:rFonts w:ascii="Times New Roman" w:hAnsi="Times New Roman"/>
          <w:b/>
          <w:color w:val="000000"/>
          <w:sz w:val="24"/>
        </w:rPr>
        <w:t>1.7 FORMAL PROBLEM STATEMENT</w:t>
      </w:r>
    </w:p>
    <w:p>
      <w:pPr>
        <w:spacing w:line="360" w:lineRule="auto" w:after="120"/>
        <w:ind w:firstLine="360"/>
        <w:jc w:val="both"/>
      </w:pPr>
      <w:r>
        <w:rPr>
          <w:rFonts w:ascii="Times New Roman" w:hAnsi="Times New Roman"/>
          <w:sz w:val="24"/>
        </w:rPr>
        <w:t>Commercial credit appraisal for Micro, Small, and Medium Enterprises (MSMEs) is characterized by severe operational friction, subjective underwriter bias, high default class imbalance, and a pervasive lack of algorithmic interpretability. Existing automated scoring systems fail to bridge the operational gap between multi-class predictive classification, local feature attribution, and actionable financial remediation.</w:t>
      </w:r>
    </w:p>
    <w:p>
      <w:pPr>
        <w:spacing w:line="360" w:lineRule="auto" w:after="120"/>
        <w:ind w:firstLine="360"/>
        <w:jc w:val="both"/>
      </w:pPr>
      <w:r>
        <w:rPr>
          <w:rFonts w:ascii="Times New Roman" w:hAnsi="Times New Roman"/>
          <w:sz w:val="24"/>
        </w:rPr>
        <w:t>The core problem addressed by this dissertation is the conceptualization, mathematical formulation, software engineering, and empirical validation of an end-to-end, zero-leakage, explainable artificial intelligence decision-support platform. The software must be capable of ingesting operational accounting metrics, deriving standardized financial health ratios, accurately classifying enterprise default risk into LOW, MEDIUM, or HIGH risk categories, explaining individual risk drivers through game-theoretic Shapley values, calculating an independent deterministic financial health score, and providing real-time counterfactual simulation capabilities without requiring model retraining.</w:t>
      </w:r>
    </w:p>
    <w:p>
      <w:pPr>
        <w:spacing w:before="320" w:after="120" w:line="276" w:lineRule="auto"/>
        <w:jc w:val="left"/>
      </w:pPr>
      <w:r>
        <w:rPr>
          <w:rFonts w:ascii="Times New Roman" w:hAnsi="Times New Roman"/>
          <w:b/>
          <w:color w:val="000000"/>
          <w:sz w:val="24"/>
        </w:rPr>
        <w:t>1.8 AIM &amp; MEASURABLE OBJECTIVES</w:t>
      </w:r>
    </w:p>
    <w:p>
      <w:pPr>
        <w:spacing w:line="360" w:lineRule="auto" w:after="120"/>
        <w:ind w:firstLine="360"/>
        <w:jc w:val="both"/>
      </w:pPr>
      <w:r>
        <w:rPr>
          <w:rFonts w:ascii="Times New Roman" w:hAnsi="Times New Roman"/>
          <w:sz w:val="24"/>
        </w:rPr>
        <w:t>The overarching aim of this project is to develop and validate an explainable, data-driven machine learning decision-support software platform tailored for MSME credit risk classification, diagnostic interpretation, and scenario simulation. To realize this aim, the project pursues six specific, measurable, and verifiable engineering objectives:</w:t>
      </w:r>
    </w:p>
    <w:p>
      <w:pPr>
        <w:pStyle w:val="ListBullet"/>
        <w:spacing w:line="312" w:lineRule="auto" w:after="80"/>
        <w:jc w:val="both"/>
      </w:pPr>
      <w:r>
        <w:rPr>
          <w:rFonts w:ascii="Times New Roman" w:hAnsi="Times New Roman"/>
          <w:b/>
          <w:sz w:val="24"/>
        </w:rPr>
        <w:t xml:space="preserve">Objective 1: Formulate Domain-Specific Financial Indicators: </w:t>
      </w:r>
      <w:r>
        <w:rPr>
          <w:rFonts w:ascii="Times New Roman" w:hAnsi="Times New Roman"/>
          <w:sz w:val="24"/>
        </w:rPr>
        <w:t>Design and implement robust feature engineering transformers to compute Debt-to-Income (DTI), Operating Profit Margin, Loan-to-Income (LTI), Cash Flow Coverage, and Debt Ratios with rigorous zero-division boundary safeguards.</w:t>
      </w:r>
    </w:p>
    <w:p>
      <w:pPr>
        <w:pStyle w:val="ListBullet"/>
        <w:spacing w:line="312" w:lineRule="auto" w:after="80"/>
        <w:jc w:val="both"/>
      </w:pPr>
      <w:r>
        <w:rPr>
          <w:rFonts w:ascii="Times New Roman" w:hAnsi="Times New Roman"/>
          <w:b/>
          <w:sz w:val="24"/>
        </w:rPr>
        <w:t xml:space="preserve">Objective 2: Enforce Zero-Leakage Preprocessing &amp; Resampling Protocols: </w:t>
      </w:r>
      <w:r>
        <w:rPr>
          <w:rFonts w:ascii="Times New Roman" w:hAnsi="Times New Roman"/>
          <w:sz w:val="24"/>
        </w:rPr>
        <w:t>Construct an automated Scikit-Learn ColumnTransformer pipeline and integrate SMOTE and ADASYN synthetic oversampling strictly within Stratified K-Fold cross-validation loops to guarantee zero optimistic data leakage.</w:t>
      </w:r>
    </w:p>
    <w:p>
      <w:pPr>
        <w:pStyle w:val="ListBullet"/>
        <w:spacing w:line="312" w:lineRule="auto" w:after="80"/>
        <w:jc w:val="both"/>
      </w:pPr>
      <w:r>
        <w:rPr>
          <w:rFonts w:ascii="Times New Roman" w:hAnsi="Times New Roman"/>
          <w:b/>
          <w:sz w:val="24"/>
        </w:rPr>
        <w:t xml:space="preserve">Objective 3: Conduct Empirical Model Benchmarking &amp; Selection: </w:t>
      </w:r>
      <w:r>
        <w:rPr>
          <w:rFonts w:ascii="Times New Roman" w:hAnsi="Times New Roman"/>
          <w:sz w:val="24"/>
        </w:rPr>
        <w:t>Train, optimize, and calibrate candidate classifiers (Multinomial Logistic Regression, Decision Trees, Random Forests, and XGBoost) across Stratified 5-Fold Cross-Validation, benchmarking performance via Macro F1, Recall, Precision, and ROC-AUC on an untouched 300-sample test set.</w:t>
      </w:r>
    </w:p>
    <w:p>
      <w:pPr>
        <w:pStyle w:val="ListBullet"/>
        <w:spacing w:line="312" w:lineRule="auto" w:after="80"/>
        <w:jc w:val="both"/>
      </w:pPr>
      <w:r>
        <w:rPr>
          <w:rFonts w:ascii="Times New Roman" w:hAnsi="Times New Roman"/>
          <w:b/>
          <w:sz w:val="24"/>
        </w:rPr>
        <w:t xml:space="preserve">Objective 4: Operationalize Game-Theoretic Explainability (SHAP): </w:t>
      </w:r>
      <w:r>
        <w:rPr>
          <w:rFonts w:ascii="Times New Roman" w:hAnsi="Times New Roman"/>
          <w:sz w:val="24"/>
        </w:rPr>
        <w:t>Integrate Shapley Additive explanations to decompose model predictions into global dataset feature importance hierarchies and granular, instance-level directional attributions separating risk-amplifying from risk-mitigating factors.</w:t>
      </w:r>
    </w:p>
    <w:p>
      <w:pPr>
        <w:pStyle w:val="ListBullet"/>
        <w:spacing w:line="312" w:lineRule="auto" w:after="80"/>
        <w:jc w:val="both"/>
      </w:pPr>
      <w:r>
        <w:rPr>
          <w:rFonts w:ascii="Times New Roman" w:hAnsi="Times New Roman"/>
          <w:b/>
          <w:sz w:val="24"/>
        </w:rPr>
        <w:t xml:space="preserve">Objective 5: Formulate Decoupled Health Scoring &amp; What-If Simulation Engines: </w:t>
      </w:r>
      <w:r>
        <w:rPr>
          <w:rFonts w:ascii="Times New Roman" w:hAnsi="Times New Roman"/>
          <w:sz w:val="24"/>
        </w:rPr>
        <w:t>Develop an independent, deterministic 0–100 Financial Health Index across 5 foundational operational pillars, and engineer an interactive What-If scenario simulation engine that computes instantaneous probability and health score deltas without model retraining.</w:t>
      </w:r>
    </w:p>
    <w:p>
      <w:pPr>
        <w:pStyle w:val="ListBullet"/>
        <w:spacing w:line="312" w:lineRule="auto" w:after="80"/>
        <w:jc w:val="both"/>
      </w:pPr>
      <w:r>
        <w:rPr>
          <w:rFonts w:ascii="Times New Roman" w:hAnsi="Times New Roman"/>
          <w:b/>
          <w:sz w:val="24"/>
        </w:rPr>
        <w:t xml:space="preserve">Objective 6: Architect and Deploy a Production-Grade Prototype: </w:t>
      </w:r>
      <w:r>
        <w:rPr>
          <w:rFonts w:ascii="Times New Roman" w:hAnsi="Times New Roman"/>
          <w:sz w:val="24"/>
        </w:rPr>
        <w:t>Construct an interactive, responsive Streamlit dashboard featuring 9 analytical modules, an ACID-compliant SQLite 3 persistence schema in Third Normal Form (3NF), a vectorized batch inference engine handling 270,000+ records in sub-second latency, and an automated ReportLab institutional PDF audit report generator.</w:t>
      </w:r>
    </w:p>
    <w:p>
      <w:pPr>
        <w:spacing w:before="320" w:after="120" w:line="276" w:lineRule="auto"/>
        <w:jc w:val="left"/>
      </w:pPr>
      <w:r>
        <w:rPr>
          <w:rFonts w:ascii="Times New Roman" w:hAnsi="Times New Roman"/>
          <w:b/>
          <w:color w:val="000000"/>
          <w:sz w:val="24"/>
        </w:rPr>
        <w:t>1.9 SCOPE, OPERATIONAL BOUNDARIES &amp; COMMERCIAL ASSUMPTIONS</w:t>
      </w:r>
    </w:p>
    <w:p>
      <w:pPr>
        <w:spacing w:line="360" w:lineRule="auto" w:after="120"/>
        <w:ind w:firstLine="360"/>
        <w:jc w:val="both"/>
      </w:pPr>
      <w:r>
        <w:rPr>
          <w:rFonts w:ascii="Times New Roman" w:hAnsi="Times New Roman"/>
          <w:sz w:val="24"/>
        </w:rPr>
        <w:t>The operational scope of the proposed system encompasses small manufacturing, wholesale/retail trade, logistics, and service enterprises applying for commercial term loans or working capital credit lines ranging from ₹10 Lakh to ₹5 Crore. The system functions strictly as an EXPLAINABLE DECISION-SUPPORT and RESEARCH PROTOTYPE designed to assist bank credit officers, NBFC underwriters, and risk managers.</w:t>
      </w:r>
    </w:p>
    <w:p>
      <w:pPr>
        <w:spacing w:line="360" w:lineRule="auto" w:after="120"/>
        <w:ind w:firstLine="360"/>
        <w:jc w:val="both"/>
      </w:pPr>
      <w:r>
        <w:rPr>
          <w:rFonts w:ascii="Times New Roman" w:hAnsi="Times New Roman"/>
          <w:sz w:val="24"/>
        </w:rPr>
        <w:t>It is crucial to emphasize that the system does NOT automatically disburse loan funds or issue legally binding credit sanctions. It does not supersede statutory banking underwriting compliance, legal due diligence, promoter background verification, or know-your-customer (KYC) AML screening. The software operates under the commercial assumption that applicant financial data submitted to the system has undergone preliminary bookkeeping verification.</w:t>
      </w:r>
    </w:p>
    <w:p>
      <w:r>
        <w:br w:type="page"/>
      </w:r>
    </w:p>
    <w:p>
      <w:pPr>
        <w:spacing w:before="440" w:after="280" w:line="276" w:lineRule="auto"/>
        <w:jc w:val="center"/>
      </w:pPr>
      <w:r>
        <w:rPr>
          <w:rFonts w:ascii="Times New Roman" w:hAnsi="Times New Roman"/>
          <w:b/>
          <w:color w:val="000000"/>
          <w:sz w:val="36"/>
        </w:rPr>
        <w:t>CHAPTER 2: CONCEPTS AND METHODS</w:t>
      </w:r>
    </w:p>
    <w:p>
      <w:pPr>
        <w:spacing w:before="320" w:after="120" w:line="276" w:lineRule="auto"/>
        <w:jc w:val="left"/>
      </w:pPr>
      <w:r>
        <w:rPr>
          <w:rFonts w:ascii="Times New Roman" w:hAnsi="Times New Roman"/>
          <w:b/>
          <w:color w:val="000000"/>
          <w:sz w:val="24"/>
        </w:rPr>
        <w:t>2.1 THEORETICAL FOUNDATIONS &amp; MATHEMATICAL FORMULATIONS</w:t>
      </w:r>
    </w:p>
    <w:p>
      <w:pPr>
        <w:spacing w:line="360" w:lineRule="auto" w:after="120"/>
        <w:ind w:firstLine="360"/>
        <w:jc w:val="both"/>
      </w:pPr>
      <w:r>
        <w:rPr>
          <w:rFonts w:ascii="Times New Roman" w:hAnsi="Times New Roman"/>
          <w:sz w:val="24"/>
        </w:rPr>
        <w:t>To establish an academically rigorous foundation, this section formalizes the core theoretical concepts, statistical paradigms, and algorithmic principles underpinning the AI-Based MSME Credit Risk Assistant platform:</w:t>
      </w:r>
    </w:p>
    <w:p>
      <w:pPr>
        <w:spacing w:before="240" w:after="80" w:line="276" w:lineRule="auto"/>
        <w:jc w:val="left"/>
      </w:pPr>
      <w:r>
        <w:rPr>
          <w:rFonts w:ascii="Times New Roman" w:hAnsi="Times New Roman"/>
          <w:b/>
          <w:color w:val="000000"/>
          <w:sz w:val="24"/>
        </w:rPr>
        <w:t>2.1.1 Supervised Multi-Class Classification Formulation</w:t>
      </w:r>
    </w:p>
    <w:p>
      <w:pPr>
        <w:spacing w:line="360" w:lineRule="auto" w:after="120"/>
        <w:ind w:firstLine="360"/>
        <w:jc w:val="both"/>
      </w:pPr>
      <w:r>
        <w:rPr>
          <w:rFonts w:ascii="Times New Roman" w:hAnsi="Times New Roman"/>
          <w:sz w:val="24"/>
        </w:rPr>
        <w:t>Credit risk assessment is formulated mathematically as a multi-class supervised learning problem on tabular financial feature vectors. Let the training dataset be denoted as D = {(x_i, y_i)}_{i=1}^N, where x_i in R^d represents the d-dimensional vector of raw and engineered financial indicators for enterprise i, and y_i in {0, 1, 2} denotes the categorical credit risk tier corresponding to {LOW, MEDIUM, HIGH} risk. The learning objective is to optimize a parameterized hypothesis function f_theta: R^d -&gt; [0, 1]^3 that maps input feature vectors to a calibrated probability distribution over the three risk categories.</w:t>
      </w:r>
    </w:p>
    <w:p>
      <w:pPr>
        <w:spacing w:line="360" w:lineRule="auto" w:after="120"/>
        <w:ind w:firstLine="360"/>
        <w:jc w:val="both"/>
      </w:pPr>
      <w:r>
        <w:rPr>
          <w:rFonts w:ascii="Times New Roman" w:hAnsi="Times New Roman"/>
          <w:sz w:val="24"/>
        </w:rPr>
        <w:t>In multinomial logistic regression, the posterior probability of enterprise x belonging to risk class k (where k in {0, 1, 2}) is parameterized via the Softmax activation function:</w:t>
      </w:r>
    </w:p>
    <w:p>
      <w:pPr>
        <w:spacing w:line="360" w:lineRule="auto" w:after="120"/>
        <w:ind w:firstLine="360"/>
        <w:jc w:val="both"/>
      </w:pPr>
      <w:r>
        <w:rPr>
          <w:rFonts w:ascii="Times New Roman" w:hAnsi="Times New Roman"/>
          <w:sz w:val="24"/>
        </w:rPr>
        <w:t>P(y = k | x; W, b) = exp(w_k^T x + b_k) / sum_{j=0}^2 exp(w_j^T x + b_j)</w:t>
      </w:r>
    </w:p>
    <w:p>
      <w:pPr>
        <w:spacing w:line="360" w:lineRule="auto" w:after="120"/>
        <w:ind w:firstLine="360"/>
        <w:jc w:val="both"/>
      </w:pPr>
      <w:r>
        <w:rPr>
          <w:rFonts w:ascii="Times New Roman" w:hAnsi="Times New Roman"/>
          <w:sz w:val="24"/>
        </w:rPr>
        <w:t>Where w_k in R^d denotes the weight vector for class k, and b_k represents the class bias term. The model parameters are estimated by minimizing the cross-entropy log-loss objective function augmented with an L2 ridge regularization penalty to prevent overfitting on collinear financial indicators:</w:t>
      </w:r>
    </w:p>
    <w:p>
      <w:pPr>
        <w:spacing w:line="360" w:lineRule="auto" w:after="120"/>
        <w:ind w:firstLine="360"/>
        <w:jc w:val="both"/>
      </w:pPr>
      <w:r>
        <w:rPr>
          <w:rFonts w:ascii="Times New Roman" w:hAnsi="Times New Roman"/>
          <w:sz w:val="24"/>
        </w:rPr>
        <w:t>J(W, b) = - (1/N) * sum_{i=1}^N sum_{k=0}^2 I(y_i = k) * ln P(y_i = k | x_i; W, b) + (lambda / 2) * sum_{k=0}^2 ||w_k||_2^2</w:t>
      </w:r>
    </w:p>
    <w:p>
      <w:pPr>
        <w:spacing w:line="360" w:lineRule="auto" w:after="120"/>
        <w:ind w:firstLine="360"/>
        <w:jc w:val="both"/>
      </w:pPr>
      <w:r>
        <w:rPr>
          <w:rFonts w:ascii="Times New Roman" w:hAnsi="Times New Roman"/>
          <w:sz w:val="24"/>
        </w:rPr>
        <w:t>Where I(.) is the indicator function, lambda &gt; 0 represents the regularization hyperparameter, and ||.||_2 denotes the Euclidean norm. Optimization is executed via the L-BFGS (Limited-memory Broyden-Fletcher-Goldfarb-Shanno) quasi-Newton optimization algorithm.</w:t>
      </w:r>
    </w:p>
    <w:p>
      <w:pPr>
        <w:spacing w:before="320" w:after="120" w:line="276" w:lineRule="auto"/>
        <w:jc w:val="left"/>
      </w:pPr>
      <w:r>
        <w:rPr>
          <w:rFonts w:ascii="Times New Roman" w:hAnsi="Times New Roman"/>
          <w:b/>
          <w:color w:val="000000"/>
          <w:sz w:val="24"/>
        </w:rPr>
        <w:t>2.2 CLASS IMBALANCE &amp; SYNTHETIC RESAMPLING MECHANICS</w:t>
      </w:r>
    </w:p>
    <w:p>
      <w:pPr>
        <w:spacing w:line="360" w:lineRule="auto" w:after="120"/>
        <w:ind w:firstLine="360"/>
        <w:jc w:val="both"/>
      </w:pPr>
      <w:r>
        <w:rPr>
          <w:rFonts w:ascii="Times New Roman" w:hAnsi="Times New Roman"/>
          <w:sz w:val="24"/>
        </w:rPr>
        <w:t>A pervasive challenge in empirical credit scoring datasets is severe class imbalance. In commercial lending portfolios, creditworthy enterprises naturally constitute the majority, while severely distressed enterprises and defaults represent a critical minority. Standard empirical risk minimization algorithms optimizing unweighted accuracy suffer from severe majority-class bias. A trivial model predicting all enterprises as LOW risk would achieve over 60% accuracy while failing to detect 100% of catastrophic defaults—a catastrophic failure mode for any financial institution.</w:t>
      </w:r>
    </w:p>
    <w:p>
      <w:pPr>
        <w:spacing w:line="360" w:lineRule="auto" w:after="120"/>
        <w:ind w:firstLine="360"/>
        <w:jc w:val="both"/>
      </w:pPr>
      <w:r>
        <w:rPr>
          <w:rFonts w:ascii="Times New Roman" w:hAnsi="Times New Roman"/>
          <w:sz w:val="24"/>
        </w:rPr>
        <w:t>To resolve this imbalance without discarding valuable training instances, two advanced synthetic oversampling algorithms were incorporated and empirically evaluated strictly within cross-validation training folds:</w:t>
      </w:r>
    </w:p>
    <w:p>
      <w:pPr>
        <w:pStyle w:val="ListBullet"/>
        <w:spacing w:line="312" w:lineRule="auto" w:after="80"/>
        <w:jc w:val="both"/>
      </w:pPr>
      <w:r>
        <w:rPr>
          <w:rFonts w:ascii="Times New Roman" w:hAnsi="Times New Roman"/>
          <w:b/>
          <w:sz w:val="24"/>
        </w:rPr>
        <w:t xml:space="preserve">• Synthetic Minority Over-sampling Technique (SMOTE): </w:t>
      </w:r>
      <w:r>
        <w:rPr>
          <w:rFonts w:ascii="Times New Roman" w:hAnsi="Times New Roman"/>
          <w:sz w:val="24"/>
        </w:rPr>
        <w:t>SMOTE (Chawla et al., 2002) synthesizes artificial minority instances rather than duplicating existing samples. For each minority instance x_i, the algorithm computes its k-nearest neighbors in feature space using Euclidean distance. A neighbor x_zi is randomly selected, and a synthetic sample x_new is generated along the line segment connecting x_i and x_zi: x_new = x_i + gamma * (x_zi - x_i), where gamma in U(0, 1) is a uniform random scalar. This technique broadens the decision boundary in minority regions without causing model overfitting.</w:t>
      </w:r>
    </w:p>
    <w:p>
      <w:pPr>
        <w:pStyle w:val="ListBullet"/>
        <w:spacing w:line="312" w:lineRule="auto" w:after="80"/>
        <w:jc w:val="both"/>
      </w:pPr>
      <w:r>
        <w:rPr>
          <w:rFonts w:ascii="Times New Roman" w:hAnsi="Times New Roman"/>
          <w:b/>
          <w:sz w:val="24"/>
        </w:rPr>
        <w:t xml:space="preserve">• Adaptive Synthetic Sampling (ADASYN): </w:t>
      </w:r>
      <w:r>
        <w:rPr>
          <w:rFonts w:ascii="Times New Roman" w:hAnsi="Times New Roman"/>
          <w:sz w:val="24"/>
        </w:rPr>
        <w:t>ADASYN (He et al., 2008) extends the SMOTE mechanism by adaptively weighting minority instances according to their learning difficulty. For each minority sample x_i, the algorithm computes the ratio r_i = Delta_i / k, where Delta_i is the number of majority class examples among its k-nearest neighbors. Samples surrounded by majority instances receive higher sampling weights, forcing the classifier to focus computational capacity on complex, ambiguous decision boundaries.</w:t>
      </w:r>
    </w:p>
    <w:p>
      <w:pPr>
        <w:spacing w:before="240" w:after="80"/>
        <w:jc w:val="center"/>
      </w:pPr>
      <w:r>
        <w:drawing>
          <wp:inline xmlns:a="http://schemas.openxmlformats.org/drawingml/2006/main" xmlns:pic="http://schemas.openxmlformats.org/drawingml/2006/picture">
            <wp:extent cx="4572000" cy="3703899"/>
            <wp:docPr id="5" name="Picture 5"/>
            <wp:cNvGraphicFramePr>
              <a:graphicFrameLocks noChangeAspect="1"/>
            </wp:cNvGraphicFramePr>
            <a:graphic>
              <a:graphicData uri="http://schemas.openxmlformats.org/drawingml/2006/picture">
                <pic:pic>
                  <pic:nvPicPr>
                    <pic:cNvPr id="0" name="diag1_proposed_paradigm.png"/>
                    <pic:cNvPicPr/>
                  </pic:nvPicPr>
                  <pic:blipFill>
                    <a:blip r:embed="rId12"/>
                    <a:stretch>
                      <a:fillRect/>
                    </a:stretch>
                  </pic:blipFill>
                  <pic:spPr>
                    <a:xfrm>
                      <a:off x="0" y="0"/>
                      <a:ext cx="4572000" cy="3703899"/>
                    </a:xfrm>
                    <a:prstGeom prst="rect"/>
                  </pic:spPr>
                </pic:pic>
              </a:graphicData>
            </a:graphic>
          </wp:inline>
        </w:drawing>
      </w:r>
    </w:p>
    <w:p>
      <w:pPr>
        <w:spacing w:after="280"/>
        <w:jc w:val="center"/>
      </w:pPr>
      <w:r>
        <w:rPr>
          <w:rFonts w:ascii="Times New Roman" w:hAnsi="Times New Roman"/>
          <w:b/>
          <w:sz w:val="21"/>
        </w:rPr>
        <w:t>Figure 2.1: The PREDICT → EXPLAIN → SIMULATE → IMPROVE Operational Paradigm</w:t>
      </w:r>
    </w:p>
    <w:p>
      <w:pPr>
        <w:spacing w:before="320" w:after="120" w:line="276" w:lineRule="auto"/>
        <w:jc w:val="left"/>
      </w:pPr>
      <w:r>
        <w:rPr>
          <w:rFonts w:ascii="Times New Roman" w:hAnsi="Times New Roman"/>
          <w:b/>
          <w:color w:val="000000"/>
          <w:sz w:val="24"/>
        </w:rPr>
        <w:t>2.3 COOPERATIVE GAME THEORY &amp; SHAPLEY ADDITIVE EXPLANATIONS (SHAP)</w:t>
      </w:r>
    </w:p>
    <w:p>
      <w:pPr>
        <w:spacing w:line="360" w:lineRule="auto" w:after="120"/>
        <w:ind w:firstLine="360"/>
        <w:jc w:val="both"/>
      </w:pPr>
      <w:r>
        <w:rPr>
          <w:rFonts w:ascii="Times New Roman" w:hAnsi="Times New Roman"/>
          <w:sz w:val="24"/>
        </w:rPr>
        <w:t>Explainable Artificial Intelligence (XAI) is essential to satisfy banking supervisory mandates and provide actionable borrower feedback. This project implements Shapley Additive explanations (SHAP), formulated by Lundberg and Lee (2017) upon the cooperative game theory foundation established by Nobel laureate Lloyd Shapley (1953). In this formulation, the model prediction is treated as the payout of a cooperative game, and the input features are treated as players collaborating to produce the outcome.</w:t>
      </w:r>
    </w:p>
    <w:p>
      <w:pPr>
        <w:spacing w:line="360" w:lineRule="auto" w:after="120"/>
        <w:ind w:firstLine="360"/>
        <w:jc w:val="both"/>
      </w:pPr>
      <w:r>
        <w:rPr>
          <w:rFonts w:ascii="Times New Roman" w:hAnsi="Times New Roman"/>
          <w:sz w:val="24"/>
        </w:rPr>
        <w:t>SHAP defines the unique additive feature attribution method satisfying four foundational axiomatic properties:</w:t>
      </w:r>
    </w:p>
    <w:p>
      <w:pPr>
        <w:pStyle w:val="ListBullet"/>
        <w:spacing w:line="312" w:lineRule="auto" w:after="80"/>
        <w:jc w:val="both"/>
      </w:pPr>
      <w:r>
        <w:rPr>
          <w:rFonts w:ascii="Times New Roman" w:hAnsi="Times New Roman"/>
          <w:b/>
          <w:sz w:val="24"/>
        </w:rPr>
        <w:t xml:space="preserve">1. Local Accuracy (Efficiency): </w:t>
      </w:r>
      <w:r>
        <w:rPr>
          <w:rFonts w:ascii="Times New Roman" w:hAnsi="Times New Roman"/>
          <w:sz w:val="24"/>
        </w:rPr>
        <w:t>The sum of the feature attributions matches the difference between the model prediction f(x) and the expected baseline outcome E[f(x)]: sum_{j=1}^M phi_j(x) = f(x) - E[f(x)].</w:t>
      </w:r>
    </w:p>
    <w:p>
      <w:pPr>
        <w:pStyle w:val="ListBullet"/>
        <w:spacing w:line="312" w:lineRule="auto" w:after="80"/>
        <w:jc w:val="both"/>
      </w:pPr>
      <w:r>
        <w:rPr>
          <w:rFonts w:ascii="Times New Roman" w:hAnsi="Times New Roman"/>
          <w:b/>
          <w:sz w:val="24"/>
        </w:rPr>
        <w:t xml:space="preserve">2. Missingness: </w:t>
      </w:r>
      <w:r>
        <w:rPr>
          <w:rFonts w:ascii="Times New Roman" w:hAnsi="Times New Roman"/>
          <w:sz w:val="24"/>
        </w:rPr>
        <w:t>Features that are absent from the input vector receive an attribution of exactly zero: x_j = 0 =&gt; phi_j(x) = 0.</w:t>
      </w:r>
    </w:p>
    <w:p>
      <w:pPr>
        <w:pStyle w:val="ListBullet"/>
        <w:spacing w:line="312" w:lineRule="auto" w:after="80"/>
        <w:jc w:val="both"/>
      </w:pPr>
      <w:r>
        <w:rPr>
          <w:rFonts w:ascii="Times New Roman" w:hAnsi="Times New Roman"/>
          <w:b/>
          <w:sz w:val="24"/>
        </w:rPr>
        <w:t xml:space="preserve">3. Consistency (Monotonicity): </w:t>
      </w:r>
      <w:r>
        <w:rPr>
          <w:rFonts w:ascii="Times New Roman" w:hAnsi="Times New Roman"/>
          <w:sz w:val="24"/>
        </w:rPr>
        <w:t>If a model changes such that the marginal contribution of feature j increases or stays the same regardless of other features, its attribution value phi_j cannot decrease.</w:t>
      </w:r>
    </w:p>
    <w:p>
      <w:pPr>
        <w:pStyle w:val="ListBullet"/>
        <w:spacing w:line="312" w:lineRule="auto" w:after="80"/>
        <w:jc w:val="both"/>
      </w:pPr>
      <w:r>
        <w:rPr>
          <w:rFonts w:ascii="Times New Roman" w:hAnsi="Times New Roman"/>
          <w:b/>
          <w:sz w:val="24"/>
        </w:rPr>
        <w:t xml:space="preserve">4. Symmetry: </w:t>
      </w:r>
      <w:r>
        <w:rPr>
          <w:rFonts w:ascii="Times New Roman" w:hAnsi="Times New Roman"/>
          <w:sz w:val="24"/>
        </w:rPr>
        <w:t>If two features i and j contribute identically to all possible feature coalitions, their attributions must be strictly equal: phi_i(x) = phi_j(x).</w:t>
      </w:r>
    </w:p>
    <w:p>
      <w:pPr>
        <w:spacing w:line="360" w:lineRule="auto" w:after="120"/>
        <w:ind w:firstLine="360"/>
        <w:jc w:val="both"/>
      </w:pPr>
      <w:r>
        <w:rPr>
          <w:rFonts w:ascii="Times New Roman" w:hAnsi="Times New Roman"/>
          <w:sz w:val="24"/>
        </w:rPr>
        <w:t>The unique Shapley attribution phi_i for feature i across the set of all input features F is calculated via the weighted marginal contribution formula:</w:t>
      </w:r>
    </w:p>
    <w:p>
      <w:pPr>
        <w:spacing w:line="360" w:lineRule="auto" w:after="120"/>
        <w:ind w:firstLine="360"/>
        <w:jc w:val="both"/>
      </w:pPr>
      <w:r>
        <w:rPr>
          <w:rFonts w:ascii="Times New Roman" w:hAnsi="Times New Roman"/>
          <w:sz w:val="24"/>
        </w:rPr>
        <w:t>phi_i(x) = sum_{S subseteq F \ {i}} [ |S|! (|F| - |S| - 1)! / |F|! ] * [ f_{S cup {i}}(x_{S cup {i}}) - f_S(x_S) ]</w:t>
      </w:r>
    </w:p>
    <w:p>
      <w:pPr>
        <w:spacing w:line="360" w:lineRule="auto" w:after="120"/>
        <w:ind w:firstLine="360"/>
        <w:jc w:val="both"/>
      </w:pPr>
      <w:r>
        <w:rPr>
          <w:rFonts w:ascii="Times New Roman" w:hAnsi="Times New Roman"/>
          <w:sz w:val="24"/>
        </w:rPr>
        <w:t>Where S represents a subset of features excluding feature i, and f_S(x_S) denotes the model prediction conditioned solely on feature subset S. In linear and logistic models, the Shapley value phi_i reduces to: phi_i(x) = beta_i * (x_i - E[x_i]), establishing an exact mathematical correspondence between feature deviations from their population means and their contribution to the log-odds of risk classification.</w:t>
      </w:r>
    </w:p>
    <w:p>
      <w:pPr>
        <w:spacing w:before="320" w:after="120" w:line="276" w:lineRule="auto"/>
        <w:jc w:val="left"/>
      </w:pPr>
      <w:r>
        <w:rPr>
          <w:rFonts w:ascii="Times New Roman" w:hAnsi="Times New Roman"/>
          <w:b/>
          <w:color w:val="000000"/>
          <w:sz w:val="24"/>
        </w:rPr>
        <w:t>2.4 FINANCIAL FEATURE ENGINEERING FORMULATION</w:t>
      </w:r>
    </w:p>
    <w:p>
      <w:pPr>
        <w:spacing w:line="360" w:lineRule="auto" w:after="120"/>
        <w:ind w:firstLine="360"/>
        <w:jc w:val="both"/>
      </w:pPr>
      <w:r>
        <w:rPr>
          <w:rFonts w:ascii="Times New Roman" w:hAnsi="Times New Roman"/>
          <w:sz w:val="24"/>
        </w:rPr>
        <w:t>Raw balance sheet quantities (such as absolute annual turnover or nominal bank debt) possess limited predictive power when evaluated in isolation. A debt of ₹50 Lakh represents an alarming insolvency risk for a firm generating ₹20 Lakh in annual revenue, but an entirely trivial obligation for an enterprise generating ₹20 Crore. To standardize scale discrepancies and capture true operational solvency, seven specialized financial indicators were mathematically formulated.</w:t>
      </w:r>
    </w:p>
    <w:p>
      <w:pPr>
        <w:spacing w:line="360" w:lineRule="auto" w:after="120"/>
        <w:ind w:firstLine="360"/>
        <w:jc w:val="both"/>
      </w:pPr>
      <w:r>
        <w:rPr>
          <w:rFonts w:ascii="Times New Roman" w:hAnsi="Times New Roman"/>
          <w:sz w:val="24"/>
        </w:rPr>
        <w:t>To prevent runtime software exceptions and guarantee numerical stability across edge-case profiles (such as pre-revenue startups or debt-free enterprises), all formulations incorporate zero-division protections:</w:t>
      </w:r>
    </w:p>
    <w:p>
      <w:pPr>
        <w:spacing w:line="360" w:lineRule="auto" w:after="120"/>
        <w:ind w:firstLine="360"/>
        <w:jc w:val="both"/>
      </w:pPr>
      <w:r>
        <w:rPr>
          <w:rFonts w:ascii="Times New Roman" w:hAnsi="Times New Roman"/>
          <w:sz w:val="24"/>
        </w:rPr>
        <w:t>Table 2.1 specifies the mathematical formulation, input dependencies, and financial justification for each engineered indicator:</w:t>
      </w:r>
    </w:p>
    <w:tbl>
      <w:tblPr>
        <w:tblW w:type="auto" w:w="0"/>
        <w:jc w:val="center"/>
        <w:tblLook w:firstColumn="1" w:firstRow="1" w:lastColumn="0" w:lastRow="0" w:noHBand="0" w:noVBand="1" w:val="04A0"/>
      </w:tblPr>
      <w:tblGrid>
        <w:gridCol w:w="2890"/>
        <w:gridCol w:w="2890"/>
        <w:gridCol w:w="2890"/>
      </w:tblGrid>
      <w:tr>
        <w:tc>
          <w:tcPr>
            <w:tcW w:type="dxa" w:w="2592"/>
            <w:shd w:fill="E2E8F0"/>
          </w:tcPr>
          <w:p>
            <w:pPr>
              <w:jc w:val="center"/>
            </w:pPr>
            <w:r>
              <w:rPr>
                <w:rFonts w:ascii="Times New Roman" w:hAnsi="Times New Roman"/>
                <w:b/>
                <w:sz w:val="20"/>
              </w:rPr>
              <w:t>Engineered Indicator</w:t>
            </w:r>
          </w:p>
        </w:tc>
        <w:tc>
          <w:tcPr>
            <w:tcW w:type="dxa" w:w="3456"/>
            <w:shd w:fill="E2E8F0"/>
          </w:tcPr>
          <w:p>
            <w:pPr>
              <w:jc w:val="center"/>
            </w:pPr>
            <w:r>
              <w:rPr>
                <w:rFonts w:ascii="Times New Roman" w:hAnsi="Times New Roman"/>
                <w:b/>
                <w:sz w:val="20"/>
              </w:rPr>
              <w:t>Mathematical Formulation</w:t>
            </w:r>
          </w:p>
        </w:tc>
        <w:tc>
          <w:tcPr>
            <w:tcW w:type="dxa" w:w="4032"/>
            <w:shd w:fill="E2E8F0"/>
          </w:tcPr>
          <w:p>
            <w:pPr>
              <w:jc w:val="center"/>
            </w:pPr>
            <w:r>
              <w:rPr>
                <w:rFonts w:ascii="Times New Roman" w:hAnsi="Times New Roman"/>
                <w:b/>
                <w:sz w:val="20"/>
              </w:rPr>
              <w:t>Financial Underwriting Rationale</w:t>
            </w:r>
          </w:p>
        </w:tc>
      </w:tr>
      <w:tr>
        <w:tc>
          <w:tcPr>
            <w:tcW w:type="dxa" w:w="2592"/>
          </w:tcPr>
          <w:p>
            <w:pPr>
              <w:jc w:val="left"/>
            </w:pPr>
            <w:r>
              <w:rPr>
                <w:rFonts w:ascii="Times New Roman" w:hAnsi="Times New Roman"/>
                <w:sz w:val="19"/>
              </w:rPr>
              <w:t>Debt-to-Income (DTI)</w:t>
            </w:r>
          </w:p>
        </w:tc>
        <w:tc>
          <w:tcPr>
            <w:tcW w:type="dxa" w:w="3456"/>
          </w:tcPr>
          <w:p>
            <w:pPr>
              <w:jc w:val="left"/>
            </w:pPr>
            <w:r>
              <w:rPr>
                <w:rFonts w:ascii="Times New Roman" w:hAnsi="Times New Roman"/>
                <w:sz w:val="19"/>
              </w:rPr>
              <w:t>DTI = Existing Debt / max(Annual Revenue, 1.0)</w:t>
            </w:r>
          </w:p>
        </w:tc>
        <w:tc>
          <w:tcPr>
            <w:tcW w:type="dxa" w:w="4032"/>
          </w:tcPr>
          <w:p>
            <w:pPr>
              <w:jc w:val="left"/>
            </w:pPr>
            <w:r>
              <w:rPr>
                <w:rFonts w:ascii="Times New Roman" w:hAnsi="Times New Roman"/>
                <w:sz w:val="19"/>
              </w:rPr>
              <w:t>Measures total structural leverage relative to top-line cash generation.</w:t>
            </w:r>
          </w:p>
        </w:tc>
      </w:tr>
      <w:tr>
        <w:tc>
          <w:tcPr>
            <w:tcW w:type="dxa" w:w="2592"/>
            <w:shd w:fill="F8FAFC"/>
          </w:tcPr>
          <w:p>
            <w:pPr>
              <w:jc w:val="left"/>
            </w:pPr>
            <w:r>
              <w:rPr>
                <w:rFonts w:ascii="Times New Roman" w:hAnsi="Times New Roman"/>
                <w:sz w:val="19"/>
              </w:rPr>
              <w:t>Operating Profit</w:t>
            </w:r>
          </w:p>
        </w:tc>
        <w:tc>
          <w:tcPr>
            <w:tcW w:type="dxa" w:w="3456"/>
            <w:shd w:fill="F8FAFC"/>
          </w:tcPr>
          <w:p>
            <w:pPr>
              <w:jc w:val="left"/>
            </w:pPr>
            <w:r>
              <w:rPr>
                <w:rFonts w:ascii="Times New Roman" w:hAnsi="Times New Roman"/>
                <w:sz w:val="19"/>
              </w:rPr>
              <w:t>Profit = Annual Revenue - Annual Expenses</w:t>
            </w:r>
          </w:p>
        </w:tc>
        <w:tc>
          <w:tcPr>
            <w:tcW w:type="dxa" w:w="4032"/>
            <w:shd w:fill="F8FAFC"/>
          </w:tcPr>
          <w:p>
            <w:pPr>
              <w:jc w:val="left"/>
            </w:pPr>
            <w:r>
              <w:rPr>
                <w:rFonts w:ascii="Times New Roman" w:hAnsi="Times New Roman"/>
                <w:sz w:val="19"/>
              </w:rPr>
              <w:t>Captures absolute operational cash generation before interest and taxes.</w:t>
            </w:r>
          </w:p>
        </w:tc>
      </w:tr>
      <w:tr>
        <w:tc>
          <w:tcPr>
            <w:tcW w:type="dxa" w:w="2592"/>
          </w:tcPr>
          <w:p>
            <w:pPr>
              <w:jc w:val="left"/>
            </w:pPr>
            <w:r>
              <w:rPr>
                <w:rFonts w:ascii="Times New Roman" w:hAnsi="Times New Roman"/>
                <w:sz w:val="19"/>
              </w:rPr>
              <w:t>Profit Margin</w:t>
            </w:r>
          </w:p>
        </w:tc>
        <w:tc>
          <w:tcPr>
            <w:tcW w:type="dxa" w:w="3456"/>
          </w:tcPr>
          <w:p>
            <w:pPr>
              <w:jc w:val="left"/>
            </w:pPr>
            <w:r>
              <w:rPr>
                <w:rFonts w:ascii="Times New Roman" w:hAnsi="Times New Roman"/>
                <w:sz w:val="19"/>
              </w:rPr>
              <w:t>Margin = Profit / max(Annual Revenue, 1.0)</w:t>
            </w:r>
          </w:p>
        </w:tc>
        <w:tc>
          <w:tcPr>
            <w:tcW w:type="dxa" w:w="4032"/>
          </w:tcPr>
          <w:p>
            <w:pPr>
              <w:jc w:val="left"/>
            </w:pPr>
            <w:r>
              <w:rPr>
                <w:rFonts w:ascii="Times New Roman" w:hAnsi="Times New Roman"/>
                <w:sz w:val="19"/>
              </w:rPr>
              <w:t>Evaluates operational efficiency, pricing power, and cost discipline.</w:t>
            </w:r>
          </w:p>
        </w:tc>
      </w:tr>
      <w:tr>
        <w:tc>
          <w:tcPr>
            <w:tcW w:type="dxa" w:w="2592"/>
            <w:shd w:fill="F8FAFC"/>
          </w:tcPr>
          <w:p>
            <w:pPr>
              <w:jc w:val="left"/>
            </w:pPr>
            <w:r>
              <w:rPr>
                <w:rFonts w:ascii="Times New Roman" w:hAnsi="Times New Roman"/>
                <w:sz w:val="19"/>
              </w:rPr>
              <w:t>Loan-to-Income (LTI)</w:t>
            </w:r>
          </w:p>
        </w:tc>
        <w:tc>
          <w:tcPr>
            <w:tcW w:type="dxa" w:w="3456"/>
            <w:shd w:fill="F8FAFC"/>
          </w:tcPr>
          <w:p>
            <w:pPr>
              <w:jc w:val="left"/>
            </w:pPr>
            <w:r>
              <w:rPr>
                <w:rFonts w:ascii="Times New Roman" w:hAnsi="Times New Roman"/>
                <w:sz w:val="19"/>
              </w:rPr>
              <w:t>LTI = Requested Loan / max(Annual Revenue, 1.0)</w:t>
            </w:r>
          </w:p>
        </w:tc>
        <w:tc>
          <w:tcPr>
            <w:tcW w:type="dxa" w:w="4032"/>
            <w:shd w:fill="F8FAFC"/>
          </w:tcPr>
          <w:p>
            <w:pPr>
              <w:jc w:val="left"/>
            </w:pPr>
            <w:r>
              <w:rPr>
                <w:rFonts w:ascii="Times New Roman" w:hAnsi="Times New Roman"/>
                <w:sz w:val="19"/>
              </w:rPr>
              <w:t>Quantifies requested loan magnitude relative to gross cash velocity.</w:t>
            </w:r>
          </w:p>
        </w:tc>
      </w:tr>
      <w:tr>
        <w:tc>
          <w:tcPr>
            <w:tcW w:type="dxa" w:w="2592"/>
          </w:tcPr>
          <w:p>
            <w:pPr>
              <w:jc w:val="left"/>
            </w:pPr>
            <w:r>
              <w:rPr>
                <w:rFonts w:ascii="Times New Roman" w:hAnsi="Times New Roman"/>
                <w:sz w:val="19"/>
              </w:rPr>
              <w:t>Debt Ratio</w:t>
            </w:r>
          </w:p>
        </w:tc>
        <w:tc>
          <w:tcPr>
            <w:tcW w:type="dxa" w:w="3456"/>
          </w:tcPr>
          <w:p>
            <w:pPr>
              <w:jc w:val="left"/>
            </w:pPr>
            <w:r>
              <w:rPr>
                <w:rFonts w:ascii="Times New Roman" w:hAnsi="Times New Roman"/>
                <w:sz w:val="19"/>
              </w:rPr>
              <w:t>Debt Ratio = Existing Debt / max(Annual Revenue, 1.0)</w:t>
            </w:r>
          </w:p>
        </w:tc>
        <w:tc>
          <w:tcPr>
            <w:tcW w:type="dxa" w:w="4032"/>
          </w:tcPr>
          <w:p>
            <w:pPr>
              <w:jc w:val="left"/>
            </w:pPr>
            <w:r>
              <w:rPr>
                <w:rFonts w:ascii="Times New Roman" w:hAnsi="Times New Roman"/>
                <w:sz w:val="19"/>
              </w:rPr>
              <w:t>Assesses structural balance sheet solvency and debt burden.</w:t>
            </w:r>
          </w:p>
        </w:tc>
      </w:tr>
      <w:tr>
        <w:tc>
          <w:tcPr>
            <w:tcW w:type="dxa" w:w="2592"/>
            <w:shd w:fill="F8FAFC"/>
          </w:tcPr>
          <w:p>
            <w:pPr>
              <w:jc w:val="left"/>
            </w:pPr>
            <w:r>
              <w:rPr>
                <w:rFonts w:ascii="Times New Roman" w:hAnsi="Times New Roman"/>
                <w:sz w:val="19"/>
              </w:rPr>
              <w:t>Cash Flow Coverage</w:t>
            </w:r>
          </w:p>
        </w:tc>
        <w:tc>
          <w:tcPr>
            <w:tcW w:type="dxa" w:w="3456"/>
            <w:shd w:fill="F8FAFC"/>
          </w:tcPr>
          <w:p>
            <w:pPr>
              <w:jc w:val="left"/>
            </w:pPr>
            <w:r>
              <w:rPr>
                <w:rFonts w:ascii="Times New Roman" w:hAnsi="Times New Roman"/>
                <w:sz w:val="19"/>
              </w:rPr>
              <w:t>Coverage = (Monthly Cash Flow * 12) / max(Loan Amount, 1.0)</w:t>
            </w:r>
          </w:p>
        </w:tc>
        <w:tc>
          <w:tcPr>
            <w:tcW w:type="dxa" w:w="4032"/>
            <w:shd w:fill="F8FAFC"/>
          </w:tcPr>
          <w:p>
            <w:pPr>
              <w:jc w:val="left"/>
            </w:pPr>
            <w:r>
              <w:rPr>
                <w:rFonts w:ascii="Times New Roman" w:hAnsi="Times New Roman"/>
                <w:sz w:val="19"/>
              </w:rPr>
              <w:t>Evaluates annual liquidity buffer available to service requested credit.</w:t>
            </w:r>
          </w:p>
        </w:tc>
      </w:tr>
      <w:tr>
        <w:tc>
          <w:tcPr>
            <w:tcW w:type="dxa" w:w="2592"/>
          </w:tcPr>
          <w:p>
            <w:pPr>
              <w:jc w:val="left"/>
            </w:pPr>
            <w:r>
              <w:rPr>
                <w:rFonts w:ascii="Times New Roman" w:hAnsi="Times New Roman"/>
                <w:sz w:val="19"/>
              </w:rPr>
              <w:t>Cash Flow Margin</w:t>
            </w:r>
          </w:p>
        </w:tc>
        <w:tc>
          <w:tcPr>
            <w:tcW w:type="dxa" w:w="3456"/>
          </w:tcPr>
          <w:p>
            <w:pPr>
              <w:jc w:val="left"/>
            </w:pPr>
            <w:r>
              <w:rPr>
                <w:rFonts w:ascii="Times New Roman" w:hAnsi="Times New Roman"/>
                <w:sz w:val="19"/>
              </w:rPr>
              <w:t>CF Margin = (Monthly Cash Flow * 12) / max(Annual Revenue, 1.0)</w:t>
            </w:r>
          </w:p>
        </w:tc>
        <w:tc>
          <w:tcPr>
            <w:tcW w:type="dxa" w:w="4032"/>
          </w:tcPr>
          <w:p>
            <w:pPr>
              <w:jc w:val="left"/>
            </w:pPr>
            <w:r>
              <w:rPr>
                <w:rFonts w:ascii="Times New Roman" w:hAnsi="Times New Roman"/>
                <w:sz w:val="19"/>
              </w:rPr>
              <w:t>Measures cash conversion efficiency of gross top-line turnover.</w:t>
            </w:r>
          </w:p>
        </w:tc>
      </w:tr>
    </w:tbl>
    <w:p>
      <w:pPr>
        <w:spacing w:before="320" w:after="120" w:line="276" w:lineRule="auto"/>
        <w:jc w:val="left"/>
      </w:pPr>
      <w:r>
        <w:rPr>
          <w:rFonts w:ascii="Times New Roman" w:hAnsi="Times New Roman"/>
          <w:b/>
          <w:color w:val="000000"/>
          <w:sz w:val="24"/>
        </w:rPr>
        <w:t>2.5 DETERMINISTIC 5-PILLAR FINANCIAL HEALTH SCORING ARCHITECTURE</w:t>
      </w:r>
    </w:p>
    <w:p>
      <w:pPr>
        <w:spacing w:line="360" w:lineRule="auto" w:after="120"/>
        <w:ind w:firstLine="360"/>
        <w:jc w:val="both"/>
      </w:pPr>
      <w:r>
        <w:rPr>
          <w:rFonts w:ascii="Times New Roman" w:hAnsi="Times New Roman"/>
          <w:sz w:val="24"/>
        </w:rPr>
        <w:t>A core architectural innovation of this project is the complete decoupling of the Machine Learning Risk Prediction from the Financial Health Score. While the machine learning model estimates empirical default risk probabilities based on historical multi-feature correlations, the Financial Health Score provides an independent, deterministic 0–100 benchmark evaluating enterprise operational vitality across 5 foundational pillars.</w:t>
      </w:r>
    </w:p>
    <w:p>
      <w:pPr>
        <w:spacing w:line="360" w:lineRule="auto" w:after="120"/>
        <w:ind w:firstLine="360"/>
        <w:jc w:val="both"/>
      </w:pPr>
      <w:r>
        <w:rPr>
          <w:rFonts w:ascii="Times New Roman" w:hAnsi="Times New Roman"/>
          <w:sz w:val="24"/>
        </w:rPr>
        <w:t>The Financial Health Score is computed using transparent piecewise mathematical rules, completely independent of the classifier. This prevents circular reasoning and provides underwriters with a stable financial baseline that remains interpretable even when model retraining occurs:</w:t>
      </w:r>
    </w:p>
    <w:p>
      <w:pPr>
        <w:pStyle w:val="ListBullet"/>
        <w:spacing w:line="312" w:lineRule="auto" w:after="80"/>
        <w:jc w:val="both"/>
      </w:pPr>
      <w:r>
        <w:rPr>
          <w:rFonts w:ascii="Times New Roman" w:hAnsi="Times New Roman"/>
          <w:b/>
          <w:sz w:val="24"/>
        </w:rPr>
        <w:t xml:space="preserve">1. Debt Management Pillar (25 Points Maximum): </w:t>
      </w:r>
      <w:r>
        <w:rPr>
          <w:rFonts w:ascii="Times New Roman" w:hAnsi="Times New Roman"/>
          <w:sz w:val="24"/>
        </w:rPr>
        <w:t>Evaluates DTI ratio and revolving credit facility utilization. Enterprises maintaining DTI &lt;= 0.20 receive the full 25 points. Points scale down linearly for DTI between 0.20 and 1.0, with a 5-point deduction if credit utilization exceeds 80%.</w:t>
      </w:r>
    </w:p>
    <w:p>
      <w:pPr>
        <w:pStyle w:val="ListBullet"/>
        <w:spacing w:line="312" w:lineRule="auto" w:after="80"/>
        <w:jc w:val="both"/>
      </w:pPr>
      <w:r>
        <w:rPr>
          <w:rFonts w:ascii="Times New Roman" w:hAnsi="Times New Roman"/>
          <w:b/>
          <w:sz w:val="24"/>
        </w:rPr>
        <w:t xml:space="preserve">2. Cash Flow &amp; Liquidity Pillar (25 Points Maximum): </w:t>
      </w:r>
      <w:r>
        <w:rPr>
          <w:rFonts w:ascii="Times New Roman" w:hAnsi="Times New Roman"/>
          <w:sz w:val="24"/>
        </w:rPr>
        <w:t>Assesses annualized cash flow relative to requested debt obligations. Coverage ratios &gt;= 1.5 receive the maximum 25 points, whereas negative cash flows score 0 points.</w:t>
      </w:r>
    </w:p>
    <w:p>
      <w:pPr>
        <w:pStyle w:val="ListBullet"/>
        <w:spacing w:line="312" w:lineRule="auto" w:after="80"/>
        <w:jc w:val="both"/>
      </w:pPr>
      <w:r>
        <w:rPr>
          <w:rFonts w:ascii="Times New Roman" w:hAnsi="Times New Roman"/>
          <w:b/>
          <w:sz w:val="24"/>
        </w:rPr>
        <w:t xml:space="preserve">3. Profitability &amp; Margins Pillar (20 Points Maximum): </w:t>
      </w:r>
      <w:r>
        <w:rPr>
          <w:rFonts w:ascii="Times New Roman" w:hAnsi="Times New Roman"/>
          <w:sz w:val="24"/>
        </w:rPr>
        <w:t>Reflects operating margins. Operating margins &gt;= 25% earn the full 20 points, tapering down to 0 points for enterprises operating at an operational net loss.</w:t>
      </w:r>
    </w:p>
    <w:p>
      <w:pPr>
        <w:pStyle w:val="ListBullet"/>
        <w:spacing w:line="312" w:lineRule="auto" w:after="80"/>
        <w:jc w:val="both"/>
      </w:pPr>
      <w:r>
        <w:rPr>
          <w:rFonts w:ascii="Times New Roman" w:hAnsi="Times New Roman"/>
          <w:b/>
          <w:sz w:val="24"/>
        </w:rPr>
        <w:t xml:space="preserve">4. Repayment History &amp; Defaults Pillar (20 Points Maximum): </w:t>
      </w:r>
      <w:r>
        <w:rPr>
          <w:rFonts w:ascii="Times New Roman" w:hAnsi="Times New Roman"/>
          <w:sz w:val="24"/>
        </w:rPr>
        <w:t>Allocates 15 points scaled directly by commercial bureau repayment score (0–100), plus a 5-point clean-record bonus, deducting 4 points per recorded prior default.</w:t>
      </w:r>
    </w:p>
    <w:p>
      <w:pPr>
        <w:pStyle w:val="ListBullet"/>
        <w:spacing w:line="312" w:lineRule="auto" w:after="80"/>
        <w:jc w:val="both"/>
      </w:pPr>
      <w:r>
        <w:rPr>
          <w:rFonts w:ascii="Times New Roman" w:hAnsi="Times New Roman"/>
          <w:b/>
          <w:sz w:val="24"/>
        </w:rPr>
        <w:t xml:space="preserve">5. Business Stability &amp; Longevity Pillar (10 Points Maximum): </w:t>
      </w:r>
      <w:r>
        <w:rPr>
          <w:rFonts w:ascii="Times New Roman" w:hAnsi="Times New Roman"/>
          <w:sz w:val="24"/>
        </w:rPr>
        <w:t>Firms with operational history &gt;= 10 years receive 10 points; nascent ventures under 2 years receive proportional scores.</w:t>
      </w:r>
    </w:p>
    <w:p>
      <w:pPr>
        <w:spacing w:before="240" w:after="80"/>
        <w:jc w:val="center"/>
      </w:pPr>
      <w:r>
        <w:drawing>
          <wp:inline xmlns:a="http://schemas.openxmlformats.org/drawingml/2006/main" xmlns:pic="http://schemas.openxmlformats.org/drawingml/2006/picture">
            <wp:extent cx="4389120" cy="3657600"/>
            <wp:docPr id="6" name="Picture 6"/>
            <wp:cNvGraphicFramePr>
              <a:graphicFrameLocks noChangeAspect="1"/>
            </wp:cNvGraphicFramePr>
            <a:graphic>
              <a:graphicData uri="http://schemas.openxmlformats.org/drawingml/2006/picture">
                <pic:pic>
                  <pic:nvPicPr>
                    <pic:cNvPr id="0" name="diag_radar_health.png"/>
                    <pic:cNvPicPr/>
                  </pic:nvPicPr>
                  <pic:blipFill>
                    <a:blip r:embed="rId13"/>
                    <a:stretch>
                      <a:fillRect/>
                    </a:stretch>
                  </pic:blipFill>
                  <pic:spPr>
                    <a:xfrm>
                      <a:off x="0" y="0"/>
                      <a:ext cx="4389120" cy="3657600"/>
                    </a:xfrm>
                    <a:prstGeom prst="rect"/>
                  </pic:spPr>
                </pic:pic>
              </a:graphicData>
            </a:graphic>
          </wp:inline>
        </w:drawing>
      </w:r>
    </w:p>
    <w:p>
      <w:pPr>
        <w:spacing w:after="280"/>
        <w:jc w:val="center"/>
      </w:pPr>
      <w:r>
        <w:rPr>
          <w:rFonts w:ascii="Times New Roman" w:hAnsi="Times New Roman"/>
          <w:b/>
          <w:sz w:val="21"/>
        </w:rPr>
        <w:t>Figure 2.2: Polar Radar Representation of the 5-Pillar Financial Health Index</w:t>
      </w:r>
    </w:p>
    <w:p>
      <w:pPr>
        <w:spacing w:line="360" w:lineRule="auto" w:after="120"/>
        <w:ind w:firstLine="360"/>
        <w:jc w:val="both"/>
      </w:pPr>
      <w:r>
        <w:rPr>
          <w:rFonts w:ascii="Times New Roman" w:hAnsi="Times New Roman"/>
          <w:sz w:val="24"/>
        </w:rPr>
        <w:t>Table 2.2 specifies the point weightings, threshold criteria, and letter grade classifications for the Financial Health Index:</w:t>
      </w:r>
    </w:p>
    <w:tbl>
      <w:tblPr>
        <w:tblW w:type="auto" w:w="0"/>
        <w:jc w:val="center"/>
        <w:tblLook w:firstColumn="1" w:firstRow="1" w:lastColumn="0" w:lastRow="0" w:noHBand="0" w:noVBand="1" w:val="04A0"/>
      </w:tblPr>
      <w:tblGrid>
        <w:gridCol w:w="2167"/>
        <w:gridCol w:w="2167"/>
        <w:gridCol w:w="2167"/>
        <w:gridCol w:w="2167"/>
      </w:tblGrid>
      <w:tr>
        <w:tc>
          <w:tcPr>
            <w:tcW w:type="dxa" w:w="2160"/>
            <w:shd w:fill="E2E8F0"/>
          </w:tcPr>
          <w:p>
            <w:pPr>
              <w:jc w:val="center"/>
            </w:pPr>
            <w:r>
              <w:rPr>
                <w:rFonts w:ascii="Times New Roman" w:hAnsi="Times New Roman"/>
                <w:b/>
                <w:sz w:val="20"/>
              </w:rPr>
              <w:t>Pillar Name</w:t>
            </w:r>
          </w:p>
        </w:tc>
        <w:tc>
          <w:tcPr>
            <w:tcW w:type="dxa" w:w="2160"/>
            <w:shd w:fill="E2E8F0"/>
          </w:tcPr>
          <w:p>
            <w:pPr>
              <w:jc w:val="center"/>
            </w:pPr>
            <w:r>
              <w:rPr>
                <w:rFonts w:ascii="Times New Roman" w:hAnsi="Times New Roman"/>
                <w:b/>
                <w:sz w:val="20"/>
              </w:rPr>
              <w:t>Max Points</w:t>
            </w:r>
          </w:p>
        </w:tc>
        <w:tc>
          <w:tcPr>
            <w:tcW w:type="dxa" w:w="3168"/>
            <w:shd w:fill="E2E8F0"/>
          </w:tcPr>
          <w:p>
            <w:pPr>
              <w:jc w:val="center"/>
            </w:pPr>
            <w:r>
              <w:rPr>
                <w:rFonts w:ascii="Times New Roman" w:hAnsi="Times New Roman"/>
                <w:b/>
                <w:sz w:val="20"/>
              </w:rPr>
              <w:t>Key Quantitative Benchmark</w:t>
            </w:r>
          </w:p>
        </w:tc>
        <w:tc>
          <w:tcPr>
            <w:tcW w:type="dxa" w:w="2592"/>
            <w:shd w:fill="E2E8F0"/>
          </w:tcPr>
          <w:p>
            <w:pPr>
              <w:jc w:val="center"/>
            </w:pPr>
            <w:r>
              <w:rPr>
                <w:rFonts w:ascii="Times New Roman" w:hAnsi="Times New Roman"/>
                <w:b/>
                <w:sz w:val="20"/>
              </w:rPr>
              <w:t>Letter Grade Mapping</w:t>
            </w:r>
          </w:p>
        </w:tc>
      </w:tr>
      <w:tr>
        <w:tc>
          <w:tcPr>
            <w:tcW w:type="dxa" w:w="2160"/>
          </w:tcPr>
          <w:p>
            <w:pPr>
              <w:jc w:val="left"/>
            </w:pPr>
            <w:r>
              <w:rPr>
                <w:rFonts w:ascii="Times New Roman" w:hAnsi="Times New Roman"/>
                <w:sz w:val="19"/>
              </w:rPr>
              <w:t>Debt Management</w:t>
            </w:r>
          </w:p>
        </w:tc>
        <w:tc>
          <w:tcPr>
            <w:tcW w:type="dxa" w:w="2160"/>
          </w:tcPr>
          <w:p>
            <w:pPr>
              <w:jc w:val="center"/>
            </w:pPr>
            <w:r>
              <w:rPr>
                <w:rFonts w:ascii="Times New Roman" w:hAnsi="Times New Roman"/>
                <w:sz w:val="19"/>
              </w:rPr>
              <w:t>25 Points</w:t>
            </w:r>
          </w:p>
        </w:tc>
        <w:tc>
          <w:tcPr>
            <w:tcW w:type="dxa" w:w="3168"/>
          </w:tcPr>
          <w:p>
            <w:pPr>
              <w:jc w:val="left"/>
            </w:pPr>
            <w:r>
              <w:rPr>
                <w:rFonts w:ascii="Times New Roman" w:hAnsi="Times New Roman"/>
                <w:sz w:val="19"/>
              </w:rPr>
              <w:t>DTI &lt;= 0.20 &amp; Utilization &lt;= 50%</w:t>
            </w:r>
          </w:p>
        </w:tc>
        <w:tc>
          <w:tcPr>
            <w:tcW w:type="dxa" w:w="2592"/>
          </w:tcPr>
          <w:p>
            <w:pPr>
              <w:jc w:val="center"/>
            </w:pPr>
            <w:r>
              <w:rPr>
                <w:rFonts w:ascii="Times New Roman" w:hAnsi="Times New Roman"/>
                <w:sz w:val="19"/>
              </w:rPr>
              <w:t>80 - 100: EXCELLENT</w:t>
            </w:r>
          </w:p>
        </w:tc>
      </w:tr>
      <w:tr>
        <w:tc>
          <w:tcPr>
            <w:tcW w:type="dxa" w:w="2160"/>
            <w:shd w:fill="F8FAFC"/>
          </w:tcPr>
          <w:p>
            <w:pPr>
              <w:jc w:val="left"/>
            </w:pPr>
            <w:r>
              <w:rPr>
                <w:rFonts w:ascii="Times New Roman" w:hAnsi="Times New Roman"/>
                <w:sz w:val="19"/>
              </w:rPr>
              <w:t>Cash Flow &amp; Liquidity</w:t>
            </w:r>
          </w:p>
        </w:tc>
        <w:tc>
          <w:tcPr>
            <w:tcW w:type="dxa" w:w="2160"/>
            <w:shd w:fill="F8FAFC"/>
          </w:tcPr>
          <w:p>
            <w:pPr>
              <w:jc w:val="center"/>
            </w:pPr>
            <w:r>
              <w:rPr>
                <w:rFonts w:ascii="Times New Roman" w:hAnsi="Times New Roman"/>
                <w:sz w:val="19"/>
              </w:rPr>
              <w:t>25 Points</w:t>
            </w:r>
          </w:p>
        </w:tc>
        <w:tc>
          <w:tcPr>
            <w:tcW w:type="dxa" w:w="3168"/>
            <w:shd w:fill="F8FAFC"/>
          </w:tcPr>
          <w:p>
            <w:pPr>
              <w:jc w:val="left"/>
            </w:pPr>
            <w:r>
              <w:rPr>
                <w:rFonts w:ascii="Times New Roman" w:hAnsi="Times New Roman"/>
                <w:sz w:val="19"/>
              </w:rPr>
              <w:t>Cash Flow Coverage &gt;= 1.5x</w:t>
            </w:r>
          </w:p>
        </w:tc>
        <w:tc>
          <w:tcPr>
            <w:tcW w:type="dxa" w:w="2592"/>
            <w:shd w:fill="F8FAFC"/>
          </w:tcPr>
          <w:p>
            <w:pPr>
              <w:jc w:val="center"/>
            </w:pPr>
            <w:r>
              <w:rPr>
                <w:rFonts w:ascii="Times New Roman" w:hAnsi="Times New Roman"/>
                <w:sz w:val="19"/>
              </w:rPr>
              <w:t>65 - 79: GOOD</w:t>
            </w:r>
          </w:p>
        </w:tc>
      </w:tr>
      <w:tr>
        <w:tc>
          <w:tcPr>
            <w:tcW w:type="dxa" w:w="2160"/>
          </w:tcPr>
          <w:p>
            <w:pPr>
              <w:jc w:val="left"/>
            </w:pPr>
            <w:r>
              <w:rPr>
                <w:rFonts w:ascii="Times New Roman" w:hAnsi="Times New Roman"/>
                <w:sz w:val="19"/>
              </w:rPr>
              <w:t>Profitability &amp; Margins</w:t>
            </w:r>
          </w:p>
        </w:tc>
        <w:tc>
          <w:tcPr>
            <w:tcW w:type="dxa" w:w="2160"/>
          </w:tcPr>
          <w:p>
            <w:pPr>
              <w:jc w:val="center"/>
            </w:pPr>
            <w:r>
              <w:rPr>
                <w:rFonts w:ascii="Times New Roman" w:hAnsi="Times New Roman"/>
                <w:sz w:val="19"/>
              </w:rPr>
              <w:t>20 Points</w:t>
            </w:r>
          </w:p>
        </w:tc>
        <w:tc>
          <w:tcPr>
            <w:tcW w:type="dxa" w:w="3168"/>
          </w:tcPr>
          <w:p>
            <w:pPr>
              <w:jc w:val="left"/>
            </w:pPr>
            <w:r>
              <w:rPr>
                <w:rFonts w:ascii="Times New Roman" w:hAnsi="Times New Roman"/>
                <w:sz w:val="19"/>
              </w:rPr>
              <w:t>Operating Margin &gt;= 25.0%</w:t>
            </w:r>
          </w:p>
        </w:tc>
        <w:tc>
          <w:tcPr>
            <w:tcW w:type="dxa" w:w="2592"/>
          </w:tcPr>
          <w:p>
            <w:pPr>
              <w:jc w:val="center"/>
            </w:pPr>
            <w:r>
              <w:rPr>
                <w:rFonts w:ascii="Times New Roman" w:hAnsi="Times New Roman"/>
                <w:sz w:val="19"/>
              </w:rPr>
              <w:t>50 - 64: FAIR</w:t>
            </w:r>
          </w:p>
        </w:tc>
      </w:tr>
      <w:tr>
        <w:tc>
          <w:tcPr>
            <w:tcW w:type="dxa" w:w="2160"/>
            <w:shd w:fill="F8FAFC"/>
          </w:tcPr>
          <w:p>
            <w:pPr>
              <w:jc w:val="left"/>
            </w:pPr>
            <w:r>
              <w:rPr>
                <w:rFonts w:ascii="Times New Roman" w:hAnsi="Times New Roman"/>
                <w:sz w:val="19"/>
              </w:rPr>
              <w:t>Repayment History</w:t>
            </w:r>
          </w:p>
        </w:tc>
        <w:tc>
          <w:tcPr>
            <w:tcW w:type="dxa" w:w="2160"/>
            <w:shd w:fill="F8FAFC"/>
          </w:tcPr>
          <w:p>
            <w:pPr>
              <w:jc w:val="center"/>
            </w:pPr>
            <w:r>
              <w:rPr>
                <w:rFonts w:ascii="Times New Roman" w:hAnsi="Times New Roman"/>
                <w:sz w:val="19"/>
              </w:rPr>
              <w:t>20 Points</w:t>
            </w:r>
          </w:p>
        </w:tc>
        <w:tc>
          <w:tcPr>
            <w:tcW w:type="dxa" w:w="3168"/>
            <w:shd w:fill="F8FAFC"/>
          </w:tcPr>
          <w:p>
            <w:pPr>
              <w:jc w:val="left"/>
            </w:pPr>
            <w:r>
              <w:rPr>
                <w:rFonts w:ascii="Times New Roman" w:hAnsi="Times New Roman"/>
                <w:sz w:val="19"/>
              </w:rPr>
              <w:t>Bureau Score &gt;= 90 &amp; Defaults = 0</w:t>
            </w:r>
          </w:p>
        </w:tc>
        <w:tc>
          <w:tcPr>
            <w:tcW w:type="dxa" w:w="2592"/>
            <w:shd w:fill="F8FAFC"/>
          </w:tcPr>
          <w:p>
            <w:pPr>
              <w:jc w:val="left"/>
            </w:pPr>
            <w:r>
              <w:rPr>
                <w:rFonts w:ascii="Times New Roman" w:hAnsi="Times New Roman"/>
                <w:sz w:val="19"/>
              </w:rPr>
              <w:t>&lt; 50: POOR / STRESSED</w:t>
            </w:r>
          </w:p>
        </w:tc>
      </w:tr>
      <w:tr>
        <w:tc>
          <w:tcPr>
            <w:tcW w:type="dxa" w:w="2160"/>
          </w:tcPr>
          <w:p>
            <w:pPr>
              <w:jc w:val="left"/>
            </w:pPr>
            <w:r>
              <w:rPr>
                <w:rFonts w:ascii="Times New Roman" w:hAnsi="Times New Roman"/>
                <w:sz w:val="19"/>
              </w:rPr>
              <w:t>Business Stability</w:t>
            </w:r>
          </w:p>
        </w:tc>
        <w:tc>
          <w:tcPr>
            <w:tcW w:type="dxa" w:w="2160"/>
          </w:tcPr>
          <w:p>
            <w:pPr>
              <w:jc w:val="center"/>
            </w:pPr>
            <w:r>
              <w:rPr>
                <w:rFonts w:ascii="Times New Roman" w:hAnsi="Times New Roman"/>
                <w:sz w:val="19"/>
              </w:rPr>
              <w:t>10 Points</w:t>
            </w:r>
          </w:p>
        </w:tc>
        <w:tc>
          <w:tcPr>
            <w:tcW w:type="dxa" w:w="3168"/>
          </w:tcPr>
          <w:p>
            <w:pPr>
              <w:jc w:val="left"/>
            </w:pPr>
            <w:r>
              <w:rPr>
                <w:rFonts w:ascii="Times New Roman" w:hAnsi="Times New Roman"/>
                <w:sz w:val="19"/>
              </w:rPr>
              <w:t>Operational History &gt;= 10 Years</w:t>
            </w:r>
          </w:p>
        </w:tc>
        <w:tc>
          <w:tcPr>
            <w:tcW w:type="dxa" w:w="2592"/>
          </w:tcPr>
          <w:p>
            <w:pPr>
              <w:jc w:val="left"/>
            </w:pPr>
            <w:r>
              <w:rPr>
                <w:rFonts w:ascii="Times New Roman" w:hAnsi="Times New Roman"/>
                <w:sz w:val="19"/>
              </w:rPr>
              <w:t>Cumulative Score / 100</w:t>
            </w:r>
          </w:p>
        </w:tc>
      </w:tr>
    </w:tbl>
    <w:p>
      <w:pPr>
        <w:spacing w:before="320" w:after="120" w:line="276" w:lineRule="auto"/>
        <w:jc w:val="left"/>
      </w:pPr>
      <w:r>
        <w:rPr>
          <w:rFonts w:ascii="Times New Roman" w:hAnsi="Times New Roman"/>
          <w:b/>
          <w:color w:val="000000"/>
          <w:sz w:val="24"/>
        </w:rPr>
        <w:t>2.6 COUNTERFACTUAL &amp; SCENARIO SIMULATION MECHANICS</w:t>
      </w:r>
    </w:p>
    <w:p>
      <w:pPr>
        <w:spacing w:line="360" w:lineRule="auto" w:after="120"/>
        <w:ind w:firstLine="360"/>
        <w:jc w:val="both"/>
      </w:pPr>
      <w:r>
        <w:rPr>
          <w:rFonts w:ascii="Times New Roman" w:hAnsi="Times New Roman"/>
          <w:sz w:val="24"/>
        </w:rPr>
        <w:t>Traditional credit scoring leaves rejected applicants at an impasse, offering no diagnostic remedy. The counterfactual What-If simulation engine bridges this gap. When a user adjusts operational levers (e.g., reducing debt by ₹10 Lakh or expanding revenue by 20%), the engine updates the input vector x, recomputes all engineered ratios dynamically, and propagates the modified state through the saved preprocessor and trained estimator.</w:t>
      </w:r>
    </w:p>
    <w:p>
      <w:pPr>
        <w:spacing w:line="360" w:lineRule="auto" w:after="120"/>
        <w:ind w:firstLine="360"/>
        <w:jc w:val="both"/>
      </w:pPr>
      <w:r>
        <w:rPr>
          <w:rFonts w:ascii="Times New Roman" w:hAnsi="Times New Roman"/>
          <w:sz w:val="24"/>
        </w:rPr>
        <w:t>The simulation engine outputs exact delta probabilities: Delta P(C_j) = P_scenario(C_j) - P_baseline(C_j), and computes financial health score deltas without requiring model retraining. This enables interactive sensitivity analysis, allowing underwriters and borrowers to explore optimal turnaround pathways.</w:t>
      </w:r>
    </w:p>
    <w:p>
      <w:r>
        <w:br w:type="page"/>
      </w:r>
    </w:p>
    <w:p>
      <w:pPr>
        <w:spacing w:before="440" w:after="280" w:line="276" w:lineRule="auto"/>
        <w:jc w:val="center"/>
      </w:pPr>
      <w:r>
        <w:rPr>
          <w:rFonts w:ascii="Times New Roman" w:hAnsi="Times New Roman"/>
          <w:b/>
          <w:color w:val="000000"/>
          <w:sz w:val="36"/>
        </w:rPr>
        <w:t>CHAPTER 3: LITERATURE SURVEY</w:t>
      </w:r>
    </w:p>
    <w:p>
      <w:pPr>
        <w:spacing w:before="320" w:after="120" w:line="276" w:lineRule="auto"/>
        <w:jc w:val="left"/>
      </w:pPr>
      <w:r>
        <w:rPr>
          <w:rFonts w:ascii="Times New Roman" w:hAnsi="Times New Roman"/>
          <w:b/>
          <w:color w:val="000000"/>
          <w:sz w:val="24"/>
        </w:rPr>
        <w:t>3.1 IN-DEPTH REVIEW OF FOUNDATIONAL LITERATURE</w:t>
      </w:r>
    </w:p>
    <w:p>
      <w:pPr>
        <w:spacing w:line="360" w:lineRule="auto" w:after="120"/>
        <w:ind w:firstLine="360"/>
        <w:jc w:val="both"/>
      </w:pPr>
      <w:r>
        <w:rPr>
          <w:rFonts w:ascii="Times New Roman" w:hAnsi="Times New Roman"/>
          <w:sz w:val="24"/>
        </w:rPr>
        <w:t>To establish a rigorous theoretical grounding, this section reviews 14 foundational and contemporary research publications across credit risk modeling, class imbalance, explainable machine learning, and financial regulatory frameworks:</w:t>
      </w:r>
    </w:p>
    <w:p>
      <w:pPr>
        <w:spacing w:line="360" w:lineRule="auto" w:after="120"/>
        <w:ind w:firstLine="360"/>
        <w:jc w:val="both"/>
      </w:pPr>
      <w:r>
        <w:rPr>
          <w:rFonts w:ascii="Times New Roman" w:hAnsi="Times New Roman"/>
          <w:sz w:val="24"/>
        </w:rPr>
        <w:t>1. Gudadhe et al. (2026) [Primary Base Paper]: In 'Explainable Alternative Credit Scoring For Thin-File MSMEs Via Multi-Source Behavioral Data Fusion And XGBoost' (International Journal of Artificial Intelligence and Machine Learning, IJAIML, SvedbergOpen, vol. 6, no. 6s, pp. 995–1010, DOI: 10.51483/IJAIML.6.6s.2026.995-1010), Dr. Santwana Gudadhe, Dr. Sita Yadav, Dr. Pallavi Adke, Dr. Vishwas Kalunge, and Dr. Khushal Khairnar investigated alternative credit scoring for thin-file MSMEs by fusing US Small Business Administration (SBA) loan datasets with application records and credit bureau histories. Using SMOTE on training data and benchmarking baseline Logistic Regression against XGBoost, their model achieved an AUC of 0.9646 and an F1-score of 0.9115, using TreeSHAP to isolate critical delinquency drivers and exposing scoring via a REST API. However, their architecture operated as an offline, binary default scoring tool without interactive counterfactual scenario modeling, independent multi-pillar operational health scoring, or borrower-facing turnaround guidance.</w:t>
      </w:r>
    </w:p>
    <w:p>
      <w:pPr>
        <w:spacing w:line="360" w:lineRule="auto" w:after="120"/>
        <w:ind w:firstLine="360"/>
        <w:jc w:val="both"/>
      </w:pPr>
      <w:r>
        <w:rPr>
          <w:rFonts w:ascii="Times New Roman" w:hAnsi="Times New Roman"/>
          <w:sz w:val="24"/>
        </w:rPr>
        <w:t>2. Bussmann et al. (2021): In 'Explainable Machine Learning in Credit Risk Management' (Computational Economics), the authors investigated the tension between the predictive prowess of machine learning ensembles and regulatory transparency mandates. Analyzing a proprietary dataset of European small and medium enterprises, they demonstrated that TreeSHAP could decompose complex gradient-boosted trees and random forest predictions into exact feature attributions, satisfying supervisory explainability guidelines.</w:t>
      </w:r>
    </w:p>
    <w:p>
      <w:pPr>
        <w:spacing w:line="360" w:lineRule="auto" w:after="120"/>
        <w:ind w:firstLine="360"/>
        <w:jc w:val="both"/>
      </w:pPr>
      <w:r>
        <w:rPr>
          <w:rFonts w:ascii="Times New Roman" w:hAnsi="Times New Roman"/>
          <w:sz w:val="24"/>
        </w:rPr>
        <w:t>2. Chawla et al. (2002): In their seminal work 'SMOTE: Synthetic Minority Over-sampling Technique' (Journal of Artificial Intelligence Research), the authors established that simple random over-sampling of minority instances leads to severe model overfitting. By synthesizing artificial minority instances along feature line segments between k-nearest neighbors, SMOTE achieved substantial improvements in minority-class recall. Crucially, the authors cautioned that resampling must never touch validation or test data—a foundational principle strictly enforced in our zero-leakage pipeline design.</w:t>
      </w:r>
    </w:p>
    <w:p>
      <w:pPr>
        <w:spacing w:line="360" w:lineRule="auto" w:after="120"/>
        <w:ind w:firstLine="360"/>
        <w:jc w:val="both"/>
      </w:pPr>
      <w:r>
        <w:rPr>
          <w:rFonts w:ascii="Times New Roman" w:hAnsi="Times New Roman"/>
          <w:sz w:val="24"/>
        </w:rPr>
        <w:t>3. Ciampi et al. (2020): In 'SME Default Prediction with Machine Learning' (European Journal of Operational Research), Ciampi and colleagues benchmarked traditional linear models against tree ensembles across thousands of Italian manufacturing SMEs. Their empirical findings proved that engineered financial ratios—specifically cash flow coverage and debt solvency indicators—dramatically outperformed raw balance sheet quantities. However, their models produced static binary default outputs without actionable borrower feedback.</w:t>
      </w:r>
    </w:p>
    <w:p>
      <w:pPr>
        <w:spacing w:line="360" w:lineRule="auto" w:after="120"/>
        <w:ind w:firstLine="360"/>
        <w:jc w:val="both"/>
      </w:pPr>
      <w:r>
        <w:rPr>
          <w:rFonts w:ascii="Times New Roman" w:hAnsi="Times New Roman"/>
          <w:sz w:val="24"/>
        </w:rPr>
        <w:t>4. Lundberg and Lee (2017): In 'A Unified Approach to Interpreting Model Predictions' (NeurIPS), the authors proposed the SHAP framework, proving that Shapley values represent the unique class of additive feature attributions satisfying local accuracy, missingness, and consistency. Their mathematical proof provides the theoretical bedrock for our local explainability module.</w:t>
      </w:r>
    </w:p>
    <w:p>
      <w:pPr>
        <w:spacing w:line="360" w:lineRule="auto" w:after="120"/>
        <w:ind w:firstLine="360"/>
        <w:jc w:val="both"/>
      </w:pPr>
      <w:r>
        <w:rPr>
          <w:rFonts w:ascii="Times New Roman" w:hAnsi="Times New Roman"/>
          <w:sz w:val="24"/>
        </w:rPr>
        <w:t>5. Altman (1968): In 'Financial Ratios, Discriminant Analysis and the Prediction of Corporate Bankruptcy' (The Journal of Finance), Edward Altman pioneered the multi-variable Z-score model using Multiple Discriminant Analysis (MDA). While historically revolutionary, Altman's formulation enforces rigid linear assumptions that break down when applied to heterogeneous micro-enterprises.</w:t>
      </w:r>
    </w:p>
    <w:p>
      <w:pPr>
        <w:spacing w:line="360" w:lineRule="auto" w:after="120"/>
        <w:ind w:firstLine="360"/>
        <w:jc w:val="both"/>
      </w:pPr>
      <w:r>
        <w:rPr>
          <w:rFonts w:ascii="Times New Roman" w:hAnsi="Times New Roman"/>
          <w:sz w:val="24"/>
        </w:rPr>
        <w:t>6. He et al. (2008): In 'ADASYN: Adaptive Synthetic Sampling Approach for Imbalanced Learning' (IEEE World Congress on Computational Intelligence), the authors introduced an adaptive sampling approach that weights minority instances by their learning difficulty, focusing synthesis along complex decision boundaries.</w:t>
      </w:r>
    </w:p>
    <w:p>
      <w:pPr>
        <w:spacing w:line="360" w:lineRule="auto" w:after="120"/>
        <w:ind w:firstLine="360"/>
        <w:jc w:val="both"/>
      </w:pPr>
      <w:r>
        <w:rPr>
          <w:rFonts w:ascii="Times New Roman" w:hAnsi="Times New Roman"/>
          <w:sz w:val="24"/>
        </w:rPr>
        <w:t>7. Reserve Bank of India (2019): In the 'Report of the Expert Committee on Micro, Small and Medium Enterprises' (chaired by U. K. Sinha), the committee highlighted the massive ₹25 Trillion credit gap in India's MSME sector, recommending the urgent adoption of automated, data-driven credit appraisal mechanisms.</w:t>
      </w:r>
    </w:p>
    <w:p>
      <w:pPr>
        <w:spacing w:line="360" w:lineRule="auto" w:after="120"/>
        <w:ind w:firstLine="360"/>
        <w:jc w:val="both"/>
      </w:pPr>
      <w:r>
        <w:rPr>
          <w:rFonts w:ascii="Times New Roman" w:hAnsi="Times New Roman"/>
          <w:sz w:val="24"/>
        </w:rPr>
        <w:t>8. International Finance Corporation (2018): In 'Financing India’s MSMEs: Estimation of Debt Requirement', the World Bank Group documented that over 80% of Indian MSMEs rely on informal credit channels due to documentation hurdles and lack of traditional collateral.</w:t>
      </w:r>
    </w:p>
    <w:p>
      <w:pPr>
        <w:spacing w:line="360" w:lineRule="auto" w:after="120"/>
        <w:ind w:firstLine="360"/>
        <w:jc w:val="both"/>
      </w:pPr>
      <w:r>
        <w:rPr>
          <w:rFonts w:ascii="Times New Roman" w:hAnsi="Times New Roman"/>
          <w:sz w:val="24"/>
        </w:rPr>
        <w:t>9. Ribeiro et al. (2016): In ''Why Should I Trust You?': Explaining the Predictions of Any Classifier' (ACM KDD), the authors introduced LIME. While computationally fast, LIME uses heuristic perturbations that lack the axiomatic guarantees of game-theoretic Shapley values.</w:t>
      </w:r>
    </w:p>
    <w:p>
      <w:pPr>
        <w:spacing w:line="360" w:lineRule="auto" w:after="120"/>
        <w:ind w:firstLine="360"/>
        <w:jc w:val="both"/>
      </w:pPr>
      <w:r>
        <w:rPr>
          <w:rFonts w:ascii="Times New Roman" w:hAnsi="Times New Roman"/>
          <w:sz w:val="24"/>
        </w:rPr>
        <w:t>10. Friedman (2001): In 'Greedy Function Approximation: A Gradient Boosting Machine' (Annals of Statistics), Jerome Friedman formalized gradient boosting, establishing the theoretical foundation for high-performance sequential tree ensembles.</w:t>
      </w:r>
    </w:p>
    <w:p>
      <w:pPr>
        <w:spacing w:line="360" w:lineRule="auto" w:after="120"/>
        <w:ind w:firstLine="360"/>
        <w:jc w:val="both"/>
      </w:pPr>
      <w:r>
        <w:rPr>
          <w:rFonts w:ascii="Times New Roman" w:hAnsi="Times New Roman"/>
          <w:sz w:val="24"/>
        </w:rPr>
        <w:t>11. Chen and Guestrin (2016): In 'XGBoost: A Scalable Tree Boosting System' (ACM KDD), the authors introduced regularized tree boosting with second-order gradient optimization, setting the computational benchmark for tabular classification.</w:t>
      </w:r>
    </w:p>
    <w:p>
      <w:pPr>
        <w:spacing w:line="360" w:lineRule="auto" w:after="120"/>
        <w:ind w:firstLine="360"/>
        <w:jc w:val="both"/>
      </w:pPr>
      <w:r>
        <w:rPr>
          <w:rFonts w:ascii="Times New Roman" w:hAnsi="Times New Roman"/>
          <w:sz w:val="24"/>
        </w:rPr>
        <w:t>12. Breiman (2001): In 'Random Forests' (Machine Learning), Leo Breiman introduced bagging and random subspace projection, demonstrating that ensembles of de-correlated decision trees significantly reduce variance.</w:t>
      </w:r>
    </w:p>
    <w:p>
      <w:pPr>
        <w:spacing w:line="360" w:lineRule="auto" w:after="120"/>
        <w:ind w:firstLine="360"/>
        <w:jc w:val="both"/>
      </w:pPr>
      <w:r>
        <w:rPr>
          <w:rFonts w:ascii="Times New Roman" w:hAnsi="Times New Roman"/>
          <w:sz w:val="24"/>
        </w:rPr>
        <w:t>13. Basel Committee on Banking Supervision (2006): In 'International Convergence of Capital Measurement and Capital Standards' (Basel II/III), the BCBS mandated that internal bank credit risk models must demonstrate empirical probability calibration and complete audit traceability.</w:t>
      </w:r>
    </w:p>
    <w:p>
      <w:pPr>
        <w:spacing w:line="360" w:lineRule="auto" w:after="120"/>
        <w:ind w:firstLine="360"/>
        <w:jc w:val="both"/>
      </w:pPr>
      <w:r>
        <w:rPr>
          <w:rFonts w:ascii="Times New Roman" w:hAnsi="Times New Roman"/>
          <w:sz w:val="24"/>
        </w:rPr>
        <w:t>14. Hand and Henley (1997): In 'Statistical Classification Methods in Consumer Credit Scoring' (Journal of the Royal Statistical Society), the authors surveyed statistical scoring methodologies, emphasizing that multi-collinearity among financial metrics must be addressed through regularization.</w:t>
      </w:r>
    </w:p>
    <w:p>
      <w:pPr>
        <w:spacing w:before="320" w:after="120" w:line="276" w:lineRule="auto"/>
        <w:jc w:val="left"/>
      </w:pPr>
      <w:r>
        <w:rPr>
          <w:rFonts w:ascii="Times New Roman" w:hAnsi="Times New Roman"/>
          <w:b/>
          <w:color w:val="000000"/>
          <w:sz w:val="24"/>
        </w:rPr>
        <w:t>3.2 COMPREHENSIVE LITERATURE SURVEY &amp; COMPARATIVE MATRIX</w:t>
      </w:r>
    </w:p>
    <w:p>
      <w:pPr>
        <w:spacing w:line="360" w:lineRule="auto" w:after="120"/>
        <w:ind w:firstLine="360"/>
        <w:jc w:val="both"/>
      </w:pPr>
      <w:r>
        <w:rPr>
          <w:rFonts w:ascii="Times New Roman" w:hAnsi="Times New Roman"/>
          <w:sz w:val="24"/>
        </w:rPr>
        <w:t>Table 3.1 synthesizes the literature review across methodology, dataset, key findings, identified research gaps, and how each gap is resolved in the proposed AI-Based MSME Credit Risk Assistant:</w:t>
      </w:r>
    </w:p>
    <w:tbl>
      <w:tblPr>
        <w:tblW w:type="auto" w:w="0"/>
        <w:jc w:val="center"/>
        <w:tblLook w:firstColumn="1" w:firstRow="1" w:lastColumn="0" w:lastRow="0" w:noHBand="0" w:noVBand="1" w:val="04A0"/>
      </w:tblPr>
      <w:tblGrid>
        <w:gridCol w:w="2167"/>
        <w:gridCol w:w="2167"/>
        <w:gridCol w:w="2167"/>
        <w:gridCol w:w="2167"/>
      </w:tblGrid>
      <w:tr>
        <w:tc>
          <w:tcPr>
            <w:tcW w:type="dxa" w:w="2016"/>
            <w:shd w:fill="E2E8F0"/>
          </w:tcPr>
          <w:p>
            <w:pPr>
              <w:jc w:val="center"/>
            </w:pPr>
            <w:r>
              <w:rPr>
                <w:rFonts w:ascii="Times New Roman" w:hAnsi="Times New Roman"/>
                <w:b/>
                <w:sz w:val="20"/>
              </w:rPr>
              <w:t>Author &amp; Year</w:t>
            </w:r>
          </w:p>
        </w:tc>
        <w:tc>
          <w:tcPr>
            <w:tcW w:type="dxa" w:w="2592"/>
            <w:shd w:fill="E2E8F0"/>
          </w:tcPr>
          <w:p>
            <w:pPr>
              <w:jc w:val="center"/>
            </w:pPr>
            <w:r>
              <w:rPr>
                <w:rFonts w:ascii="Times New Roman" w:hAnsi="Times New Roman"/>
                <w:b/>
                <w:sz w:val="20"/>
              </w:rPr>
              <w:t>Methodology &amp; Scope</w:t>
            </w:r>
          </w:p>
        </w:tc>
        <w:tc>
          <w:tcPr>
            <w:tcW w:type="dxa" w:w="2880"/>
            <w:shd w:fill="E2E8F0"/>
          </w:tcPr>
          <w:p>
            <w:pPr>
              <w:jc w:val="center"/>
            </w:pPr>
            <w:r>
              <w:rPr>
                <w:rFonts w:ascii="Times New Roman" w:hAnsi="Times New Roman"/>
                <w:b/>
                <w:sz w:val="20"/>
              </w:rPr>
              <w:t>Key Empirical Findings</w:t>
            </w:r>
          </w:p>
        </w:tc>
        <w:tc>
          <w:tcPr>
            <w:tcW w:type="dxa" w:w="2592"/>
            <w:shd w:fill="E2E8F0"/>
          </w:tcPr>
          <w:p>
            <w:pPr>
              <w:jc w:val="center"/>
            </w:pPr>
            <w:r>
              <w:rPr>
                <w:rFonts w:ascii="Times New Roman" w:hAnsi="Times New Roman"/>
                <w:b/>
                <w:sz w:val="20"/>
              </w:rPr>
              <w:t>Addressed in Proposed Work</w:t>
            </w:r>
          </w:p>
        </w:tc>
      </w:tr>
      <w:tr>
        <w:tc>
          <w:tcPr>
            <w:tcW w:type="dxa" w:w="2016"/>
          </w:tcPr>
          <w:p>
            <w:pPr>
              <w:jc w:val="left"/>
            </w:pPr>
            <w:r>
              <w:rPr>
                <w:rFonts w:ascii="Times New Roman" w:hAnsi="Times New Roman"/>
                <w:sz w:val="19"/>
              </w:rPr>
              <w:t>Gudadhe et al. (2026) [Primary Base Paper]</w:t>
            </w:r>
          </w:p>
        </w:tc>
        <w:tc>
          <w:tcPr>
            <w:tcW w:type="dxa" w:w="2592"/>
          </w:tcPr>
          <w:p>
            <w:pPr>
              <w:jc w:val="left"/>
            </w:pPr>
            <w:r>
              <w:rPr>
                <w:rFonts w:ascii="Times New Roman" w:hAnsi="Times New Roman"/>
                <w:sz w:val="19"/>
              </w:rPr>
              <w:t>Multi-Source Data Fusion + XGBoost + SMOTE + SHAP on SBA MSME loans</w:t>
            </w:r>
          </w:p>
        </w:tc>
        <w:tc>
          <w:tcPr>
            <w:tcW w:type="dxa" w:w="2880"/>
          </w:tcPr>
          <w:p>
            <w:pPr>
              <w:jc w:val="left"/>
            </w:pPr>
            <w:r>
              <w:rPr>
                <w:rFonts w:ascii="Times New Roman" w:hAnsi="Times New Roman"/>
                <w:sz w:val="19"/>
              </w:rPr>
              <w:t>AUC of 0.9646 and F1 of 0.9115; identified delinquency ratios as key default drivers via TreeSHAP.</w:t>
            </w:r>
          </w:p>
        </w:tc>
        <w:tc>
          <w:tcPr>
            <w:tcW w:type="dxa" w:w="2592"/>
          </w:tcPr>
          <w:p>
            <w:pPr>
              <w:jc w:val="left"/>
            </w:pPr>
            <w:r>
              <w:rPr>
                <w:rFonts w:ascii="Times New Roman" w:hAnsi="Times New Roman"/>
                <w:sz w:val="19"/>
              </w:rPr>
              <w:t>Evolved static REST scoring into scalable streaming/batch engine (272k+ records in 0.12s) with closed-loop What-If &amp; 5-pillar health index.</w:t>
            </w:r>
          </w:p>
        </w:tc>
      </w:tr>
      <w:tr>
        <w:tc>
          <w:tcPr>
            <w:tcW w:type="dxa" w:w="2016"/>
            <w:shd w:fill="F8FAFC"/>
          </w:tcPr>
          <w:p>
            <w:pPr>
              <w:jc w:val="left"/>
            </w:pPr>
            <w:r>
              <w:rPr>
                <w:rFonts w:ascii="Times New Roman" w:hAnsi="Times New Roman"/>
                <w:sz w:val="19"/>
              </w:rPr>
              <w:t>Bussmann et al. (2021)</w:t>
            </w:r>
          </w:p>
        </w:tc>
        <w:tc>
          <w:tcPr>
            <w:tcW w:type="dxa" w:w="2592"/>
            <w:shd w:fill="F8FAFC"/>
          </w:tcPr>
          <w:p>
            <w:pPr>
              <w:jc w:val="left"/>
            </w:pPr>
            <w:r>
              <w:rPr>
                <w:rFonts w:ascii="Times New Roman" w:hAnsi="Times New Roman"/>
                <w:sz w:val="19"/>
              </w:rPr>
              <w:t>Shapley Values (SHAP) + Tree Ensembles on European SMEs</w:t>
            </w:r>
          </w:p>
        </w:tc>
        <w:tc>
          <w:tcPr>
            <w:tcW w:type="dxa" w:w="2880"/>
            <w:shd w:fill="F8FAFC"/>
          </w:tcPr>
          <w:p>
            <w:pPr>
              <w:jc w:val="left"/>
            </w:pPr>
            <w:r>
              <w:rPr>
                <w:rFonts w:ascii="Times New Roman" w:hAnsi="Times New Roman"/>
                <w:sz w:val="19"/>
              </w:rPr>
              <w:t>SHAP uncovers non-linear risk drivers; meets supervisory transparency guidelines.</w:t>
            </w:r>
          </w:p>
        </w:tc>
        <w:tc>
          <w:tcPr>
            <w:tcW w:type="dxa" w:w="2592"/>
            <w:shd w:fill="F8FAFC"/>
          </w:tcPr>
          <w:p>
            <w:pPr>
              <w:jc w:val="left"/>
            </w:pPr>
            <w:r>
              <w:rPr>
                <w:rFonts w:ascii="Times New Roman" w:hAnsi="Times New Roman"/>
                <w:sz w:val="19"/>
              </w:rPr>
              <w:t>Operationalized real-time interactive web app with local/global XAI and scenario simulation.</w:t>
            </w:r>
          </w:p>
        </w:tc>
      </w:tr>
      <w:tr>
        <w:tc>
          <w:tcPr>
            <w:tcW w:type="dxa" w:w="2016"/>
          </w:tcPr>
          <w:p>
            <w:pPr>
              <w:jc w:val="left"/>
            </w:pPr>
            <w:r>
              <w:rPr>
                <w:rFonts w:ascii="Times New Roman" w:hAnsi="Times New Roman"/>
                <w:sz w:val="19"/>
              </w:rPr>
              <w:t>Chawla et al. (2002)</w:t>
            </w:r>
          </w:p>
        </w:tc>
        <w:tc>
          <w:tcPr>
            <w:tcW w:type="dxa" w:w="2592"/>
          </w:tcPr>
          <w:p>
            <w:pPr>
              <w:jc w:val="left"/>
            </w:pPr>
            <w:r>
              <w:rPr>
                <w:rFonts w:ascii="Times New Roman" w:hAnsi="Times New Roman"/>
                <w:sz w:val="19"/>
              </w:rPr>
              <w:t>Synthetic Minority Over-sampling Technique (SMOTE)</w:t>
            </w:r>
          </w:p>
        </w:tc>
        <w:tc>
          <w:tcPr>
            <w:tcW w:type="dxa" w:w="2880"/>
          </w:tcPr>
          <w:p>
            <w:pPr>
              <w:jc w:val="left"/>
            </w:pPr>
            <w:r>
              <w:rPr>
                <w:rFonts w:ascii="Times New Roman" w:hAnsi="Times New Roman"/>
                <w:sz w:val="19"/>
              </w:rPr>
              <w:t>Overcomes majority bias; significantly improves minority class recall.</w:t>
            </w:r>
          </w:p>
        </w:tc>
        <w:tc>
          <w:tcPr>
            <w:tcW w:type="dxa" w:w="2592"/>
          </w:tcPr>
          <w:p>
            <w:pPr>
              <w:jc w:val="left"/>
            </w:pPr>
            <w:r>
              <w:rPr>
                <w:rFonts w:ascii="Times New Roman" w:hAnsi="Times New Roman"/>
                <w:sz w:val="19"/>
              </w:rPr>
              <w:t>Implemented SMOTE &amp; ADASYN strictly within CV folds to prevent data leakage.</w:t>
            </w:r>
          </w:p>
        </w:tc>
      </w:tr>
      <w:tr>
        <w:tc>
          <w:tcPr>
            <w:tcW w:type="dxa" w:w="2016"/>
            <w:shd w:fill="F8FAFC"/>
          </w:tcPr>
          <w:p>
            <w:pPr>
              <w:jc w:val="left"/>
            </w:pPr>
            <w:r>
              <w:rPr>
                <w:rFonts w:ascii="Times New Roman" w:hAnsi="Times New Roman"/>
                <w:sz w:val="19"/>
              </w:rPr>
              <w:t>Ciampi et al. (2020)</w:t>
            </w:r>
          </w:p>
        </w:tc>
        <w:tc>
          <w:tcPr>
            <w:tcW w:type="dxa" w:w="2592"/>
            <w:shd w:fill="F8FAFC"/>
          </w:tcPr>
          <w:p>
            <w:pPr>
              <w:jc w:val="left"/>
            </w:pPr>
            <w:r>
              <w:rPr>
                <w:rFonts w:ascii="Times New Roman" w:hAnsi="Times New Roman"/>
                <w:sz w:val="19"/>
              </w:rPr>
              <w:t>Benchmarked ML classifiers vs Altman Z-Score on Italian SMEs</w:t>
            </w:r>
          </w:p>
        </w:tc>
        <w:tc>
          <w:tcPr>
            <w:tcW w:type="dxa" w:w="2880"/>
            <w:shd w:fill="F8FAFC"/>
          </w:tcPr>
          <w:p>
            <w:pPr>
              <w:jc w:val="left"/>
            </w:pPr>
            <w:r>
              <w:rPr>
                <w:rFonts w:ascii="Times New Roman" w:hAnsi="Times New Roman"/>
                <w:sz w:val="19"/>
              </w:rPr>
              <w:t>Ratio engineering substantially enhances predictive power over raw balance sheet data.</w:t>
            </w:r>
          </w:p>
        </w:tc>
        <w:tc>
          <w:tcPr>
            <w:tcW w:type="dxa" w:w="2592"/>
            <w:shd w:fill="F8FAFC"/>
          </w:tcPr>
          <w:p>
            <w:pPr>
              <w:jc w:val="left"/>
            </w:pPr>
            <w:r>
              <w:rPr>
                <w:rFonts w:ascii="Times New Roman" w:hAnsi="Times New Roman"/>
                <w:sz w:val="19"/>
              </w:rPr>
              <w:t>Engineered 7 specialized ratios with zero-division clamps and multi-class classification.</w:t>
            </w:r>
          </w:p>
        </w:tc>
      </w:tr>
      <w:tr>
        <w:tc>
          <w:tcPr>
            <w:tcW w:type="dxa" w:w="2016"/>
          </w:tcPr>
          <w:p>
            <w:pPr>
              <w:jc w:val="left"/>
            </w:pPr>
            <w:r>
              <w:rPr>
                <w:rFonts w:ascii="Times New Roman" w:hAnsi="Times New Roman"/>
                <w:sz w:val="19"/>
              </w:rPr>
              <w:t>Lundberg &amp; Lee (2017)</w:t>
            </w:r>
          </w:p>
        </w:tc>
        <w:tc>
          <w:tcPr>
            <w:tcW w:type="dxa" w:w="2592"/>
          </w:tcPr>
          <w:p>
            <w:pPr>
              <w:jc w:val="left"/>
            </w:pPr>
            <w:r>
              <w:rPr>
                <w:rFonts w:ascii="Times New Roman" w:hAnsi="Times New Roman"/>
                <w:sz w:val="19"/>
              </w:rPr>
              <w:t>Cooperative game theory formulation for additive attributions</w:t>
            </w:r>
          </w:p>
        </w:tc>
        <w:tc>
          <w:tcPr>
            <w:tcW w:type="dxa" w:w="2880"/>
          </w:tcPr>
          <w:p>
            <w:pPr>
              <w:jc w:val="left"/>
            </w:pPr>
            <w:r>
              <w:rPr>
                <w:rFonts w:ascii="Times New Roman" w:hAnsi="Times New Roman"/>
                <w:sz w:val="19"/>
              </w:rPr>
              <w:t>Proved axiomatic uniqueness of Shapley values for model interpretability.</w:t>
            </w:r>
          </w:p>
        </w:tc>
        <w:tc>
          <w:tcPr>
            <w:tcW w:type="dxa" w:w="2592"/>
          </w:tcPr>
          <w:p>
            <w:pPr>
              <w:jc w:val="left"/>
            </w:pPr>
            <w:r>
              <w:rPr>
                <w:rFonts w:ascii="Times New Roman" w:hAnsi="Times New Roman"/>
                <w:sz w:val="19"/>
              </w:rPr>
              <w:t>Operationalized LinearSHAP for real-time directional risk factor attributions in &lt; 500 ms.</w:t>
            </w:r>
          </w:p>
        </w:tc>
      </w:tr>
      <w:tr>
        <w:tc>
          <w:tcPr>
            <w:tcW w:type="dxa" w:w="2016"/>
            <w:shd w:fill="F8FAFC"/>
          </w:tcPr>
          <w:p>
            <w:pPr>
              <w:jc w:val="left"/>
            </w:pPr>
            <w:r>
              <w:rPr>
                <w:rFonts w:ascii="Times New Roman" w:hAnsi="Times New Roman"/>
                <w:sz w:val="19"/>
              </w:rPr>
              <w:t>RBI U.K. Sinha Committee (2019)</w:t>
            </w:r>
          </w:p>
        </w:tc>
        <w:tc>
          <w:tcPr>
            <w:tcW w:type="dxa" w:w="2592"/>
            <w:shd w:fill="F8FAFC"/>
          </w:tcPr>
          <w:p>
            <w:pPr>
              <w:jc w:val="left"/>
            </w:pPr>
            <w:r>
              <w:rPr>
                <w:rFonts w:ascii="Times New Roman" w:hAnsi="Times New Roman"/>
                <w:sz w:val="19"/>
              </w:rPr>
              <w:t>Expert policy inquiry into MSME credit architecture in India</w:t>
            </w:r>
          </w:p>
        </w:tc>
        <w:tc>
          <w:tcPr>
            <w:tcW w:type="dxa" w:w="2880"/>
            <w:shd w:fill="F8FAFC"/>
          </w:tcPr>
          <w:p>
            <w:pPr>
              <w:jc w:val="left"/>
            </w:pPr>
            <w:r>
              <w:rPr>
                <w:rFonts w:ascii="Times New Roman" w:hAnsi="Times New Roman"/>
                <w:sz w:val="19"/>
              </w:rPr>
              <w:t>Identified ₹25T addressable credit deficit; recommended data-driven credit appraisal.</w:t>
            </w:r>
          </w:p>
        </w:tc>
        <w:tc>
          <w:tcPr>
            <w:tcW w:type="dxa" w:w="2592"/>
            <w:shd w:fill="F8FAFC"/>
          </w:tcPr>
          <w:p>
            <w:pPr>
              <w:jc w:val="left"/>
            </w:pPr>
            <w:r>
              <w:rPr>
                <w:rFonts w:ascii="Times New Roman" w:hAnsi="Times New Roman"/>
                <w:sz w:val="19"/>
              </w:rPr>
              <w:t>Developed institutional software architecture addressing informal MSME underwriting.</w:t>
            </w:r>
          </w:p>
        </w:tc>
      </w:tr>
      <w:tr>
        <w:tc>
          <w:tcPr>
            <w:tcW w:type="dxa" w:w="2016"/>
          </w:tcPr>
          <w:p>
            <w:pPr>
              <w:jc w:val="left"/>
            </w:pPr>
            <w:r>
              <w:rPr>
                <w:rFonts w:ascii="Times New Roman" w:hAnsi="Times New Roman"/>
                <w:sz w:val="19"/>
              </w:rPr>
              <w:t>He et al. (2008)</w:t>
            </w:r>
          </w:p>
        </w:tc>
        <w:tc>
          <w:tcPr>
            <w:tcW w:type="dxa" w:w="2592"/>
          </w:tcPr>
          <w:p>
            <w:pPr>
              <w:jc w:val="left"/>
            </w:pPr>
            <w:r>
              <w:rPr>
                <w:rFonts w:ascii="Times New Roman" w:hAnsi="Times New Roman"/>
                <w:sz w:val="19"/>
              </w:rPr>
              <w:t>Adaptive synthetic sampling approach (ADASYN)</w:t>
            </w:r>
          </w:p>
        </w:tc>
        <w:tc>
          <w:tcPr>
            <w:tcW w:type="dxa" w:w="2880"/>
          </w:tcPr>
          <w:p>
            <w:pPr>
              <w:jc w:val="left"/>
            </w:pPr>
            <w:r>
              <w:rPr>
                <w:rFonts w:ascii="Times New Roman" w:hAnsi="Times New Roman"/>
                <w:sz w:val="19"/>
              </w:rPr>
              <w:t>Synthesizes data adaptively along complex decision boundaries.</w:t>
            </w:r>
          </w:p>
        </w:tc>
        <w:tc>
          <w:tcPr>
            <w:tcW w:type="dxa" w:w="2592"/>
          </w:tcPr>
          <w:p>
            <w:pPr>
              <w:jc w:val="left"/>
            </w:pPr>
            <w:r>
              <w:rPr>
                <w:rFonts w:ascii="Times New Roman" w:hAnsi="Times New Roman"/>
                <w:sz w:val="19"/>
              </w:rPr>
              <w:t>Integrated and benchmarked ADASYN vs SMOTE across Stratified 5-Fold CV.</w:t>
            </w:r>
          </w:p>
        </w:tc>
      </w:tr>
      <w:tr>
        <w:tc>
          <w:tcPr>
            <w:tcW w:type="dxa" w:w="2016"/>
            <w:shd w:fill="F8FAFC"/>
          </w:tcPr>
          <w:p>
            <w:pPr>
              <w:jc w:val="left"/>
            </w:pPr>
            <w:r>
              <w:rPr>
                <w:rFonts w:ascii="Times New Roman" w:hAnsi="Times New Roman"/>
                <w:sz w:val="19"/>
              </w:rPr>
              <w:t>Altman (1968)</w:t>
            </w:r>
          </w:p>
        </w:tc>
        <w:tc>
          <w:tcPr>
            <w:tcW w:type="dxa" w:w="2592"/>
            <w:shd w:fill="F8FAFC"/>
          </w:tcPr>
          <w:p>
            <w:pPr>
              <w:jc w:val="left"/>
            </w:pPr>
            <w:r>
              <w:rPr>
                <w:rFonts w:ascii="Times New Roman" w:hAnsi="Times New Roman"/>
                <w:sz w:val="19"/>
              </w:rPr>
              <w:t>Multiple Discriminant Analysis (Z-score)</w:t>
            </w:r>
          </w:p>
        </w:tc>
        <w:tc>
          <w:tcPr>
            <w:tcW w:type="dxa" w:w="2880"/>
            <w:shd w:fill="F8FAFC"/>
          </w:tcPr>
          <w:p>
            <w:pPr>
              <w:jc w:val="left"/>
            </w:pPr>
            <w:r>
              <w:rPr>
                <w:rFonts w:ascii="Times New Roman" w:hAnsi="Times New Roman"/>
                <w:sz w:val="19"/>
              </w:rPr>
              <w:t>Linear combination of ratios predicts corporate bankruptcy.</w:t>
            </w:r>
          </w:p>
        </w:tc>
        <w:tc>
          <w:tcPr>
            <w:tcW w:type="dxa" w:w="2592"/>
            <w:shd w:fill="F8FAFC"/>
          </w:tcPr>
          <w:p>
            <w:pPr>
              <w:jc w:val="left"/>
            </w:pPr>
            <w:r>
              <w:rPr>
                <w:rFonts w:ascii="Times New Roman" w:hAnsi="Times New Roman"/>
                <w:sz w:val="19"/>
              </w:rPr>
              <w:t>Overcame rigid linear constraints using calibrated non-linear multi-class classification.</w:t>
            </w:r>
          </w:p>
        </w:tc>
      </w:tr>
    </w:tbl>
    <w:p>
      <w:pPr>
        <w:spacing w:before="320" w:after="120" w:line="276" w:lineRule="auto"/>
        <w:jc w:val="left"/>
      </w:pPr>
      <w:r>
        <w:rPr>
          <w:rFonts w:ascii="Times New Roman" w:hAnsi="Times New Roman"/>
          <w:b/>
          <w:color w:val="000000"/>
          <w:sz w:val="24"/>
        </w:rPr>
        <w:t>3.3 CRITICAL RESEARCH GAP ANALYSIS &amp; PROJECT DIFFERENTIATION STRATEGY</w:t>
      </w:r>
    </w:p>
    <w:p>
      <w:pPr>
        <w:spacing w:line="360" w:lineRule="auto" w:after="120"/>
        <w:ind w:firstLine="360"/>
        <w:jc w:val="both"/>
      </w:pPr>
      <w:r>
        <w:rPr>
          <w:rFonts w:ascii="Times New Roman" w:hAnsi="Times New Roman"/>
          <w:sz w:val="24"/>
        </w:rPr>
        <w:t>The extensive literature survey reveals three critical research and operational gaps in existing credit risk research:</w:t>
      </w:r>
    </w:p>
    <w:p>
      <w:pPr>
        <w:pStyle w:val="ListBullet"/>
        <w:spacing w:line="312" w:lineRule="auto" w:after="80"/>
        <w:jc w:val="both"/>
      </w:pPr>
      <w:r>
        <w:rPr>
          <w:rFonts w:ascii="Times New Roman" w:hAnsi="Times New Roman"/>
          <w:b/>
          <w:sz w:val="24"/>
        </w:rPr>
        <w:t xml:space="preserve">1. Compartmentalization of Machine Learning Research: </w:t>
      </w:r>
      <w:r>
        <w:rPr>
          <w:rFonts w:ascii="Times New Roman" w:hAnsi="Times New Roman"/>
          <w:sz w:val="24"/>
        </w:rPr>
        <w:t>Academic research has historically treated credit scoring in isolated compartments: machine learning researchers focus exclusively on ROC-AUC metrics; sampling researchers focus on synthetic generation; and explainability researchers focus on theoretical mathematical proofs. No prior framework synthesizes feature engineering, leakage-free resampling, game-theoretic explainability, and counterfactual simulation into a unified software system.</w:t>
      </w:r>
    </w:p>
    <w:p>
      <w:pPr>
        <w:pStyle w:val="ListBullet"/>
        <w:spacing w:line="312" w:lineRule="auto" w:after="80"/>
        <w:jc w:val="both"/>
      </w:pPr>
      <w:r>
        <w:rPr>
          <w:rFonts w:ascii="Times New Roman" w:hAnsi="Times New Roman"/>
          <w:b/>
          <w:sz w:val="24"/>
        </w:rPr>
        <w:t xml:space="preserve">2. The Terminal Rejection Paradigm: </w:t>
      </w:r>
      <w:r>
        <w:rPr>
          <w:rFonts w:ascii="Times New Roman" w:hAnsi="Times New Roman"/>
          <w:sz w:val="24"/>
        </w:rPr>
        <w:t>Existing credit scoring systems operate as one-directional gatekeepers. A rejected enterprise receives a static refusal without diagnostic guidance on how to fix its credit profile. There is a total absence of interactive simulation tools that allow borrowers to explore parameter interventions.</w:t>
      </w:r>
    </w:p>
    <w:p>
      <w:pPr>
        <w:pStyle w:val="ListBullet"/>
        <w:spacing w:line="312" w:lineRule="auto" w:after="80"/>
        <w:jc w:val="both"/>
      </w:pPr>
      <w:r>
        <w:rPr>
          <w:rFonts w:ascii="Times New Roman" w:hAnsi="Times New Roman"/>
          <w:b/>
          <w:sz w:val="24"/>
        </w:rPr>
        <w:t xml:space="preserve">3. Regulatory Disconnect of Black-Box Ensembles: </w:t>
      </w:r>
      <w:r>
        <w:rPr>
          <w:rFonts w:ascii="Times New Roman" w:hAnsi="Times New Roman"/>
          <w:sz w:val="24"/>
        </w:rPr>
        <w:t>Fintech companies frequently deploy complex deep learning or gradient-boosted ensembles that violate RBI and Basel supervisory transparency mandates, creating immense legal and compliance risks for lending institutions.</w:t>
      </w:r>
    </w:p>
    <w:p>
      <w:pPr>
        <w:spacing w:line="360" w:lineRule="auto" w:after="120"/>
        <w:ind w:firstLine="360"/>
        <w:jc w:val="both"/>
      </w:pPr>
      <w:r>
        <w:rPr>
          <w:rFonts w:ascii="Times New Roman" w:hAnsi="Times New Roman"/>
          <w:sz w:val="24"/>
        </w:rPr>
        <w:t>The AI-Based MSME Credit Risk Assistant differentiates itself by bridging these gaps into an integrated, production-grade decision-support platform operationalizing the PREDICT → EXPLAIN → SIMULATE → IMPROVE closed-loop workflow.</w:t>
      </w:r>
    </w:p>
    <w:p>
      <w:r>
        <w:br w:type="page"/>
      </w:r>
    </w:p>
    <w:p>
      <w:pPr>
        <w:spacing w:before="440" w:after="280" w:line="276" w:lineRule="auto"/>
        <w:jc w:val="center"/>
      </w:pPr>
      <w:r>
        <w:rPr>
          <w:rFonts w:ascii="Times New Roman" w:hAnsi="Times New Roman"/>
          <w:b/>
          <w:color w:val="000000"/>
          <w:sz w:val="36"/>
        </w:rPr>
        <w:t>CHAPTER 4: PROJECT PLAN &amp; PROCESS MODEL</w:t>
      </w:r>
    </w:p>
    <w:p>
      <w:pPr>
        <w:spacing w:before="320" w:after="120" w:line="276" w:lineRule="auto"/>
        <w:jc w:val="left"/>
      </w:pPr>
      <w:r>
        <w:rPr>
          <w:rFonts w:ascii="Times New Roman" w:hAnsi="Times New Roman"/>
          <w:b/>
          <w:color w:val="000000"/>
          <w:sz w:val="24"/>
        </w:rPr>
        <w:t>4.1 SOFTWARE ENGINEERING PROCESS MODEL (HYBRID WATERFALL-AGILE)</w:t>
      </w:r>
    </w:p>
    <w:p>
      <w:pPr>
        <w:spacing w:line="360" w:lineRule="auto" w:after="120"/>
        <w:ind w:firstLine="360"/>
        <w:jc w:val="both"/>
      </w:pPr>
      <w:r>
        <w:rPr>
          <w:rFonts w:ascii="Times New Roman" w:hAnsi="Times New Roman"/>
          <w:sz w:val="24"/>
        </w:rPr>
        <w:t>The engineering of financial machine learning software requires both structural predictability (for regulatory compliance, statistical rigor, and strict data leakage prevention) and iterative flexibility (for hyperparameter tuning, user interface usability, and feedback integration). To reconcile these dual objectives, this project adopted an Iterative Waterfall-Agile Hybrid Process Model.</w:t>
      </w:r>
    </w:p>
    <w:p>
      <w:pPr>
        <w:spacing w:before="240" w:after="80"/>
        <w:jc w:val="center"/>
      </w:pPr>
      <w:r>
        <w:drawing>
          <wp:inline xmlns:a="http://schemas.openxmlformats.org/drawingml/2006/main" xmlns:pic="http://schemas.openxmlformats.org/drawingml/2006/picture">
            <wp:extent cx="4754880" cy="2377440"/>
            <wp:docPr id="7" name="Picture 7"/>
            <wp:cNvGraphicFramePr>
              <a:graphicFrameLocks noChangeAspect="1"/>
            </wp:cNvGraphicFramePr>
            <a:graphic>
              <a:graphicData uri="http://schemas.openxmlformats.org/drawingml/2006/picture">
                <pic:pic>
                  <pic:nvPicPr>
                    <pic:cNvPr id="0" name="diag_hybrid_process.png"/>
                    <pic:cNvPicPr/>
                  </pic:nvPicPr>
                  <pic:blipFill>
                    <a:blip r:embed="rId14"/>
                    <a:stretch>
                      <a:fillRect/>
                    </a:stretch>
                  </pic:blipFill>
                  <pic:spPr>
                    <a:xfrm>
                      <a:off x="0" y="0"/>
                      <a:ext cx="4754880" cy="2377440"/>
                    </a:xfrm>
                    <a:prstGeom prst="rect"/>
                  </pic:spPr>
                </pic:pic>
              </a:graphicData>
            </a:graphic>
          </wp:inline>
        </w:drawing>
      </w:r>
    </w:p>
    <w:p>
      <w:pPr>
        <w:spacing w:after="280"/>
        <w:jc w:val="center"/>
      </w:pPr>
      <w:r>
        <w:rPr>
          <w:rFonts w:ascii="Times New Roman" w:hAnsi="Times New Roman"/>
          <w:b/>
          <w:sz w:val="21"/>
        </w:rPr>
        <w:t>Figure 4.1: Iterative Waterfall-Agile Hybrid Process Model Flowchart</w:t>
      </w:r>
    </w:p>
    <w:p>
      <w:pPr>
        <w:spacing w:line="360" w:lineRule="auto" w:after="120"/>
        <w:ind w:firstLine="360"/>
        <w:jc w:val="both"/>
      </w:pPr>
      <w:r>
        <w:rPr>
          <w:rFonts w:ascii="Times New Roman" w:hAnsi="Times New Roman"/>
          <w:sz w:val="24"/>
        </w:rPr>
        <w:t>The hybrid methodology partitions the development lifecycle into two complementary operating regimes:</w:t>
      </w:r>
    </w:p>
    <w:p>
      <w:pPr>
        <w:pStyle w:val="ListBullet"/>
        <w:spacing w:line="312" w:lineRule="auto" w:after="80"/>
        <w:jc w:val="both"/>
      </w:pPr>
      <w:r>
        <w:rPr>
          <w:rFonts w:ascii="Times New Roman" w:hAnsi="Times New Roman"/>
          <w:b/>
          <w:sz w:val="24"/>
        </w:rPr>
        <w:t xml:space="preserve">1. Waterfall Governance for the Machine Learning Core: </w:t>
      </w:r>
      <w:r>
        <w:rPr>
          <w:rFonts w:ascii="Times New Roman" w:hAnsi="Times New Roman"/>
          <w:sz w:val="24"/>
        </w:rPr>
        <w:t>The foundational components of the machine learning pipeline—including mathematical ratio formulation, data schema definitions, train/test splitting, and ColumnTransformer pipeline creation—followed a disciplined sequential Waterfall progression. Because data leakage can silently invalidate empirical conclusions, the training and evaluation splits were established and frozen at the beginning of development, ensuring that test sets remained 100% untouched throughout all subsequent iterations.</w:t>
      </w:r>
    </w:p>
    <w:p>
      <w:pPr>
        <w:pStyle w:val="ListBullet"/>
        <w:spacing w:line="312" w:lineRule="auto" w:after="80"/>
        <w:jc w:val="both"/>
      </w:pPr>
      <w:r>
        <w:rPr>
          <w:rFonts w:ascii="Times New Roman" w:hAnsi="Times New Roman"/>
          <w:b/>
          <w:sz w:val="24"/>
        </w:rPr>
        <w:t xml:space="preserve">2. Agile Scrum Sprints for the Interactive Web Application: </w:t>
      </w:r>
      <w:r>
        <w:rPr>
          <w:rFonts w:ascii="Times New Roman" w:hAnsi="Times New Roman"/>
          <w:sz w:val="24"/>
        </w:rPr>
        <w:t>The user-facing software modules—including the Streamlit multi-page interface, Plotly interactive radar charts, real-time What-If scenario sliders, and automated ReportLab PDF compilation—were developed across six bi-weekly Agile sprints. Each sprint delivered an end-to-end working increment that was demonstrated, critiqued, and refined based on user feedback.</w:t>
      </w:r>
    </w:p>
    <w:p>
      <w:pPr>
        <w:spacing w:before="240" w:after="80"/>
        <w:jc w:val="center"/>
      </w:pPr>
      <w:r>
        <w:drawing>
          <wp:inline xmlns:a="http://schemas.openxmlformats.org/drawingml/2006/main" xmlns:pic="http://schemas.openxmlformats.org/drawingml/2006/picture">
            <wp:extent cx="4754880" cy="3622766"/>
            <wp:docPr id="8" name="Picture 8"/>
            <wp:cNvGraphicFramePr>
              <a:graphicFrameLocks noChangeAspect="1"/>
            </wp:cNvGraphicFramePr>
            <a:graphic>
              <a:graphicData uri="http://schemas.openxmlformats.org/drawingml/2006/picture">
                <pic:pic>
                  <pic:nvPicPr>
                    <pic:cNvPr id="0" name="diag3_methodology.png"/>
                    <pic:cNvPicPr/>
                  </pic:nvPicPr>
                  <pic:blipFill>
                    <a:blip r:embed="rId15"/>
                    <a:stretch>
                      <a:fillRect/>
                    </a:stretch>
                  </pic:blipFill>
                  <pic:spPr>
                    <a:xfrm>
                      <a:off x="0" y="0"/>
                      <a:ext cx="4754880" cy="3622766"/>
                    </a:xfrm>
                    <a:prstGeom prst="rect"/>
                  </pic:spPr>
                </pic:pic>
              </a:graphicData>
            </a:graphic>
          </wp:inline>
        </w:drawing>
      </w:r>
    </w:p>
    <w:p>
      <w:pPr>
        <w:spacing w:after="280"/>
        <w:jc w:val="center"/>
      </w:pPr>
      <w:r>
        <w:rPr>
          <w:rFonts w:ascii="Times New Roman" w:hAnsi="Times New Roman"/>
          <w:b/>
          <w:sz w:val="21"/>
        </w:rPr>
        <w:t>Figure 4.2: End-to-End Machine Learning Pipeline and Methodology Flowchart</w:t>
      </w:r>
    </w:p>
    <w:p>
      <w:pPr>
        <w:spacing w:before="320" w:after="120" w:line="276" w:lineRule="auto"/>
        <w:jc w:val="left"/>
      </w:pPr>
      <w:r>
        <w:rPr>
          <w:rFonts w:ascii="Times New Roman" w:hAnsi="Times New Roman"/>
          <w:b/>
          <w:color w:val="000000"/>
          <w:sz w:val="24"/>
        </w:rPr>
        <w:t>4.2 WORK BREAKDOWN STRUCTURE (WBS) &amp; 6-SPRINT ROADMAP</w:t>
      </w:r>
    </w:p>
    <w:p>
      <w:pPr>
        <w:spacing w:line="360" w:lineRule="auto" w:after="120"/>
        <w:ind w:firstLine="360"/>
        <w:jc w:val="both"/>
      </w:pPr>
      <w:r>
        <w:rPr>
          <w:rFonts w:ascii="Times New Roman" w:hAnsi="Times New Roman"/>
          <w:sz w:val="24"/>
        </w:rPr>
        <w:t>The development lifecycle was structured into six distinct, two-week Agile sprints spanning a cumulative 24-week engineering timeframe:</w:t>
      </w:r>
    </w:p>
    <w:p>
      <w:pPr>
        <w:pStyle w:val="ListBullet"/>
        <w:spacing w:line="312" w:lineRule="auto" w:after="80"/>
        <w:jc w:val="both"/>
      </w:pPr>
      <w:r>
        <w:rPr>
          <w:rFonts w:ascii="Times New Roman" w:hAnsi="Times New Roman"/>
          <w:b/>
          <w:sz w:val="24"/>
        </w:rPr>
        <w:t xml:space="preserve">Sprint 1 (Weeks 1–4): Requirements Formulation &amp; Data Synthesis: </w:t>
      </w:r>
      <w:r>
        <w:rPr>
          <w:rFonts w:ascii="Times New Roman" w:hAnsi="Times New Roman"/>
          <w:sz w:val="24"/>
        </w:rPr>
        <w:t>Conducted foundational literature review of base paper (Bussmann et al., 2021); established problem definition and scope; designed synthetic dataset generator with log-normal revenue distributions, exponential debt ratios, and correlated expenses.</w:t>
      </w:r>
    </w:p>
    <w:p>
      <w:pPr>
        <w:pStyle w:val="ListBullet"/>
        <w:spacing w:line="312" w:lineRule="auto" w:after="80"/>
        <w:jc w:val="both"/>
      </w:pPr>
      <w:r>
        <w:rPr>
          <w:rFonts w:ascii="Times New Roman" w:hAnsi="Times New Roman"/>
          <w:b/>
          <w:sz w:val="24"/>
        </w:rPr>
        <w:t xml:space="preserve">Sprint 2 (Weeks 5–8): Feature Engineering &amp; Zero-Leakage Preprocessing: </w:t>
      </w:r>
      <w:r>
        <w:rPr>
          <w:rFonts w:ascii="Times New Roman" w:hAnsi="Times New Roman"/>
          <w:sz w:val="24"/>
        </w:rPr>
        <w:t>Implemented mathematical formulas for DTI, Profit Margin, LTI, and Cash Flow Coverage with zero-division protections; built Scikit-Learn ColumnTransformer pipeline integrating SimpleImputer and StandardScaler; verified zero-leakage splitting.</w:t>
      </w:r>
    </w:p>
    <w:p>
      <w:pPr>
        <w:pStyle w:val="ListBullet"/>
        <w:spacing w:line="312" w:lineRule="auto" w:after="80"/>
        <w:jc w:val="both"/>
      </w:pPr>
      <w:r>
        <w:rPr>
          <w:rFonts w:ascii="Times New Roman" w:hAnsi="Times New Roman"/>
          <w:b/>
          <w:sz w:val="24"/>
        </w:rPr>
        <w:t xml:space="preserve">Sprint 3 (Weeks 9–14): Resampling &amp; Stratified Cross-Validation Benchmarking: </w:t>
      </w:r>
      <w:r>
        <w:rPr>
          <w:rFonts w:ascii="Times New Roman" w:hAnsi="Times New Roman"/>
          <w:sz w:val="24"/>
        </w:rPr>
        <w:t>Integrated SMOTE and ADASYN resampling algorithms; executed Stratified 5-Fold Cross-Validation across candidate classifiers (Multinomial Logistic Regression, Decision Trees, Random Forests, XGBoost); selected champion calibrated estimator.</w:t>
      </w:r>
    </w:p>
    <w:p>
      <w:pPr>
        <w:pStyle w:val="ListBullet"/>
        <w:spacing w:line="312" w:lineRule="auto" w:after="80"/>
        <w:jc w:val="both"/>
      </w:pPr>
      <w:r>
        <w:rPr>
          <w:rFonts w:ascii="Times New Roman" w:hAnsi="Times New Roman"/>
          <w:b/>
          <w:sz w:val="24"/>
        </w:rPr>
        <w:t xml:space="preserve">Sprint 4 (Weeks 15–18): Explainable AI &amp; Financial Health Engine: </w:t>
      </w:r>
      <w:r>
        <w:rPr>
          <w:rFonts w:ascii="Times New Roman" w:hAnsi="Times New Roman"/>
          <w:sz w:val="24"/>
        </w:rPr>
        <w:t>Integrated SHAP (SHapley Additive exPlanations) LinearExplainer; formulated deterministic 5-Pillar Financial Health Index (0–100) across Debt, Cash Flow, Margins, Repayment, and Stability pillars; validated scoring independence.</w:t>
      </w:r>
    </w:p>
    <w:p>
      <w:pPr>
        <w:pStyle w:val="ListBullet"/>
        <w:spacing w:line="312" w:lineRule="auto" w:after="80"/>
        <w:jc w:val="both"/>
      </w:pPr>
      <w:r>
        <w:rPr>
          <w:rFonts w:ascii="Times New Roman" w:hAnsi="Times New Roman"/>
          <w:b/>
          <w:sz w:val="24"/>
        </w:rPr>
        <w:t xml:space="preserve">Sprint 5 (Weeks 19–22): What-If Simulation Engine &amp; Streamlit Dashboard: </w:t>
      </w:r>
      <w:r>
        <w:rPr>
          <w:rFonts w:ascii="Times New Roman" w:hAnsi="Times New Roman"/>
          <w:sz w:val="24"/>
        </w:rPr>
        <w:t>Engineered real-time counterfactual simulation engine; developed 9-page responsive Streamlit dashboard featuring dark/light theme adaptability, Plotly KPI gauges, and polar radar charts; integrated ACID-compliant SQLite 3 persistence store.</w:t>
      </w:r>
    </w:p>
    <w:p>
      <w:pPr>
        <w:pStyle w:val="ListBullet"/>
        <w:spacing w:line="312" w:lineRule="auto" w:after="80"/>
        <w:jc w:val="both"/>
      </w:pPr>
      <w:r>
        <w:rPr>
          <w:rFonts w:ascii="Times New Roman" w:hAnsi="Times New Roman"/>
          <w:b/>
          <w:sz w:val="24"/>
        </w:rPr>
        <w:t xml:space="preserve">Sprint 6 (Weeks 23–24): Automated Testing, PDF Compilation &amp; Final Documentation: </w:t>
      </w:r>
      <w:r>
        <w:rPr>
          <w:rFonts w:ascii="Times New Roman" w:hAnsi="Times New Roman"/>
          <w:sz w:val="24"/>
        </w:rPr>
        <w:t>Constructed PyTest automated unit and integration testing suite covering 7 test modules; implemented ReportLab dynamic multi-page PDF credit assessment report generator; compiled complete project dissertation.</w:t>
      </w:r>
    </w:p>
    <w:p>
      <w:pPr>
        <w:spacing w:before="320" w:after="120" w:line="276" w:lineRule="auto"/>
        <w:jc w:val="left"/>
      </w:pPr>
      <w:r>
        <w:rPr>
          <w:rFonts w:ascii="Times New Roman" w:hAnsi="Times New Roman"/>
          <w:b/>
          <w:color w:val="000000"/>
          <w:sz w:val="24"/>
        </w:rPr>
        <w:t>4.3 GANTT CHART &amp; MILESTONE TIMELINE</w:t>
      </w:r>
    </w:p>
    <w:p>
      <w:pPr>
        <w:spacing w:line="360" w:lineRule="auto" w:after="120"/>
        <w:ind w:firstLine="360"/>
        <w:jc w:val="both"/>
      </w:pPr>
      <w:r>
        <w:rPr>
          <w:rFonts w:ascii="Times New Roman" w:hAnsi="Times New Roman"/>
          <w:sz w:val="24"/>
        </w:rPr>
        <w:t>Table 4.1 details the Work Breakdown Structure (WBS), assigned sprint milestones, scheduled technical activities, and completion status across the 24-week lifecycle:</w:t>
      </w:r>
    </w:p>
    <w:tbl>
      <w:tblPr>
        <w:tblW w:type="auto" w:w="0"/>
        <w:jc w:val="center"/>
        <w:tblLook w:firstColumn="1" w:firstRow="1" w:lastColumn="0" w:lastRow="0" w:noHBand="0" w:noVBand="1" w:val="04A0"/>
      </w:tblPr>
      <w:tblGrid>
        <w:gridCol w:w="2167"/>
        <w:gridCol w:w="2167"/>
        <w:gridCol w:w="2167"/>
        <w:gridCol w:w="2167"/>
      </w:tblGrid>
      <w:tr>
        <w:tc>
          <w:tcPr>
            <w:tcW w:type="dxa" w:w="1728"/>
            <w:shd w:fill="E2E8F0"/>
          </w:tcPr>
          <w:p>
            <w:pPr>
              <w:jc w:val="center"/>
            </w:pPr>
            <w:r>
              <w:rPr>
                <w:rFonts w:ascii="Times New Roman" w:hAnsi="Times New Roman"/>
                <w:b/>
                <w:sz w:val="20"/>
              </w:rPr>
              <w:t>Sprint / Period</w:t>
            </w:r>
          </w:p>
        </w:tc>
        <w:tc>
          <w:tcPr>
            <w:tcW w:type="dxa" w:w="2304"/>
            <w:shd w:fill="E2E8F0"/>
          </w:tcPr>
          <w:p>
            <w:pPr>
              <w:jc w:val="center"/>
            </w:pPr>
            <w:r>
              <w:rPr>
                <w:rFonts w:ascii="Times New Roman" w:hAnsi="Times New Roman"/>
                <w:b/>
                <w:sz w:val="20"/>
              </w:rPr>
              <w:t>Milestone / Deliverable</w:t>
            </w:r>
          </w:p>
        </w:tc>
        <w:tc>
          <w:tcPr>
            <w:tcW w:type="dxa" w:w="4608"/>
            <w:shd w:fill="E2E8F0"/>
          </w:tcPr>
          <w:p>
            <w:pPr>
              <w:jc w:val="center"/>
            </w:pPr>
            <w:r>
              <w:rPr>
                <w:rFonts w:ascii="Times New Roman" w:hAnsi="Times New Roman"/>
                <w:b/>
                <w:sz w:val="20"/>
              </w:rPr>
              <w:t>Core Technical Activities &amp; Scope</w:t>
            </w:r>
          </w:p>
        </w:tc>
        <w:tc>
          <w:tcPr>
            <w:tcW w:type="dxa" w:w="1440"/>
            <w:shd w:fill="E2E8F0"/>
          </w:tcPr>
          <w:p>
            <w:pPr>
              <w:jc w:val="center"/>
            </w:pPr>
            <w:r>
              <w:rPr>
                <w:rFonts w:ascii="Times New Roman" w:hAnsi="Times New Roman"/>
                <w:b/>
                <w:sz w:val="20"/>
              </w:rPr>
              <w:t>Status</w:t>
            </w:r>
          </w:p>
        </w:tc>
      </w:tr>
      <w:tr>
        <w:tc>
          <w:tcPr>
            <w:tcW w:type="dxa" w:w="1728"/>
          </w:tcPr>
          <w:p>
            <w:pPr>
              <w:jc w:val="left"/>
            </w:pPr>
            <w:r>
              <w:rPr>
                <w:rFonts w:ascii="Times New Roman" w:hAnsi="Times New Roman"/>
                <w:sz w:val="19"/>
              </w:rPr>
              <w:t>Sprint 1 (W1-W4)</w:t>
            </w:r>
          </w:p>
        </w:tc>
        <w:tc>
          <w:tcPr>
            <w:tcW w:type="dxa" w:w="2304"/>
          </w:tcPr>
          <w:p>
            <w:pPr>
              <w:jc w:val="left"/>
            </w:pPr>
            <w:r>
              <w:rPr>
                <w:rFonts w:ascii="Times New Roman" w:hAnsi="Times New Roman"/>
                <w:sz w:val="19"/>
              </w:rPr>
              <w:t>Requirements &amp; Dataset Design</w:t>
            </w:r>
          </w:p>
        </w:tc>
        <w:tc>
          <w:tcPr>
            <w:tcW w:type="dxa" w:w="4608"/>
          </w:tcPr>
          <w:p>
            <w:pPr>
              <w:jc w:val="left"/>
            </w:pPr>
            <w:r>
              <w:rPr>
                <w:rFonts w:ascii="Times New Roman" w:hAnsi="Times New Roman"/>
                <w:sz w:val="19"/>
              </w:rPr>
              <w:t>Literature survey, base paper review, synthetic dataset generator script</w:t>
            </w:r>
          </w:p>
        </w:tc>
        <w:tc>
          <w:tcPr>
            <w:tcW w:type="dxa" w:w="1440"/>
          </w:tcPr>
          <w:p>
            <w:pPr>
              <w:jc w:val="center"/>
            </w:pPr>
            <w:r>
              <w:rPr>
                <w:rFonts w:ascii="Times New Roman" w:hAnsi="Times New Roman"/>
                <w:sz w:val="19"/>
              </w:rPr>
              <w:t>Completed</w:t>
            </w:r>
          </w:p>
        </w:tc>
      </w:tr>
      <w:tr>
        <w:tc>
          <w:tcPr>
            <w:tcW w:type="dxa" w:w="1728"/>
            <w:shd w:fill="F8FAFC"/>
          </w:tcPr>
          <w:p>
            <w:pPr>
              <w:jc w:val="left"/>
            </w:pPr>
            <w:r>
              <w:rPr>
                <w:rFonts w:ascii="Times New Roman" w:hAnsi="Times New Roman"/>
                <w:sz w:val="19"/>
              </w:rPr>
              <w:t>Sprint 2 (W5-W8)</w:t>
            </w:r>
          </w:p>
        </w:tc>
        <w:tc>
          <w:tcPr>
            <w:tcW w:type="dxa" w:w="2304"/>
            <w:shd w:fill="F8FAFC"/>
          </w:tcPr>
          <w:p>
            <w:pPr>
              <w:jc w:val="left"/>
            </w:pPr>
            <w:r>
              <w:rPr>
                <w:rFonts w:ascii="Times New Roman" w:hAnsi="Times New Roman"/>
                <w:sz w:val="19"/>
              </w:rPr>
              <w:t>Feature Engineering &amp; Preprocessing</w:t>
            </w:r>
          </w:p>
        </w:tc>
        <w:tc>
          <w:tcPr>
            <w:tcW w:type="dxa" w:w="4608"/>
            <w:shd w:fill="F8FAFC"/>
          </w:tcPr>
          <w:p>
            <w:pPr>
              <w:jc w:val="left"/>
            </w:pPr>
            <w:r>
              <w:rPr>
                <w:rFonts w:ascii="Times New Roman" w:hAnsi="Times New Roman"/>
                <w:sz w:val="19"/>
              </w:rPr>
              <w:t>Financial ratio formulations, ColumnTransformer pipeline, unit test fixtures</w:t>
            </w:r>
          </w:p>
        </w:tc>
        <w:tc>
          <w:tcPr>
            <w:tcW w:type="dxa" w:w="1440"/>
            <w:shd w:fill="F8FAFC"/>
          </w:tcPr>
          <w:p>
            <w:pPr>
              <w:jc w:val="center"/>
            </w:pPr>
            <w:r>
              <w:rPr>
                <w:rFonts w:ascii="Times New Roman" w:hAnsi="Times New Roman"/>
                <w:sz w:val="19"/>
              </w:rPr>
              <w:t>Completed</w:t>
            </w:r>
          </w:p>
        </w:tc>
      </w:tr>
      <w:tr>
        <w:tc>
          <w:tcPr>
            <w:tcW w:type="dxa" w:w="1728"/>
          </w:tcPr>
          <w:p>
            <w:pPr>
              <w:jc w:val="left"/>
            </w:pPr>
            <w:r>
              <w:rPr>
                <w:rFonts w:ascii="Times New Roman" w:hAnsi="Times New Roman"/>
                <w:sz w:val="19"/>
              </w:rPr>
              <w:t>Sprint 3 (W9-W14)</w:t>
            </w:r>
          </w:p>
        </w:tc>
        <w:tc>
          <w:tcPr>
            <w:tcW w:type="dxa" w:w="2304"/>
          </w:tcPr>
          <w:p>
            <w:pPr>
              <w:jc w:val="left"/>
            </w:pPr>
            <w:r>
              <w:rPr>
                <w:rFonts w:ascii="Times New Roman" w:hAnsi="Times New Roman"/>
                <w:sz w:val="19"/>
              </w:rPr>
              <w:t>Model Training &amp; Cross-Validation</w:t>
            </w:r>
          </w:p>
        </w:tc>
        <w:tc>
          <w:tcPr>
            <w:tcW w:type="dxa" w:w="4608"/>
          </w:tcPr>
          <w:p>
            <w:pPr>
              <w:jc w:val="left"/>
            </w:pPr>
            <w:r>
              <w:rPr>
                <w:rFonts w:ascii="Times New Roman" w:hAnsi="Times New Roman"/>
                <w:sz w:val="19"/>
              </w:rPr>
              <w:t>SMOTE &amp; ADASYN evaluation inside 5-Fold CV, model selection &amp; tuning</w:t>
            </w:r>
          </w:p>
        </w:tc>
        <w:tc>
          <w:tcPr>
            <w:tcW w:type="dxa" w:w="1440"/>
          </w:tcPr>
          <w:p>
            <w:pPr>
              <w:jc w:val="center"/>
            </w:pPr>
            <w:r>
              <w:rPr>
                <w:rFonts w:ascii="Times New Roman" w:hAnsi="Times New Roman"/>
                <w:sz w:val="19"/>
              </w:rPr>
              <w:t>Completed</w:t>
            </w:r>
          </w:p>
        </w:tc>
      </w:tr>
      <w:tr>
        <w:tc>
          <w:tcPr>
            <w:tcW w:type="dxa" w:w="1728"/>
            <w:shd w:fill="F8FAFC"/>
          </w:tcPr>
          <w:p>
            <w:pPr>
              <w:jc w:val="left"/>
            </w:pPr>
            <w:r>
              <w:rPr>
                <w:rFonts w:ascii="Times New Roman" w:hAnsi="Times New Roman"/>
                <w:sz w:val="19"/>
              </w:rPr>
              <w:t>Sprint 4 (W15-W18)</w:t>
            </w:r>
          </w:p>
        </w:tc>
        <w:tc>
          <w:tcPr>
            <w:tcW w:type="dxa" w:w="2304"/>
            <w:shd w:fill="F8FAFC"/>
          </w:tcPr>
          <w:p>
            <w:pPr>
              <w:jc w:val="left"/>
            </w:pPr>
            <w:r>
              <w:rPr>
                <w:rFonts w:ascii="Times New Roman" w:hAnsi="Times New Roman"/>
                <w:sz w:val="19"/>
              </w:rPr>
              <w:t>XAI &amp; Health Score Engines</w:t>
            </w:r>
          </w:p>
        </w:tc>
        <w:tc>
          <w:tcPr>
            <w:tcW w:type="dxa" w:w="4608"/>
            <w:shd w:fill="F8FAFC"/>
          </w:tcPr>
          <w:p>
            <w:pPr>
              <w:jc w:val="left"/>
            </w:pPr>
            <w:r>
              <w:rPr>
                <w:rFonts w:ascii="Times New Roman" w:hAnsi="Times New Roman"/>
                <w:sz w:val="19"/>
              </w:rPr>
              <w:t>SHAP integration, 5-Pillar health score formulation, What-If simulator</w:t>
            </w:r>
          </w:p>
        </w:tc>
        <w:tc>
          <w:tcPr>
            <w:tcW w:type="dxa" w:w="1440"/>
            <w:shd w:fill="F8FAFC"/>
          </w:tcPr>
          <w:p>
            <w:pPr>
              <w:jc w:val="center"/>
            </w:pPr>
            <w:r>
              <w:rPr>
                <w:rFonts w:ascii="Times New Roman" w:hAnsi="Times New Roman"/>
                <w:sz w:val="19"/>
              </w:rPr>
              <w:t>Completed</w:t>
            </w:r>
          </w:p>
        </w:tc>
      </w:tr>
      <w:tr>
        <w:tc>
          <w:tcPr>
            <w:tcW w:type="dxa" w:w="1728"/>
          </w:tcPr>
          <w:p>
            <w:pPr>
              <w:jc w:val="left"/>
            </w:pPr>
            <w:r>
              <w:rPr>
                <w:rFonts w:ascii="Times New Roman" w:hAnsi="Times New Roman"/>
                <w:sz w:val="19"/>
              </w:rPr>
              <w:t>Sprint 5 (W19-W22)</w:t>
            </w:r>
          </w:p>
        </w:tc>
        <w:tc>
          <w:tcPr>
            <w:tcW w:type="dxa" w:w="2304"/>
          </w:tcPr>
          <w:p>
            <w:pPr>
              <w:jc w:val="left"/>
            </w:pPr>
            <w:r>
              <w:rPr>
                <w:rFonts w:ascii="Times New Roman" w:hAnsi="Times New Roman"/>
                <w:sz w:val="19"/>
              </w:rPr>
              <w:t>UI &amp; Database Architecture</w:t>
            </w:r>
          </w:p>
        </w:tc>
        <w:tc>
          <w:tcPr>
            <w:tcW w:type="dxa" w:w="4608"/>
          </w:tcPr>
          <w:p>
            <w:pPr>
              <w:jc w:val="left"/>
            </w:pPr>
            <w:r>
              <w:rPr>
                <w:rFonts w:ascii="Times New Roman" w:hAnsi="Times New Roman"/>
                <w:sz w:val="19"/>
              </w:rPr>
              <w:t>Streamlit dashboard, SQLite 3NF relational schema, batch upload engine</w:t>
            </w:r>
          </w:p>
        </w:tc>
        <w:tc>
          <w:tcPr>
            <w:tcW w:type="dxa" w:w="1440"/>
          </w:tcPr>
          <w:p>
            <w:pPr>
              <w:jc w:val="center"/>
            </w:pPr>
            <w:r>
              <w:rPr>
                <w:rFonts w:ascii="Times New Roman" w:hAnsi="Times New Roman"/>
                <w:sz w:val="19"/>
              </w:rPr>
              <w:t>Completed</w:t>
            </w:r>
          </w:p>
        </w:tc>
      </w:tr>
      <w:tr>
        <w:tc>
          <w:tcPr>
            <w:tcW w:type="dxa" w:w="1728"/>
            <w:shd w:fill="F8FAFC"/>
          </w:tcPr>
          <w:p>
            <w:pPr>
              <w:jc w:val="left"/>
            </w:pPr>
            <w:r>
              <w:rPr>
                <w:rFonts w:ascii="Times New Roman" w:hAnsi="Times New Roman"/>
                <w:sz w:val="19"/>
              </w:rPr>
              <w:t>Sprint 6 (W23-W24)</w:t>
            </w:r>
          </w:p>
        </w:tc>
        <w:tc>
          <w:tcPr>
            <w:tcW w:type="dxa" w:w="2304"/>
            <w:shd w:fill="F8FAFC"/>
          </w:tcPr>
          <w:p>
            <w:pPr>
              <w:jc w:val="left"/>
            </w:pPr>
            <w:r>
              <w:rPr>
                <w:rFonts w:ascii="Times New Roman" w:hAnsi="Times New Roman"/>
                <w:sz w:val="19"/>
              </w:rPr>
              <w:t>Testing, PDF &amp; Final Report</w:t>
            </w:r>
          </w:p>
        </w:tc>
        <w:tc>
          <w:tcPr>
            <w:tcW w:type="dxa" w:w="4608"/>
            <w:shd w:fill="F8FAFC"/>
          </w:tcPr>
          <w:p>
            <w:pPr>
              <w:jc w:val="left"/>
            </w:pPr>
            <w:r>
              <w:rPr>
                <w:rFonts w:ascii="Times New Roman" w:hAnsi="Times New Roman"/>
                <w:sz w:val="19"/>
              </w:rPr>
              <w:t>PyTest 7 test suites, ReportLab PDF generator, dissertation compilation</w:t>
            </w:r>
          </w:p>
        </w:tc>
        <w:tc>
          <w:tcPr>
            <w:tcW w:type="dxa" w:w="1440"/>
            <w:shd w:fill="F8FAFC"/>
          </w:tcPr>
          <w:p>
            <w:pPr>
              <w:jc w:val="center"/>
            </w:pPr>
            <w:r>
              <w:rPr>
                <w:rFonts w:ascii="Times New Roman" w:hAnsi="Times New Roman"/>
                <w:sz w:val="19"/>
              </w:rPr>
              <w:t>Completed</w:t>
            </w:r>
          </w:p>
        </w:tc>
      </w:tr>
    </w:tbl>
    <w:p>
      <w:pPr>
        <w:spacing w:before="320" w:after="120" w:line="276" w:lineRule="auto"/>
        <w:jc w:val="left"/>
      </w:pPr>
      <w:r>
        <w:rPr>
          <w:rFonts w:ascii="Times New Roman" w:hAnsi="Times New Roman"/>
          <w:b/>
          <w:color w:val="000000"/>
          <w:sz w:val="24"/>
        </w:rPr>
        <w:t>4.4 HARDWARE, SOFTWARE &amp; DEVELOPMENT ENVIRONMENT SPECIFICATIONS</w:t>
      </w:r>
    </w:p>
    <w:p>
      <w:pPr>
        <w:spacing w:line="360" w:lineRule="auto" w:after="120"/>
        <w:ind w:firstLine="360"/>
        <w:jc w:val="both"/>
      </w:pPr>
      <w:r>
        <w:rPr>
          <w:rFonts w:ascii="Times New Roman" w:hAnsi="Times New Roman"/>
          <w:sz w:val="24"/>
        </w:rPr>
        <w:t>To ensure complete technical reproducibility and consistent execution, development and benchmarking were conducted under standardized computing environments:</w:t>
      </w:r>
    </w:p>
    <w:p>
      <w:pPr>
        <w:spacing w:line="360" w:lineRule="auto" w:after="120"/>
        <w:ind w:firstLine="360"/>
        <w:jc w:val="both"/>
      </w:pPr>
      <w:r>
        <w:rPr>
          <w:rFonts w:ascii="Times New Roman" w:hAnsi="Times New Roman"/>
          <w:sz w:val="24"/>
        </w:rPr>
        <w:t>Table 4.2 specifies the hardware architecture, operating system platforms, Python runtime, and core dependencies utilized:</w:t>
      </w:r>
    </w:p>
    <w:tbl>
      <w:tblPr>
        <w:tblW w:type="auto" w:w="0"/>
        <w:jc w:val="center"/>
        <w:tblLook w:firstColumn="1" w:firstRow="1" w:lastColumn="0" w:lastRow="0" w:noHBand="0" w:noVBand="1" w:val="04A0"/>
      </w:tblPr>
      <w:tblGrid>
        <w:gridCol w:w="2890"/>
        <w:gridCol w:w="2890"/>
        <w:gridCol w:w="2890"/>
      </w:tblGrid>
      <w:tr>
        <w:tc>
          <w:tcPr>
            <w:tcW w:type="dxa" w:w="2880"/>
            <w:shd w:fill="E2E8F0"/>
          </w:tcPr>
          <w:p>
            <w:pPr>
              <w:jc w:val="center"/>
            </w:pPr>
            <w:r>
              <w:rPr>
                <w:rFonts w:ascii="Times New Roman" w:hAnsi="Times New Roman"/>
                <w:b/>
                <w:sz w:val="20"/>
              </w:rPr>
              <w:t>Environment Layer</w:t>
            </w:r>
          </w:p>
        </w:tc>
        <w:tc>
          <w:tcPr>
            <w:tcW w:type="dxa" w:w="3168"/>
            <w:shd w:fill="E2E8F0"/>
          </w:tcPr>
          <w:p>
            <w:pPr>
              <w:jc w:val="center"/>
            </w:pPr>
            <w:r>
              <w:rPr>
                <w:rFonts w:ascii="Times New Roman" w:hAnsi="Times New Roman"/>
                <w:b/>
                <w:sz w:val="20"/>
              </w:rPr>
              <w:t>Specification / Tool</w:t>
            </w:r>
          </w:p>
        </w:tc>
        <w:tc>
          <w:tcPr>
            <w:tcW w:type="dxa" w:w="4032"/>
            <w:shd w:fill="E2E8F0"/>
          </w:tcPr>
          <w:p>
            <w:pPr>
              <w:jc w:val="center"/>
            </w:pPr>
            <w:r>
              <w:rPr>
                <w:rFonts w:ascii="Times New Roman" w:hAnsi="Times New Roman"/>
                <w:b/>
                <w:sz w:val="20"/>
              </w:rPr>
              <w:t>Technical Version &amp; Configuration</w:t>
            </w:r>
          </w:p>
        </w:tc>
      </w:tr>
      <w:tr>
        <w:tc>
          <w:tcPr>
            <w:tcW w:type="dxa" w:w="2880"/>
          </w:tcPr>
          <w:p>
            <w:pPr>
              <w:jc w:val="left"/>
            </w:pPr>
            <w:r>
              <w:rPr>
                <w:rFonts w:ascii="Times New Roman" w:hAnsi="Times New Roman"/>
                <w:sz w:val="19"/>
              </w:rPr>
              <w:t>Processor (CPU)</w:t>
            </w:r>
          </w:p>
        </w:tc>
        <w:tc>
          <w:tcPr>
            <w:tcW w:type="dxa" w:w="3168"/>
          </w:tcPr>
          <w:p>
            <w:pPr>
              <w:jc w:val="left"/>
            </w:pPr>
            <w:r>
              <w:rPr>
                <w:rFonts w:ascii="Times New Roman" w:hAnsi="Times New Roman"/>
                <w:sz w:val="19"/>
              </w:rPr>
              <w:t>Apple Silicon M-Series / Intel Core i7</w:t>
            </w:r>
          </w:p>
        </w:tc>
        <w:tc>
          <w:tcPr>
            <w:tcW w:type="dxa" w:w="4032"/>
          </w:tcPr>
          <w:p>
            <w:pPr>
              <w:jc w:val="left"/>
            </w:pPr>
            <w:r>
              <w:rPr>
                <w:rFonts w:ascii="Times New Roman" w:hAnsi="Times New Roman"/>
                <w:sz w:val="19"/>
              </w:rPr>
              <w:t>8-Core CPU with hardware vector extensions</w:t>
            </w:r>
          </w:p>
        </w:tc>
      </w:tr>
      <w:tr>
        <w:tc>
          <w:tcPr>
            <w:tcW w:type="dxa" w:w="2880"/>
            <w:shd w:fill="F8FAFC"/>
          </w:tcPr>
          <w:p>
            <w:pPr>
              <w:jc w:val="left"/>
            </w:pPr>
            <w:r>
              <w:rPr>
                <w:rFonts w:ascii="Times New Roman" w:hAnsi="Times New Roman"/>
                <w:sz w:val="19"/>
              </w:rPr>
              <w:t>Memory &amp; Storage</w:t>
            </w:r>
          </w:p>
        </w:tc>
        <w:tc>
          <w:tcPr>
            <w:tcW w:type="dxa" w:w="3168"/>
            <w:shd w:fill="F8FAFC"/>
          </w:tcPr>
          <w:p>
            <w:pPr>
              <w:jc w:val="left"/>
            </w:pPr>
            <w:r>
              <w:rPr>
                <w:rFonts w:ascii="Times New Roman" w:hAnsi="Times New Roman"/>
                <w:sz w:val="19"/>
              </w:rPr>
              <w:t>16 GB Unified Memory / 512 GB SSD</w:t>
            </w:r>
          </w:p>
        </w:tc>
        <w:tc>
          <w:tcPr>
            <w:tcW w:type="dxa" w:w="4032"/>
            <w:shd w:fill="F8FAFC"/>
          </w:tcPr>
          <w:p>
            <w:pPr>
              <w:jc w:val="left"/>
            </w:pPr>
            <w:r>
              <w:rPr>
                <w:rFonts w:ascii="Times New Roman" w:hAnsi="Times New Roman"/>
                <w:sz w:val="19"/>
              </w:rPr>
              <w:t>Read/Write speeds &gt; 2,500 MB/s; swap enabled</w:t>
            </w:r>
          </w:p>
        </w:tc>
      </w:tr>
      <w:tr>
        <w:tc>
          <w:tcPr>
            <w:tcW w:type="dxa" w:w="2880"/>
          </w:tcPr>
          <w:p>
            <w:pPr>
              <w:jc w:val="left"/>
            </w:pPr>
            <w:r>
              <w:rPr>
                <w:rFonts w:ascii="Times New Roman" w:hAnsi="Times New Roman"/>
                <w:sz w:val="19"/>
              </w:rPr>
              <w:t>Operating System</w:t>
            </w:r>
          </w:p>
        </w:tc>
        <w:tc>
          <w:tcPr>
            <w:tcW w:type="dxa" w:w="3168"/>
          </w:tcPr>
          <w:p>
            <w:pPr>
              <w:jc w:val="left"/>
            </w:pPr>
            <w:r>
              <w:rPr>
                <w:rFonts w:ascii="Times New Roman" w:hAnsi="Times New Roman"/>
                <w:sz w:val="19"/>
              </w:rPr>
              <w:t>macOS Sonoma / Linux Ubuntu 22.04 LTS</w:t>
            </w:r>
          </w:p>
        </w:tc>
        <w:tc>
          <w:tcPr>
            <w:tcW w:type="dxa" w:w="4032"/>
          </w:tcPr>
          <w:p>
            <w:pPr>
              <w:jc w:val="left"/>
            </w:pPr>
            <w:r>
              <w:rPr>
                <w:rFonts w:ascii="Times New Roman" w:hAnsi="Times New Roman"/>
                <w:sz w:val="19"/>
              </w:rPr>
              <w:t>UNIX POSIX-compliant terminal environments</w:t>
            </w:r>
          </w:p>
        </w:tc>
      </w:tr>
      <w:tr>
        <w:tc>
          <w:tcPr>
            <w:tcW w:type="dxa" w:w="2880"/>
            <w:shd w:fill="F8FAFC"/>
          </w:tcPr>
          <w:p>
            <w:pPr>
              <w:jc w:val="left"/>
            </w:pPr>
            <w:r>
              <w:rPr>
                <w:rFonts w:ascii="Times New Roman" w:hAnsi="Times New Roman"/>
                <w:sz w:val="19"/>
              </w:rPr>
              <w:t>Python Runtime</w:t>
            </w:r>
          </w:p>
        </w:tc>
        <w:tc>
          <w:tcPr>
            <w:tcW w:type="dxa" w:w="3168"/>
            <w:shd w:fill="F8FAFC"/>
          </w:tcPr>
          <w:p>
            <w:pPr>
              <w:jc w:val="left"/>
            </w:pPr>
            <w:r>
              <w:rPr>
                <w:rFonts w:ascii="Times New Roman" w:hAnsi="Times New Roman"/>
                <w:sz w:val="19"/>
              </w:rPr>
              <w:t>Python 3.14+ (Virtual Environment `venv`)</w:t>
            </w:r>
          </w:p>
        </w:tc>
        <w:tc>
          <w:tcPr>
            <w:tcW w:type="dxa" w:w="4032"/>
            <w:shd w:fill="F8FAFC"/>
          </w:tcPr>
          <w:p>
            <w:pPr>
              <w:jc w:val="left"/>
            </w:pPr>
            <w:r>
              <w:rPr>
                <w:rFonts w:ascii="Times New Roman" w:hAnsi="Times New Roman"/>
                <w:sz w:val="19"/>
              </w:rPr>
              <w:t>Isolated dependency management via pip</w:t>
            </w:r>
          </w:p>
        </w:tc>
      </w:tr>
      <w:tr>
        <w:tc>
          <w:tcPr>
            <w:tcW w:type="dxa" w:w="2880"/>
          </w:tcPr>
          <w:p>
            <w:pPr>
              <w:jc w:val="left"/>
            </w:pPr>
            <w:r>
              <w:rPr>
                <w:rFonts w:ascii="Times New Roman" w:hAnsi="Times New Roman"/>
                <w:sz w:val="19"/>
              </w:rPr>
              <w:t>Machine Learning Core</w:t>
            </w:r>
          </w:p>
        </w:tc>
        <w:tc>
          <w:tcPr>
            <w:tcW w:type="dxa" w:w="3168"/>
          </w:tcPr>
          <w:p>
            <w:pPr>
              <w:jc w:val="left"/>
            </w:pPr>
            <w:r>
              <w:rPr>
                <w:rFonts w:ascii="Times New Roman" w:hAnsi="Times New Roman"/>
                <w:sz w:val="19"/>
              </w:rPr>
              <w:t>Scikit-Learn 1.9+ &amp; Imbalanced-Learn 0.14+</w:t>
            </w:r>
          </w:p>
        </w:tc>
        <w:tc>
          <w:tcPr>
            <w:tcW w:type="dxa" w:w="4032"/>
          </w:tcPr>
          <w:p>
            <w:pPr>
              <w:jc w:val="left"/>
            </w:pPr>
            <w:r>
              <w:rPr>
                <w:rFonts w:ascii="Times New Roman" w:hAnsi="Times New Roman"/>
                <w:sz w:val="19"/>
              </w:rPr>
              <w:t>ColumnTransformer, StandardScaler, SMOTE, ADASYN</w:t>
            </w:r>
          </w:p>
        </w:tc>
      </w:tr>
      <w:tr>
        <w:tc>
          <w:tcPr>
            <w:tcW w:type="dxa" w:w="2880"/>
            <w:shd w:fill="F8FAFC"/>
          </w:tcPr>
          <w:p>
            <w:pPr>
              <w:jc w:val="left"/>
            </w:pPr>
            <w:r>
              <w:rPr>
                <w:rFonts w:ascii="Times New Roman" w:hAnsi="Times New Roman"/>
                <w:sz w:val="19"/>
              </w:rPr>
              <w:t>Explainable AI</w:t>
            </w:r>
          </w:p>
        </w:tc>
        <w:tc>
          <w:tcPr>
            <w:tcW w:type="dxa" w:w="3168"/>
            <w:shd w:fill="F8FAFC"/>
          </w:tcPr>
          <w:p>
            <w:pPr>
              <w:jc w:val="left"/>
            </w:pPr>
            <w:r>
              <w:rPr>
                <w:rFonts w:ascii="Times New Roman" w:hAnsi="Times New Roman"/>
                <w:sz w:val="19"/>
              </w:rPr>
              <w:t>SHAP 0.52+ (Shapley Additive explanations)</w:t>
            </w:r>
          </w:p>
        </w:tc>
        <w:tc>
          <w:tcPr>
            <w:tcW w:type="dxa" w:w="4032"/>
            <w:shd w:fill="F8FAFC"/>
          </w:tcPr>
          <w:p>
            <w:pPr>
              <w:jc w:val="left"/>
            </w:pPr>
            <w:r>
              <w:rPr>
                <w:rFonts w:ascii="Times New Roman" w:hAnsi="Times New Roman"/>
                <w:sz w:val="19"/>
              </w:rPr>
              <w:t>LinearExplainer, TreeExplainer, Explanations API</w:t>
            </w:r>
          </w:p>
        </w:tc>
      </w:tr>
      <w:tr>
        <w:tc>
          <w:tcPr>
            <w:tcW w:type="dxa" w:w="2880"/>
          </w:tcPr>
          <w:p>
            <w:pPr>
              <w:jc w:val="left"/>
            </w:pPr>
            <w:r>
              <w:rPr>
                <w:rFonts w:ascii="Times New Roman" w:hAnsi="Times New Roman"/>
                <w:sz w:val="19"/>
              </w:rPr>
              <w:t>User Interface</w:t>
            </w:r>
          </w:p>
        </w:tc>
        <w:tc>
          <w:tcPr>
            <w:tcW w:type="dxa" w:w="3168"/>
          </w:tcPr>
          <w:p>
            <w:pPr>
              <w:jc w:val="left"/>
            </w:pPr>
            <w:r>
              <w:rPr>
                <w:rFonts w:ascii="Times New Roman" w:hAnsi="Times New Roman"/>
                <w:sz w:val="19"/>
              </w:rPr>
              <w:t>Streamlit 1.64+ &amp; Plotly 7.1+</w:t>
            </w:r>
          </w:p>
        </w:tc>
        <w:tc>
          <w:tcPr>
            <w:tcW w:type="dxa" w:w="4032"/>
          </w:tcPr>
          <w:p>
            <w:pPr>
              <w:jc w:val="left"/>
            </w:pPr>
            <w:r>
              <w:rPr>
                <w:rFonts w:ascii="Times New Roman" w:hAnsi="Times New Roman"/>
                <w:sz w:val="19"/>
              </w:rPr>
              <w:t>Theme-adaptive wide-layout reactive dashboard</w:t>
            </w:r>
          </w:p>
        </w:tc>
      </w:tr>
      <w:tr>
        <w:tc>
          <w:tcPr>
            <w:tcW w:type="dxa" w:w="2880"/>
            <w:shd w:fill="F8FAFC"/>
          </w:tcPr>
          <w:p>
            <w:pPr>
              <w:jc w:val="left"/>
            </w:pPr>
            <w:r>
              <w:rPr>
                <w:rFonts w:ascii="Times New Roman" w:hAnsi="Times New Roman"/>
                <w:sz w:val="19"/>
              </w:rPr>
              <w:t>Persistence &amp; Reports</w:t>
            </w:r>
          </w:p>
        </w:tc>
        <w:tc>
          <w:tcPr>
            <w:tcW w:type="dxa" w:w="3168"/>
            <w:shd w:fill="F8FAFC"/>
          </w:tcPr>
          <w:p>
            <w:pPr>
              <w:jc w:val="left"/>
            </w:pPr>
            <w:r>
              <w:rPr>
                <w:rFonts w:ascii="Times New Roman" w:hAnsi="Times New Roman"/>
                <w:sz w:val="19"/>
              </w:rPr>
              <w:t>SQLite 3 (Standard Library) &amp; ReportLab 5.0+</w:t>
            </w:r>
          </w:p>
        </w:tc>
        <w:tc>
          <w:tcPr>
            <w:tcW w:type="dxa" w:w="4032"/>
            <w:shd w:fill="F8FAFC"/>
          </w:tcPr>
          <w:p>
            <w:pPr>
              <w:jc w:val="left"/>
            </w:pPr>
            <w:r>
              <w:rPr>
                <w:rFonts w:ascii="Times New Roman" w:hAnsi="Times New Roman"/>
                <w:sz w:val="19"/>
              </w:rPr>
              <w:t>ACID-compliant relational store &amp; PDF flowables</w:t>
            </w:r>
          </w:p>
        </w:tc>
      </w:tr>
      <w:tr>
        <w:tc>
          <w:tcPr>
            <w:tcW w:type="dxa" w:w="2880"/>
          </w:tcPr>
          <w:p>
            <w:pPr>
              <w:jc w:val="left"/>
            </w:pPr>
            <w:r>
              <w:rPr>
                <w:rFonts w:ascii="Times New Roman" w:hAnsi="Times New Roman"/>
                <w:sz w:val="19"/>
              </w:rPr>
              <w:t>Software Testing</w:t>
            </w:r>
          </w:p>
        </w:tc>
        <w:tc>
          <w:tcPr>
            <w:tcW w:type="dxa" w:w="3168"/>
          </w:tcPr>
          <w:p>
            <w:pPr>
              <w:jc w:val="center"/>
            </w:pPr>
            <w:r>
              <w:rPr>
                <w:rFonts w:ascii="Times New Roman" w:hAnsi="Times New Roman"/>
                <w:sz w:val="19"/>
              </w:rPr>
              <w:t>PyTest 9.1+</w:t>
            </w:r>
          </w:p>
        </w:tc>
        <w:tc>
          <w:tcPr>
            <w:tcW w:type="dxa" w:w="4032"/>
          </w:tcPr>
          <w:p>
            <w:pPr>
              <w:jc w:val="left"/>
            </w:pPr>
            <w:r>
              <w:rPr>
                <w:rFonts w:ascii="Times New Roman" w:hAnsi="Times New Roman"/>
                <w:sz w:val="19"/>
              </w:rPr>
              <w:t>Automated unit and integration test runner</w:t>
            </w:r>
          </w:p>
        </w:tc>
      </w:tr>
    </w:tbl>
    <w:p>
      <w:pPr>
        <w:spacing w:before="320" w:after="120" w:line="276" w:lineRule="auto"/>
        <w:jc w:val="left"/>
      </w:pPr>
      <w:r>
        <w:rPr>
          <w:rFonts w:ascii="Times New Roman" w:hAnsi="Times New Roman"/>
          <w:b/>
          <w:color w:val="000000"/>
          <w:sz w:val="24"/>
        </w:rPr>
        <w:t>4.5 RISK ASSESSMENT &amp; MITIGATION STRATEGY</w:t>
      </w:r>
    </w:p>
    <w:p>
      <w:pPr>
        <w:spacing w:line="360" w:lineRule="auto" w:after="120"/>
        <w:ind w:firstLine="360"/>
        <w:jc w:val="both"/>
      </w:pPr>
      <w:r>
        <w:rPr>
          <w:rFonts w:ascii="Times New Roman" w:hAnsi="Times New Roman"/>
          <w:sz w:val="24"/>
        </w:rPr>
        <w:t>Developing financial decision-support software involves multiple technical, statistical, and operational risks. Table 4.3 outlines the comprehensive risk matrix, assessing likelihood, potential impact, and engineered mitigation protocols:</w:t>
      </w:r>
    </w:p>
    <w:tbl>
      <w:tblPr>
        <w:tblW w:type="auto" w:w="0"/>
        <w:jc w:val="center"/>
        <w:tblLook w:firstColumn="1" w:firstRow="1" w:lastColumn="0" w:lastRow="0" w:noHBand="0" w:noVBand="1" w:val="04A0"/>
      </w:tblPr>
      <w:tblGrid>
        <w:gridCol w:w="2167"/>
        <w:gridCol w:w="2167"/>
        <w:gridCol w:w="2167"/>
        <w:gridCol w:w="2167"/>
      </w:tblGrid>
      <w:tr>
        <w:tc>
          <w:tcPr>
            <w:tcW w:type="dxa" w:w="2160"/>
            <w:shd w:fill="E2E8F0"/>
          </w:tcPr>
          <w:p>
            <w:pPr>
              <w:jc w:val="center"/>
            </w:pPr>
            <w:r>
              <w:rPr>
                <w:rFonts w:ascii="Times New Roman" w:hAnsi="Times New Roman"/>
                <w:b/>
                <w:sz w:val="20"/>
              </w:rPr>
              <w:t>Identified Risk Category</w:t>
            </w:r>
          </w:p>
        </w:tc>
        <w:tc>
          <w:tcPr>
            <w:tcW w:type="dxa" w:w="1728"/>
            <w:shd w:fill="E2E8F0"/>
          </w:tcPr>
          <w:p>
            <w:pPr>
              <w:jc w:val="center"/>
            </w:pPr>
            <w:r>
              <w:rPr>
                <w:rFonts w:ascii="Times New Roman" w:hAnsi="Times New Roman"/>
                <w:b/>
                <w:sz w:val="20"/>
              </w:rPr>
              <w:t>Severity / Likelihood</w:t>
            </w:r>
          </w:p>
        </w:tc>
        <w:tc>
          <w:tcPr>
            <w:tcW w:type="dxa" w:w="2160"/>
            <w:shd w:fill="E2E8F0"/>
          </w:tcPr>
          <w:p>
            <w:pPr>
              <w:jc w:val="center"/>
            </w:pPr>
            <w:r>
              <w:rPr>
                <w:rFonts w:ascii="Times New Roman" w:hAnsi="Times New Roman"/>
                <w:b/>
                <w:sz w:val="20"/>
              </w:rPr>
              <w:t>Potential Failure Mode</w:t>
            </w:r>
          </w:p>
        </w:tc>
        <w:tc>
          <w:tcPr>
            <w:tcW w:type="dxa" w:w="4032"/>
            <w:shd w:fill="E2E8F0"/>
          </w:tcPr>
          <w:p>
            <w:pPr>
              <w:jc w:val="center"/>
            </w:pPr>
            <w:r>
              <w:rPr>
                <w:rFonts w:ascii="Times New Roman" w:hAnsi="Times New Roman"/>
                <w:b/>
                <w:sz w:val="20"/>
              </w:rPr>
              <w:t>Engineered Mitigation Strategy</w:t>
            </w:r>
          </w:p>
        </w:tc>
      </w:tr>
      <w:tr>
        <w:tc>
          <w:tcPr>
            <w:tcW w:type="dxa" w:w="2160"/>
          </w:tcPr>
          <w:p>
            <w:pPr>
              <w:jc w:val="left"/>
            </w:pPr>
            <w:r>
              <w:rPr>
                <w:rFonts w:ascii="Times New Roman" w:hAnsi="Times New Roman"/>
                <w:sz w:val="19"/>
              </w:rPr>
              <w:t>Data Leakage Risk</w:t>
            </w:r>
          </w:p>
        </w:tc>
        <w:tc>
          <w:tcPr>
            <w:tcW w:type="dxa" w:w="1728"/>
          </w:tcPr>
          <w:p>
            <w:pPr>
              <w:jc w:val="center"/>
            </w:pPr>
            <w:r>
              <w:rPr>
                <w:rFonts w:ascii="Times New Roman" w:hAnsi="Times New Roman"/>
                <w:sz w:val="19"/>
              </w:rPr>
              <w:t>Critical / Medium</w:t>
            </w:r>
          </w:p>
        </w:tc>
        <w:tc>
          <w:tcPr>
            <w:tcW w:type="dxa" w:w="2160"/>
          </w:tcPr>
          <w:p>
            <w:pPr>
              <w:jc w:val="left"/>
            </w:pPr>
            <w:r>
              <w:rPr>
                <w:rFonts w:ascii="Times New Roman" w:hAnsi="Times New Roman"/>
                <w:sz w:val="19"/>
              </w:rPr>
              <w:t>Feature scaling or SMOTE applied prior to train/test split, causing optimistic bias.</w:t>
            </w:r>
          </w:p>
        </w:tc>
        <w:tc>
          <w:tcPr>
            <w:tcW w:type="dxa" w:w="4032"/>
          </w:tcPr>
          <w:p>
            <w:pPr>
              <w:jc w:val="left"/>
            </w:pPr>
            <w:r>
              <w:rPr>
                <w:rFonts w:ascii="Times New Roman" w:hAnsi="Times New Roman"/>
                <w:sz w:val="19"/>
              </w:rPr>
              <w:t>Enforced strict chronological isolation: split data first; fit ColumnTransformer only on train split.</w:t>
            </w:r>
          </w:p>
        </w:tc>
      </w:tr>
      <w:tr>
        <w:tc>
          <w:tcPr>
            <w:tcW w:type="dxa" w:w="2160"/>
            <w:shd w:fill="F8FAFC"/>
          </w:tcPr>
          <w:p>
            <w:pPr>
              <w:jc w:val="left"/>
            </w:pPr>
            <w:r>
              <w:rPr>
                <w:rFonts w:ascii="Times New Roman" w:hAnsi="Times New Roman"/>
                <w:sz w:val="19"/>
              </w:rPr>
              <w:t>Numerical Overflow / Zero Division</w:t>
            </w:r>
          </w:p>
        </w:tc>
        <w:tc>
          <w:tcPr>
            <w:tcW w:type="dxa" w:w="1728"/>
            <w:shd w:fill="F8FAFC"/>
          </w:tcPr>
          <w:p>
            <w:pPr>
              <w:jc w:val="center"/>
            </w:pPr>
            <w:r>
              <w:rPr>
                <w:rFonts w:ascii="Times New Roman" w:hAnsi="Times New Roman"/>
                <w:sz w:val="19"/>
              </w:rPr>
              <w:t>High / High</w:t>
            </w:r>
          </w:p>
        </w:tc>
        <w:tc>
          <w:tcPr>
            <w:tcW w:type="dxa" w:w="2160"/>
            <w:shd w:fill="F8FAFC"/>
          </w:tcPr>
          <w:p>
            <w:pPr>
              <w:jc w:val="left"/>
            </w:pPr>
            <w:r>
              <w:rPr>
                <w:rFonts w:ascii="Times New Roman" w:hAnsi="Times New Roman"/>
                <w:sz w:val="19"/>
              </w:rPr>
              <w:t>Pre-revenue or debt-free applicants triggering division-by-zero exceptions in ratios.</w:t>
            </w:r>
          </w:p>
        </w:tc>
        <w:tc>
          <w:tcPr>
            <w:tcW w:type="dxa" w:w="4032"/>
            <w:shd w:fill="F8FAFC"/>
          </w:tcPr>
          <w:p>
            <w:pPr>
              <w:jc w:val="left"/>
            </w:pPr>
            <w:r>
              <w:rPr>
                <w:rFonts w:ascii="Times New Roman" w:hAnsi="Times New Roman"/>
                <w:sz w:val="19"/>
              </w:rPr>
              <w:t>Implemented np.maximum(denominator, 1.0) safeguards across all 7 engineered ratio transformers.</w:t>
            </w:r>
          </w:p>
        </w:tc>
      </w:tr>
      <w:tr>
        <w:tc>
          <w:tcPr>
            <w:tcW w:type="dxa" w:w="2160"/>
          </w:tcPr>
          <w:p>
            <w:pPr>
              <w:jc w:val="left"/>
            </w:pPr>
            <w:r>
              <w:rPr>
                <w:rFonts w:ascii="Times New Roman" w:hAnsi="Times New Roman"/>
                <w:sz w:val="19"/>
              </w:rPr>
              <w:t>Class Imbalance Bias</w:t>
            </w:r>
          </w:p>
        </w:tc>
        <w:tc>
          <w:tcPr>
            <w:tcW w:type="dxa" w:w="1728"/>
          </w:tcPr>
          <w:p>
            <w:pPr>
              <w:jc w:val="center"/>
            </w:pPr>
            <w:r>
              <w:rPr>
                <w:rFonts w:ascii="Times New Roman" w:hAnsi="Times New Roman"/>
                <w:sz w:val="19"/>
              </w:rPr>
              <w:t>High / High</w:t>
            </w:r>
          </w:p>
        </w:tc>
        <w:tc>
          <w:tcPr>
            <w:tcW w:type="dxa" w:w="2160"/>
          </w:tcPr>
          <w:p>
            <w:pPr>
              <w:jc w:val="left"/>
            </w:pPr>
            <w:r>
              <w:rPr>
                <w:rFonts w:ascii="Times New Roman" w:hAnsi="Times New Roman"/>
                <w:sz w:val="19"/>
              </w:rPr>
              <w:t>Classifier predicting only majority LOW risk class, missing high-risk defaults.</w:t>
            </w:r>
          </w:p>
        </w:tc>
        <w:tc>
          <w:tcPr>
            <w:tcW w:type="dxa" w:w="4032"/>
          </w:tcPr>
          <w:p>
            <w:pPr>
              <w:jc w:val="left"/>
            </w:pPr>
            <w:r>
              <w:rPr>
                <w:rFonts w:ascii="Times New Roman" w:hAnsi="Times New Roman"/>
                <w:sz w:val="19"/>
              </w:rPr>
              <w:t>Evaluated SMOTE and ADASYN strictly inside 5-Fold CV loops; monitored Macro F1 and Recall.</w:t>
            </w:r>
          </w:p>
        </w:tc>
      </w:tr>
      <w:tr>
        <w:tc>
          <w:tcPr>
            <w:tcW w:type="dxa" w:w="2160"/>
            <w:shd w:fill="F8FAFC"/>
          </w:tcPr>
          <w:p>
            <w:pPr>
              <w:jc w:val="left"/>
            </w:pPr>
            <w:r>
              <w:rPr>
                <w:rFonts w:ascii="Times New Roman" w:hAnsi="Times New Roman"/>
                <w:sz w:val="19"/>
              </w:rPr>
              <w:t>Regulatory Black-Box Violation</w:t>
            </w:r>
          </w:p>
        </w:tc>
        <w:tc>
          <w:tcPr>
            <w:tcW w:type="dxa" w:w="1728"/>
            <w:shd w:fill="F8FAFC"/>
          </w:tcPr>
          <w:p>
            <w:pPr>
              <w:jc w:val="center"/>
            </w:pPr>
            <w:r>
              <w:rPr>
                <w:rFonts w:ascii="Times New Roman" w:hAnsi="Times New Roman"/>
                <w:sz w:val="19"/>
              </w:rPr>
              <w:t>Critical / Low</w:t>
            </w:r>
          </w:p>
        </w:tc>
        <w:tc>
          <w:tcPr>
            <w:tcW w:type="dxa" w:w="2160"/>
            <w:shd w:fill="F8FAFC"/>
          </w:tcPr>
          <w:p>
            <w:pPr>
              <w:jc w:val="left"/>
            </w:pPr>
            <w:r>
              <w:rPr>
                <w:rFonts w:ascii="Times New Roman" w:hAnsi="Times New Roman"/>
                <w:sz w:val="19"/>
              </w:rPr>
              <w:t>Supervisory rejection due to inability to explain individual loan denials.</w:t>
            </w:r>
          </w:p>
        </w:tc>
        <w:tc>
          <w:tcPr>
            <w:tcW w:type="dxa" w:w="4032"/>
            <w:shd w:fill="F8FAFC"/>
          </w:tcPr>
          <w:p>
            <w:pPr>
              <w:jc w:val="left"/>
            </w:pPr>
            <w:r>
              <w:rPr>
                <w:rFonts w:ascii="Times New Roman" w:hAnsi="Times New Roman"/>
                <w:sz w:val="19"/>
              </w:rPr>
              <w:t>Integrated game-theoretic SHAP local attributions providing signed mathematical risk drivers.</w:t>
            </w:r>
          </w:p>
        </w:tc>
      </w:tr>
      <w:tr>
        <w:tc>
          <w:tcPr>
            <w:tcW w:type="dxa" w:w="2160"/>
          </w:tcPr>
          <w:p>
            <w:pPr>
              <w:jc w:val="left"/>
            </w:pPr>
            <w:r>
              <w:rPr>
                <w:rFonts w:ascii="Times New Roman" w:hAnsi="Times New Roman"/>
                <w:sz w:val="19"/>
              </w:rPr>
              <w:t>UI Bounds Exceptions</w:t>
            </w:r>
          </w:p>
        </w:tc>
        <w:tc>
          <w:tcPr>
            <w:tcW w:type="dxa" w:w="1728"/>
          </w:tcPr>
          <w:p>
            <w:pPr>
              <w:jc w:val="center"/>
            </w:pPr>
            <w:r>
              <w:rPr>
                <w:rFonts w:ascii="Times New Roman" w:hAnsi="Times New Roman"/>
                <w:sz w:val="19"/>
              </w:rPr>
              <w:t>Medium / High</w:t>
            </w:r>
          </w:p>
        </w:tc>
        <w:tc>
          <w:tcPr>
            <w:tcW w:type="dxa" w:w="2160"/>
          </w:tcPr>
          <w:p>
            <w:pPr>
              <w:jc w:val="left"/>
            </w:pPr>
            <w:r>
              <w:rPr>
                <w:rFonts w:ascii="Times New Roman" w:hAnsi="Times New Roman"/>
                <w:sz w:val="19"/>
              </w:rPr>
              <w:t>Out-of-bounds input values crashing Streamlit number_input and slider widgets.</w:t>
            </w:r>
          </w:p>
        </w:tc>
        <w:tc>
          <w:tcPr>
            <w:tcW w:type="dxa" w:w="4032"/>
          </w:tcPr>
          <w:p>
            <w:pPr>
              <w:jc w:val="left"/>
            </w:pPr>
            <w:r>
              <w:rPr>
                <w:rFonts w:ascii="Times New Roman" w:hAnsi="Times New Roman"/>
                <w:sz w:val="19"/>
              </w:rPr>
              <w:t>Engineered safe dynamic clamping (max/min guards) across all interactive input controls.</w:t>
            </w:r>
          </w:p>
        </w:tc>
      </w:tr>
    </w:tbl>
    <w:p>
      <w:r>
        <w:br w:type="page"/>
      </w:r>
    </w:p>
    <w:p>
      <w:pPr>
        <w:spacing w:before="440" w:after="280" w:line="276" w:lineRule="auto"/>
        <w:jc w:val="center"/>
      </w:pPr>
      <w:r>
        <w:rPr>
          <w:rFonts w:ascii="Times New Roman" w:hAnsi="Times New Roman"/>
          <w:b/>
          <w:color w:val="000000"/>
          <w:sz w:val="36"/>
        </w:rPr>
        <w:t>CHAPTER 5: SOFTWARE REQUIREMENT SPECIFICATION (SRS)</w:t>
      </w:r>
    </w:p>
    <w:p>
      <w:pPr>
        <w:spacing w:before="320" w:after="120" w:line="276" w:lineRule="auto"/>
        <w:jc w:val="left"/>
      </w:pPr>
      <w:r>
        <w:rPr>
          <w:rFonts w:ascii="Times New Roman" w:hAnsi="Times New Roman"/>
          <w:b/>
          <w:color w:val="000000"/>
          <w:sz w:val="24"/>
        </w:rPr>
        <w:t>5.1 PROJECT SCOPE &amp; SYSTEM BOUNDARY SPECIFICATION</w:t>
      </w:r>
    </w:p>
    <w:p>
      <w:pPr>
        <w:spacing w:line="360" w:lineRule="auto" w:after="120"/>
        <w:ind w:firstLine="360"/>
        <w:jc w:val="both"/>
      </w:pPr>
      <w:r>
        <w:rPr>
          <w:rFonts w:ascii="Times New Roman" w:hAnsi="Times New Roman"/>
          <w:sz w:val="24"/>
        </w:rPr>
        <w:t>The Software Requirement Specification (SRS) establishes the complete functional and non-functional contracts governing the AI-Based MSME Credit Risk Assistant platform. The software operates as an interactive, web-based analytics and decision-support tool capable of evaluating individual enterprise profiles, processing large batch datasets, explaining risk predictions, simulating counterfactual financial scenarios, and generating verifiable audit reports.</w:t>
      </w:r>
    </w:p>
    <w:p>
      <w:pPr>
        <w:spacing w:line="360" w:lineRule="auto" w:after="120"/>
        <w:ind w:firstLine="360"/>
        <w:jc w:val="both"/>
      </w:pPr>
      <w:r>
        <w:rPr>
          <w:rFonts w:ascii="Times New Roman" w:hAnsi="Times New Roman"/>
          <w:sz w:val="24"/>
        </w:rPr>
        <w:t>System boundaries are strictly delineated: the software ingests validated accounting inputs and outputs calibrated classifications, health scores, and explainability attributions. It does not interface directly with bank core banking ledgers for automatic loan disbursement, nor does it conduct automated credit bureau scraping.</w:t>
      </w:r>
    </w:p>
    <w:p>
      <w:pPr>
        <w:spacing w:before="320" w:after="120" w:line="276" w:lineRule="auto"/>
        <w:jc w:val="left"/>
      </w:pPr>
      <w:r>
        <w:rPr>
          <w:rFonts w:ascii="Times New Roman" w:hAnsi="Times New Roman"/>
          <w:b/>
          <w:color w:val="000000"/>
          <w:sz w:val="24"/>
        </w:rPr>
        <w:t>5.2 USER CLASSES &amp; STAKEHOLDER PERSONA ANALYSIS</w:t>
      </w:r>
    </w:p>
    <w:p>
      <w:pPr>
        <w:spacing w:line="360" w:lineRule="auto" w:after="120"/>
        <w:ind w:firstLine="360"/>
        <w:jc w:val="both"/>
      </w:pPr>
      <w:r>
        <w:rPr>
          <w:rFonts w:ascii="Times New Roman" w:hAnsi="Times New Roman"/>
          <w:sz w:val="24"/>
        </w:rPr>
        <w:t>The software caters to three primary user classes with distinct operational responsibilities:</w:t>
      </w:r>
    </w:p>
    <w:p>
      <w:pPr>
        <w:pStyle w:val="ListBullet"/>
        <w:spacing w:line="312" w:lineRule="auto" w:after="80"/>
        <w:jc w:val="both"/>
      </w:pPr>
      <w:r>
        <w:rPr>
          <w:rFonts w:ascii="Times New Roman" w:hAnsi="Times New Roman"/>
          <w:b/>
          <w:sz w:val="24"/>
        </w:rPr>
        <w:t xml:space="preserve">1. Commercial Credit Underwriters &amp; Loan Officers: </w:t>
      </w:r>
      <w:r>
        <w:rPr>
          <w:rFonts w:ascii="Times New Roman" w:hAnsi="Times New Roman"/>
          <w:sz w:val="24"/>
        </w:rPr>
        <w:t>Financial analysts requiring rapid, objective credit risk stratification (LOW, MEDIUM, HIGH), calibrated default probabilities, and transparent SHAP explanations to substantiate loan recommendations before credit committees.</w:t>
      </w:r>
    </w:p>
    <w:p>
      <w:pPr>
        <w:pStyle w:val="ListBullet"/>
        <w:spacing w:line="312" w:lineRule="auto" w:after="80"/>
        <w:jc w:val="both"/>
      </w:pPr>
      <w:r>
        <w:rPr>
          <w:rFonts w:ascii="Times New Roman" w:hAnsi="Times New Roman"/>
          <w:b/>
          <w:sz w:val="24"/>
        </w:rPr>
        <w:t xml:space="preserve">2. Enterprise Risk Managers &amp; Compliance Auditors: </w:t>
      </w:r>
      <w:r>
        <w:rPr>
          <w:rFonts w:ascii="Times New Roman" w:hAnsi="Times New Roman"/>
          <w:sz w:val="24"/>
        </w:rPr>
        <w:t>Supervisory personnel responsible for monitoring portfolio-level risk distributions, default trends, model calibration curves, and ensuring that automated credit decisions comply with RBI and Basel supervisory mandates.</w:t>
      </w:r>
    </w:p>
    <w:p>
      <w:pPr>
        <w:pStyle w:val="ListBullet"/>
        <w:spacing w:line="312" w:lineRule="auto" w:after="80"/>
        <w:jc w:val="both"/>
      </w:pPr>
      <w:r>
        <w:rPr>
          <w:rFonts w:ascii="Times New Roman" w:hAnsi="Times New Roman"/>
          <w:b/>
          <w:sz w:val="24"/>
        </w:rPr>
        <w:t xml:space="preserve">3. MSME Borrowers &amp; Financial Advisors: </w:t>
      </w:r>
      <w:r>
        <w:rPr>
          <w:rFonts w:ascii="Times New Roman" w:hAnsi="Times New Roman"/>
          <w:sz w:val="24"/>
        </w:rPr>
        <w:t>Small business owners seeking diagnostic insights into their creditworthiness and utilizing the What-If simulation engine to discover concrete operational adjustments (e.g., debt reduction) that enhance credit eligibility.</w:t>
      </w:r>
    </w:p>
    <w:p>
      <w:pPr>
        <w:spacing w:before="320" w:after="120" w:line="276" w:lineRule="auto"/>
        <w:jc w:val="left"/>
      </w:pPr>
      <w:r>
        <w:rPr>
          <w:rFonts w:ascii="Times New Roman" w:hAnsi="Times New Roman"/>
          <w:b/>
          <w:color w:val="000000"/>
          <w:sz w:val="24"/>
        </w:rPr>
        <w:t>5.3 DETAILED FUNCTIONAL REQUIREMENTS (FR-01 TO FR-12)</w:t>
      </w:r>
    </w:p>
    <w:p>
      <w:pPr>
        <w:spacing w:line="360" w:lineRule="auto" w:after="120"/>
        <w:ind w:firstLine="360"/>
        <w:jc w:val="both"/>
      </w:pPr>
      <w:r>
        <w:rPr>
          <w:rFonts w:ascii="Times New Roman" w:hAnsi="Times New Roman"/>
          <w:sz w:val="24"/>
        </w:rPr>
        <w:t>The software implements twelve formal functional requirements. Table 5.1 details the functional requirements specification matrix, specifying input data, processing logic, expected output, and exception handling protocols:</w:t>
      </w:r>
    </w:p>
    <w:tbl>
      <w:tblPr>
        <w:tblW w:type="auto" w:w="0"/>
        <w:jc w:val="center"/>
        <w:tblLook w:firstColumn="1" w:firstRow="1" w:lastColumn="0" w:lastRow="0" w:noHBand="0" w:noVBand="1" w:val="04A0"/>
      </w:tblPr>
      <w:tblGrid>
        <w:gridCol w:w="2167"/>
        <w:gridCol w:w="2167"/>
        <w:gridCol w:w="2167"/>
        <w:gridCol w:w="2167"/>
      </w:tblGrid>
      <w:tr>
        <w:tc>
          <w:tcPr>
            <w:tcW w:type="dxa" w:w="1728"/>
            <w:shd w:fill="E2E8F0"/>
          </w:tcPr>
          <w:p>
            <w:pPr>
              <w:jc w:val="center"/>
            </w:pPr>
            <w:r>
              <w:rPr>
                <w:rFonts w:ascii="Times New Roman" w:hAnsi="Times New Roman"/>
                <w:b/>
                <w:sz w:val="20"/>
              </w:rPr>
              <w:t>Req ID &amp; Name</w:t>
            </w:r>
          </w:p>
        </w:tc>
        <w:tc>
          <w:tcPr>
            <w:tcW w:type="dxa" w:w="2592"/>
            <w:shd w:fill="E2E8F0"/>
          </w:tcPr>
          <w:p>
            <w:pPr>
              <w:jc w:val="center"/>
            </w:pPr>
            <w:r>
              <w:rPr>
                <w:rFonts w:ascii="Times New Roman" w:hAnsi="Times New Roman"/>
                <w:b/>
                <w:sz w:val="20"/>
              </w:rPr>
              <w:t>Input Parameters</w:t>
            </w:r>
          </w:p>
        </w:tc>
        <w:tc>
          <w:tcPr>
            <w:tcW w:type="dxa" w:w="3168"/>
            <w:shd w:fill="E2E8F0"/>
          </w:tcPr>
          <w:p>
            <w:pPr>
              <w:jc w:val="center"/>
            </w:pPr>
            <w:r>
              <w:rPr>
                <w:rFonts w:ascii="Times New Roman" w:hAnsi="Times New Roman"/>
                <w:b/>
                <w:sz w:val="20"/>
              </w:rPr>
              <w:t>Internal Processing Logic</w:t>
            </w:r>
          </w:p>
        </w:tc>
        <w:tc>
          <w:tcPr>
            <w:tcW w:type="dxa" w:w="2592"/>
            <w:shd w:fill="E2E8F0"/>
          </w:tcPr>
          <w:p>
            <w:pPr>
              <w:jc w:val="center"/>
            </w:pPr>
            <w:r>
              <w:rPr>
                <w:rFonts w:ascii="Times New Roman" w:hAnsi="Times New Roman"/>
                <w:b/>
                <w:sz w:val="20"/>
              </w:rPr>
              <w:t>Expected System Output</w:t>
            </w:r>
          </w:p>
        </w:tc>
      </w:tr>
      <w:tr>
        <w:tc>
          <w:tcPr>
            <w:tcW w:type="dxa" w:w="1728"/>
          </w:tcPr>
          <w:p>
            <w:pPr>
              <w:jc w:val="left"/>
            </w:pPr>
            <w:r>
              <w:rPr>
                <w:rFonts w:ascii="Times New Roman" w:hAnsi="Times New Roman"/>
                <w:sz w:val="19"/>
              </w:rPr>
              <w:t>FR-01: Input Validation</w:t>
            </w:r>
          </w:p>
        </w:tc>
        <w:tc>
          <w:tcPr>
            <w:tcW w:type="dxa" w:w="2592"/>
          </w:tcPr>
          <w:p>
            <w:pPr>
              <w:jc w:val="left"/>
            </w:pPr>
            <w:r>
              <w:rPr>
                <w:rFonts w:ascii="Times New Roman" w:hAnsi="Times New Roman"/>
                <w:sz w:val="19"/>
              </w:rPr>
              <w:t>Raw business profile &amp; financial values</w:t>
            </w:r>
          </w:p>
        </w:tc>
        <w:tc>
          <w:tcPr>
            <w:tcW w:type="dxa" w:w="3168"/>
          </w:tcPr>
          <w:p>
            <w:pPr>
              <w:jc w:val="left"/>
            </w:pPr>
            <w:r>
              <w:rPr>
                <w:rFonts w:ascii="Times New Roman" w:hAnsi="Times New Roman"/>
                <w:sz w:val="19"/>
              </w:rPr>
              <w:t>Validates positive boundaries, non-negative bounds, and non-empty strings</w:t>
            </w:r>
          </w:p>
        </w:tc>
        <w:tc>
          <w:tcPr>
            <w:tcW w:type="dxa" w:w="2592"/>
          </w:tcPr>
          <w:p>
            <w:pPr>
              <w:jc w:val="left"/>
            </w:pPr>
            <w:r>
              <w:rPr>
                <w:rFonts w:ascii="Times New Roman" w:hAnsi="Times New Roman"/>
                <w:sz w:val="19"/>
              </w:rPr>
              <w:t>Validated input dictionary or descriptive validation error list</w:t>
            </w:r>
          </w:p>
        </w:tc>
      </w:tr>
      <w:tr>
        <w:tc>
          <w:tcPr>
            <w:tcW w:type="dxa" w:w="1728"/>
            <w:shd w:fill="F8FAFC"/>
          </w:tcPr>
          <w:p>
            <w:pPr>
              <w:jc w:val="left"/>
            </w:pPr>
            <w:r>
              <w:rPr>
                <w:rFonts w:ascii="Times New Roman" w:hAnsi="Times New Roman"/>
                <w:sz w:val="19"/>
              </w:rPr>
              <w:t>FR-02: Ratio Engineering</w:t>
            </w:r>
          </w:p>
        </w:tc>
        <w:tc>
          <w:tcPr>
            <w:tcW w:type="dxa" w:w="2592"/>
            <w:shd w:fill="F8FAFC"/>
          </w:tcPr>
          <w:p>
            <w:pPr>
              <w:jc w:val="left"/>
            </w:pPr>
            <w:r>
              <w:rPr>
                <w:rFonts w:ascii="Times New Roman" w:hAnsi="Times New Roman"/>
                <w:sz w:val="19"/>
              </w:rPr>
              <w:t>Revenue, expenses, debt, loan, cash flow</w:t>
            </w:r>
          </w:p>
        </w:tc>
        <w:tc>
          <w:tcPr>
            <w:tcW w:type="dxa" w:w="3168"/>
            <w:shd w:fill="F8FAFC"/>
          </w:tcPr>
          <w:p>
            <w:pPr>
              <w:jc w:val="left"/>
            </w:pPr>
            <w:r>
              <w:rPr>
                <w:rFonts w:ascii="Times New Roman" w:hAnsi="Times New Roman"/>
                <w:sz w:val="19"/>
              </w:rPr>
              <w:t>Computes DTI, Profit Margin, LTI, Cash Flow Coverage with zero-division clamps</w:t>
            </w:r>
          </w:p>
        </w:tc>
        <w:tc>
          <w:tcPr>
            <w:tcW w:type="dxa" w:w="2592"/>
            <w:shd w:fill="F8FAFC"/>
          </w:tcPr>
          <w:p>
            <w:pPr>
              <w:jc w:val="left"/>
            </w:pPr>
            <w:r>
              <w:rPr>
                <w:rFonts w:ascii="Times New Roman" w:hAnsi="Times New Roman"/>
                <w:sz w:val="19"/>
              </w:rPr>
              <w:t>Transformed dictionary containing 7 standardized financial ratios</w:t>
            </w:r>
          </w:p>
        </w:tc>
      </w:tr>
      <w:tr>
        <w:tc>
          <w:tcPr>
            <w:tcW w:type="dxa" w:w="1728"/>
          </w:tcPr>
          <w:p>
            <w:pPr>
              <w:jc w:val="left"/>
            </w:pPr>
            <w:r>
              <w:rPr>
                <w:rFonts w:ascii="Times New Roman" w:hAnsi="Times New Roman"/>
                <w:sz w:val="19"/>
              </w:rPr>
              <w:t>FR-03: Preprocessing Pipeline</w:t>
            </w:r>
          </w:p>
        </w:tc>
        <w:tc>
          <w:tcPr>
            <w:tcW w:type="dxa" w:w="2592"/>
          </w:tcPr>
          <w:p>
            <w:pPr>
              <w:jc w:val="left"/>
            </w:pPr>
            <w:r>
              <w:rPr>
                <w:rFonts w:ascii="Times New Roman" w:hAnsi="Times New Roman"/>
                <w:sz w:val="19"/>
              </w:rPr>
              <w:t>Raw and engineered feature vector</w:t>
            </w:r>
          </w:p>
        </w:tc>
        <w:tc>
          <w:tcPr>
            <w:tcW w:type="dxa" w:w="3168"/>
          </w:tcPr>
          <w:p>
            <w:pPr>
              <w:jc w:val="left"/>
            </w:pPr>
            <w:r>
              <w:rPr>
                <w:rFonts w:ascii="Times New Roman" w:hAnsi="Times New Roman"/>
                <w:sz w:val="19"/>
              </w:rPr>
              <w:t>Applies SimpleImputer and StandardScaler via serialized ColumnTransformer</w:t>
            </w:r>
          </w:p>
        </w:tc>
        <w:tc>
          <w:tcPr>
            <w:tcW w:type="dxa" w:w="2592"/>
          </w:tcPr>
          <w:p>
            <w:pPr>
              <w:jc w:val="left"/>
            </w:pPr>
            <w:r>
              <w:rPr>
                <w:rFonts w:ascii="Times New Roman" w:hAnsi="Times New Roman"/>
                <w:sz w:val="19"/>
              </w:rPr>
              <w:t>Normalized 18-dimensional numeric NumPy feature array</w:t>
            </w:r>
          </w:p>
        </w:tc>
      </w:tr>
      <w:tr>
        <w:tc>
          <w:tcPr>
            <w:tcW w:type="dxa" w:w="1728"/>
            <w:shd w:fill="F8FAFC"/>
          </w:tcPr>
          <w:p>
            <w:pPr>
              <w:jc w:val="left"/>
            </w:pPr>
            <w:r>
              <w:rPr>
                <w:rFonts w:ascii="Times New Roman" w:hAnsi="Times New Roman"/>
                <w:sz w:val="19"/>
              </w:rPr>
              <w:t>FR-04: Risk Classification</w:t>
            </w:r>
          </w:p>
        </w:tc>
        <w:tc>
          <w:tcPr>
            <w:tcW w:type="dxa" w:w="2592"/>
            <w:shd w:fill="F8FAFC"/>
          </w:tcPr>
          <w:p>
            <w:pPr>
              <w:jc w:val="left"/>
            </w:pPr>
            <w:r>
              <w:rPr>
                <w:rFonts w:ascii="Times New Roman" w:hAnsi="Times New Roman"/>
                <w:sz w:val="19"/>
              </w:rPr>
              <w:t>Normalized feature array</w:t>
            </w:r>
          </w:p>
        </w:tc>
        <w:tc>
          <w:tcPr>
            <w:tcW w:type="dxa" w:w="3168"/>
            <w:shd w:fill="F8FAFC"/>
          </w:tcPr>
          <w:p>
            <w:pPr>
              <w:jc w:val="left"/>
            </w:pPr>
            <w:r>
              <w:rPr>
                <w:rFonts w:ascii="Times New Roman" w:hAnsi="Times New Roman"/>
                <w:sz w:val="19"/>
              </w:rPr>
              <w:t>Passes feature array through champion calibrated Logistic Regression model</w:t>
            </w:r>
          </w:p>
        </w:tc>
        <w:tc>
          <w:tcPr>
            <w:tcW w:type="dxa" w:w="2592"/>
            <w:shd w:fill="F8FAFC"/>
          </w:tcPr>
          <w:p>
            <w:pPr>
              <w:jc w:val="left"/>
            </w:pPr>
            <w:r>
              <w:rPr>
                <w:rFonts w:ascii="Times New Roman" w:hAnsi="Times New Roman"/>
                <w:sz w:val="19"/>
              </w:rPr>
              <w:t>Multi-class classification (LOW, MED, HIGH) &amp; calibrated probabilities</w:t>
            </w:r>
          </w:p>
        </w:tc>
      </w:tr>
      <w:tr>
        <w:tc>
          <w:tcPr>
            <w:tcW w:type="dxa" w:w="1728"/>
          </w:tcPr>
          <w:p>
            <w:pPr>
              <w:jc w:val="left"/>
            </w:pPr>
            <w:r>
              <w:rPr>
                <w:rFonts w:ascii="Times New Roman" w:hAnsi="Times New Roman"/>
                <w:sz w:val="19"/>
              </w:rPr>
              <w:t>FR-05: SHAP Explainability</w:t>
            </w:r>
          </w:p>
        </w:tc>
        <w:tc>
          <w:tcPr>
            <w:tcW w:type="dxa" w:w="2592"/>
          </w:tcPr>
          <w:p>
            <w:pPr>
              <w:jc w:val="left"/>
            </w:pPr>
            <w:r>
              <w:rPr>
                <w:rFonts w:ascii="Times New Roman" w:hAnsi="Times New Roman"/>
                <w:sz w:val="19"/>
              </w:rPr>
              <w:t>Normalized feature array &amp; model</w:t>
            </w:r>
          </w:p>
        </w:tc>
        <w:tc>
          <w:tcPr>
            <w:tcW w:type="dxa" w:w="3168"/>
          </w:tcPr>
          <w:p>
            <w:pPr>
              <w:jc w:val="left"/>
            </w:pPr>
            <w:r>
              <w:rPr>
                <w:rFonts w:ascii="Times New Roman" w:hAnsi="Times New Roman"/>
                <w:sz w:val="19"/>
              </w:rPr>
              <w:t>Computes local Shapley values via LinearSHAP explainer</w:t>
            </w:r>
          </w:p>
        </w:tc>
        <w:tc>
          <w:tcPr>
            <w:tcW w:type="dxa" w:w="2592"/>
          </w:tcPr>
          <w:p>
            <w:pPr>
              <w:jc w:val="left"/>
            </w:pPr>
            <w:r>
              <w:rPr>
                <w:rFonts w:ascii="Times New Roman" w:hAnsi="Times New Roman"/>
                <w:sz w:val="19"/>
              </w:rPr>
              <w:t>Signed directional risk attributions &amp; global feature importance rankings</w:t>
            </w:r>
          </w:p>
        </w:tc>
      </w:tr>
      <w:tr>
        <w:tc>
          <w:tcPr>
            <w:tcW w:type="dxa" w:w="1728"/>
            <w:shd w:fill="F8FAFC"/>
          </w:tcPr>
          <w:p>
            <w:pPr>
              <w:jc w:val="left"/>
            </w:pPr>
            <w:r>
              <w:rPr>
                <w:rFonts w:ascii="Times New Roman" w:hAnsi="Times New Roman"/>
                <w:sz w:val="19"/>
              </w:rPr>
              <w:t>FR-06: Financial Health Scoring</w:t>
            </w:r>
          </w:p>
        </w:tc>
        <w:tc>
          <w:tcPr>
            <w:tcW w:type="dxa" w:w="2592"/>
            <w:shd w:fill="F8FAFC"/>
          </w:tcPr>
          <w:p>
            <w:pPr>
              <w:jc w:val="left"/>
            </w:pPr>
            <w:r>
              <w:rPr>
                <w:rFonts w:ascii="Times New Roman" w:hAnsi="Times New Roman"/>
                <w:sz w:val="19"/>
              </w:rPr>
              <w:t>Financial statement metrics</w:t>
            </w:r>
          </w:p>
        </w:tc>
        <w:tc>
          <w:tcPr>
            <w:tcW w:type="dxa" w:w="3168"/>
            <w:shd w:fill="F8FAFC"/>
          </w:tcPr>
          <w:p>
            <w:pPr>
              <w:jc w:val="left"/>
            </w:pPr>
            <w:r>
              <w:rPr>
                <w:rFonts w:ascii="Times New Roman" w:hAnsi="Times New Roman"/>
                <w:sz w:val="19"/>
              </w:rPr>
              <w:t>Calculates deterministic 0-100 score across 5 operational pillars</w:t>
            </w:r>
          </w:p>
        </w:tc>
        <w:tc>
          <w:tcPr>
            <w:tcW w:type="dxa" w:w="2592"/>
            <w:shd w:fill="F8FAFC"/>
          </w:tcPr>
          <w:p>
            <w:pPr>
              <w:jc w:val="left"/>
            </w:pPr>
            <w:r>
              <w:rPr>
                <w:rFonts w:ascii="Times New Roman" w:hAnsi="Times New Roman"/>
                <w:sz w:val="19"/>
              </w:rPr>
              <w:t>Total health score, pillar breakdown (0-25), and assigned letter grade</w:t>
            </w:r>
          </w:p>
        </w:tc>
      </w:tr>
      <w:tr>
        <w:tc>
          <w:tcPr>
            <w:tcW w:type="dxa" w:w="1728"/>
          </w:tcPr>
          <w:p>
            <w:pPr>
              <w:jc w:val="left"/>
            </w:pPr>
            <w:r>
              <w:rPr>
                <w:rFonts w:ascii="Times New Roman" w:hAnsi="Times New Roman"/>
                <w:sz w:val="19"/>
              </w:rPr>
              <w:t>FR-07: What-If Simulation</w:t>
            </w:r>
          </w:p>
        </w:tc>
        <w:tc>
          <w:tcPr>
            <w:tcW w:type="dxa" w:w="2592"/>
          </w:tcPr>
          <w:p>
            <w:pPr>
              <w:jc w:val="left"/>
            </w:pPr>
            <w:r>
              <w:rPr>
                <w:rFonts w:ascii="Times New Roman" w:hAnsi="Times New Roman"/>
                <w:sz w:val="19"/>
              </w:rPr>
              <w:t>Modified parameter dictionary</w:t>
            </w:r>
          </w:p>
        </w:tc>
        <w:tc>
          <w:tcPr>
            <w:tcW w:type="dxa" w:w="3168"/>
          </w:tcPr>
          <w:p>
            <w:pPr>
              <w:jc w:val="left"/>
            </w:pPr>
            <w:r>
              <w:rPr>
                <w:rFonts w:ascii="Times New Roman" w:hAnsi="Times New Roman"/>
                <w:sz w:val="19"/>
              </w:rPr>
              <w:t>Updates input vector, recomputes ratios, and evaluates delta predictions</w:t>
            </w:r>
          </w:p>
        </w:tc>
        <w:tc>
          <w:tcPr>
            <w:tcW w:type="dxa" w:w="2592"/>
          </w:tcPr>
          <w:p>
            <w:pPr>
              <w:jc w:val="left"/>
            </w:pPr>
            <w:r>
              <w:rPr>
                <w:rFonts w:ascii="Times New Roman" w:hAnsi="Times New Roman"/>
                <w:sz w:val="19"/>
              </w:rPr>
              <w:t>Instantaneous probability deltas &amp; financial health score shift</w:t>
            </w:r>
          </w:p>
        </w:tc>
      </w:tr>
      <w:tr>
        <w:tc>
          <w:tcPr>
            <w:tcW w:type="dxa" w:w="1728"/>
            <w:shd w:fill="F8FAFC"/>
          </w:tcPr>
          <w:p>
            <w:pPr>
              <w:jc w:val="left"/>
            </w:pPr>
            <w:r>
              <w:rPr>
                <w:rFonts w:ascii="Times New Roman" w:hAnsi="Times New Roman"/>
                <w:sz w:val="19"/>
              </w:rPr>
              <w:t>FR-08: Actionable Insights</w:t>
            </w:r>
          </w:p>
        </w:tc>
        <w:tc>
          <w:tcPr>
            <w:tcW w:type="dxa" w:w="2592"/>
            <w:shd w:fill="F8FAFC"/>
          </w:tcPr>
          <w:p>
            <w:pPr>
              <w:jc w:val="left"/>
            </w:pPr>
            <w:r>
              <w:rPr>
                <w:rFonts w:ascii="Times New Roman" w:hAnsi="Times New Roman"/>
                <w:sz w:val="19"/>
              </w:rPr>
              <w:t>SHAP values &amp; health scores</w:t>
            </w:r>
          </w:p>
        </w:tc>
        <w:tc>
          <w:tcPr>
            <w:tcW w:type="dxa" w:w="3168"/>
            <w:shd w:fill="F8FAFC"/>
          </w:tcPr>
          <w:p>
            <w:pPr>
              <w:jc w:val="left"/>
            </w:pPr>
            <w:r>
              <w:rPr>
                <w:rFonts w:ascii="Times New Roman" w:hAnsi="Times New Roman"/>
                <w:sz w:val="19"/>
              </w:rPr>
              <w:t>Maps negative SHAP attributions to operational recommendations</w:t>
            </w:r>
          </w:p>
        </w:tc>
        <w:tc>
          <w:tcPr>
            <w:tcW w:type="dxa" w:w="2592"/>
            <w:shd w:fill="F8FAFC"/>
          </w:tcPr>
          <w:p>
            <w:pPr>
              <w:jc w:val="left"/>
            </w:pPr>
            <w:r>
              <w:rPr>
                <w:rFonts w:ascii="Times New Roman" w:hAnsi="Times New Roman"/>
                <w:sz w:val="19"/>
              </w:rPr>
              <w:t>Bulleted turnaround roadmap targeting high-impact risk amplifiers</w:t>
            </w:r>
          </w:p>
        </w:tc>
      </w:tr>
      <w:tr>
        <w:tc>
          <w:tcPr>
            <w:tcW w:type="dxa" w:w="1728"/>
          </w:tcPr>
          <w:p>
            <w:pPr>
              <w:jc w:val="left"/>
            </w:pPr>
            <w:r>
              <w:rPr>
                <w:rFonts w:ascii="Times New Roman" w:hAnsi="Times New Roman"/>
                <w:sz w:val="19"/>
              </w:rPr>
              <w:t>FR-09: Batch Ingestion</w:t>
            </w:r>
          </w:p>
        </w:tc>
        <w:tc>
          <w:tcPr>
            <w:tcW w:type="dxa" w:w="2592"/>
          </w:tcPr>
          <w:p>
            <w:pPr>
              <w:jc w:val="left"/>
            </w:pPr>
            <w:r>
              <w:rPr>
                <w:rFonts w:ascii="Times New Roman" w:hAnsi="Times New Roman"/>
                <w:sz w:val="19"/>
              </w:rPr>
              <w:t>Uploaded CSV or Excel spreadsheet</w:t>
            </w:r>
          </w:p>
        </w:tc>
        <w:tc>
          <w:tcPr>
            <w:tcW w:type="dxa" w:w="3168"/>
          </w:tcPr>
          <w:p>
            <w:pPr>
              <w:jc w:val="left"/>
            </w:pPr>
            <w:r>
              <w:rPr>
                <w:rFonts w:ascii="Times New Roman" w:hAnsi="Times New Roman"/>
                <w:sz w:val="19"/>
              </w:rPr>
              <w:t>Validates columns, standardizes headers, and vectorizes batch inference</w:t>
            </w:r>
          </w:p>
        </w:tc>
        <w:tc>
          <w:tcPr>
            <w:tcW w:type="dxa" w:w="2592"/>
          </w:tcPr>
          <w:p>
            <w:pPr>
              <w:jc w:val="left"/>
            </w:pPr>
            <w:r>
              <w:rPr>
                <w:rFonts w:ascii="Times New Roman" w:hAnsi="Times New Roman"/>
                <w:sz w:val="19"/>
              </w:rPr>
              <w:t>Batch summary metrics, risk distribution chart, and downloadable CSV</w:t>
            </w:r>
          </w:p>
        </w:tc>
      </w:tr>
      <w:tr>
        <w:tc>
          <w:tcPr>
            <w:tcW w:type="dxa" w:w="1728"/>
            <w:shd w:fill="F8FAFC"/>
          </w:tcPr>
          <w:p>
            <w:pPr>
              <w:jc w:val="left"/>
            </w:pPr>
            <w:r>
              <w:rPr>
                <w:rFonts w:ascii="Times New Roman" w:hAnsi="Times New Roman"/>
                <w:sz w:val="19"/>
              </w:rPr>
              <w:t>FR-10: Schema Normalization</w:t>
            </w:r>
          </w:p>
        </w:tc>
        <w:tc>
          <w:tcPr>
            <w:tcW w:type="dxa" w:w="2592"/>
            <w:shd w:fill="F8FAFC"/>
          </w:tcPr>
          <w:p>
            <w:pPr>
              <w:jc w:val="left"/>
            </w:pPr>
            <w:r>
              <w:rPr>
                <w:rFonts w:ascii="Times New Roman" w:hAnsi="Times New Roman"/>
                <w:sz w:val="19"/>
              </w:rPr>
              <w:t>Heterogeneous external CSV columns</w:t>
            </w:r>
          </w:p>
        </w:tc>
        <w:tc>
          <w:tcPr>
            <w:tcW w:type="dxa" w:w="3168"/>
            <w:shd w:fill="F8FAFC"/>
          </w:tcPr>
          <w:p>
            <w:pPr>
              <w:jc w:val="left"/>
            </w:pPr>
            <w:r>
              <w:rPr>
                <w:rFonts w:ascii="Times New Roman" w:hAnsi="Times New Roman"/>
                <w:sz w:val="19"/>
              </w:rPr>
              <w:t>Fuzzy header matching and standard schema translation</w:t>
            </w:r>
          </w:p>
        </w:tc>
        <w:tc>
          <w:tcPr>
            <w:tcW w:type="dxa" w:w="2592"/>
            <w:shd w:fill="F8FAFC"/>
          </w:tcPr>
          <w:p>
            <w:pPr>
              <w:jc w:val="left"/>
            </w:pPr>
            <w:r>
              <w:rPr>
                <w:rFonts w:ascii="Times New Roman" w:hAnsi="Times New Roman"/>
                <w:sz w:val="19"/>
              </w:rPr>
              <w:t>Standardized DataFrame ready for vectorized ML inference</w:t>
            </w:r>
          </w:p>
        </w:tc>
      </w:tr>
      <w:tr>
        <w:tc>
          <w:tcPr>
            <w:tcW w:type="dxa" w:w="1728"/>
          </w:tcPr>
          <w:p>
            <w:pPr>
              <w:jc w:val="left"/>
            </w:pPr>
            <w:r>
              <w:rPr>
                <w:rFonts w:ascii="Times New Roman" w:hAnsi="Times New Roman"/>
                <w:sz w:val="19"/>
              </w:rPr>
              <w:t>FR-11: Database Persistence</w:t>
            </w:r>
          </w:p>
        </w:tc>
        <w:tc>
          <w:tcPr>
            <w:tcW w:type="dxa" w:w="2592"/>
          </w:tcPr>
          <w:p>
            <w:pPr>
              <w:jc w:val="left"/>
            </w:pPr>
            <w:r>
              <w:rPr>
                <w:rFonts w:ascii="Times New Roman" w:hAnsi="Times New Roman"/>
                <w:sz w:val="19"/>
              </w:rPr>
              <w:t>Enterprise profile &amp; prediction state</w:t>
            </w:r>
          </w:p>
        </w:tc>
        <w:tc>
          <w:tcPr>
            <w:tcW w:type="dxa" w:w="3168"/>
          </w:tcPr>
          <w:p>
            <w:pPr>
              <w:jc w:val="left"/>
            </w:pPr>
            <w:r>
              <w:rPr>
                <w:rFonts w:ascii="Times New Roman" w:hAnsi="Times New Roman"/>
                <w:sz w:val="19"/>
              </w:rPr>
              <w:t>Executes parameterized SQLite INSERT into 3NF normalized tables</w:t>
            </w:r>
          </w:p>
        </w:tc>
        <w:tc>
          <w:tcPr>
            <w:tcW w:type="dxa" w:w="2592"/>
          </w:tcPr>
          <w:p>
            <w:pPr>
              <w:jc w:val="left"/>
            </w:pPr>
            <w:r>
              <w:rPr>
                <w:rFonts w:ascii="Times New Roman" w:hAnsi="Times New Roman"/>
                <w:sz w:val="19"/>
              </w:rPr>
              <w:t>Unique auto-incremented business_id and foreign-key audit log</w:t>
            </w:r>
          </w:p>
        </w:tc>
      </w:tr>
      <w:tr>
        <w:tc>
          <w:tcPr>
            <w:tcW w:type="dxa" w:w="1728"/>
            <w:shd w:fill="F8FAFC"/>
          </w:tcPr>
          <w:p>
            <w:pPr>
              <w:jc w:val="left"/>
            </w:pPr>
            <w:r>
              <w:rPr>
                <w:rFonts w:ascii="Times New Roman" w:hAnsi="Times New Roman"/>
                <w:sz w:val="19"/>
              </w:rPr>
              <w:t>FR-12: PDF Report Compilation</w:t>
            </w:r>
          </w:p>
        </w:tc>
        <w:tc>
          <w:tcPr>
            <w:tcW w:type="dxa" w:w="2592"/>
            <w:shd w:fill="F8FAFC"/>
          </w:tcPr>
          <w:p>
            <w:pPr>
              <w:jc w:val="left"/>
            </w:pPr>
            <w:r>
              <w:rPr>
                <w:rFonts w:ascii="Times New Roman" w:hAnsi="Times New Roman"/>
                <w:sz w:val="19"/>
              </w:rPr>
              <w:t>Assessment payload &amp; business data</w:t>
            </w:r>
          </w:p>
        </w:tc>
        <w:tc>
          <w:tcPr>
            <w:tcW w:type="dxa" w:w="3168"/>
            <w:shd w:fill="F8FAFC"/>
          </w:tcPr>
          <w:p>
            <w:pPr>
              <w:jc w:val="left"/>
            </w:pPr>
            <w:r>
              <w:rPr>
                <w:rFonts w:ascii="Times New Roman" w:hAnsi="Times New Roman"/>
                <w:sz w:val="19"/>
              </w:rPr>
              <w:t>Compiles styled ReportLab flowables, tables, and disclaimers into PDF</w:t>
            </w:r>
          </w:p>
        </w:tc>
        <w:tc>
          <w:tcPr>
            <w:tcW w:type="dxa" w:w="2592"/>
            <w:shd w:fill="F8FAFC"/>
          </w:tcPr>
          <w:p>
            <w:pPr>
              <w:jc w:val="left"/>
            </w:pPr>
            <w:r>
              <w:rPr>
                <w:rFonts w:ascii="Times New Roman" w:hAnsi="Times New Roman"/>
                <w:sz w:val="19"/>
              </w:rPr>
              <w:t>Downloadable, institutional-grade multi-page PDF credit assessment report</w:t>
            </w:r>
          </w:p>
        </w:tc>
      </w:tr>
    </w:tbl>
    <w:p>
      <w:pPr>
        <w:spacing w:before="320" w:after="120" w:line="276" w:lineRule="auto"/>
        <w:jc w:val="left"/>
      </w:pPr>
      <w:r>
        <w:rPr>
          <w:rFonts w:ascii="Times New Roman" w:hAnsi="Times New Roman"/>
          <w:b/>
          <w:color w:val="000000"/>
          <w:sz w:val="24"/>
        </w:rPr>
        <w:t>5.4 COMPREHENSIVE NON-FUNCTIONAL REQUIREMENTS (NFR-01 TO NFR-08)</w:t>
      </w:r>
    </w:p>
    <w:p>
      <w:pPr>
        <w:spacing w:line="360" w:lineRule="auto" w:after="120"/>
        <w:ind w:firstLine="360"/>
        <w:jc w:val="both"/>
      </w:pPr>
      <w:r>
        <w:rPr>
          <w:rFonts w:ascii="Times New Roman" w:hAnsi="Times New Roman"/>
          <w:sz w:val="24"/>
        </w:rPr>
        <w:t>Table 5.2 defines the non-functional performance, security, and quality requirements governing the system:</w:t>
      </w:r>
    </w:p>
    <w:tbl>
      <w:tblPr>
        <w:tblW w:type="auto" w:w="0"/>
        <w:jc w:val="center"/>
        <w:tblLook w:firstColumn="1" w:firstRow="1" w:lastColumn="0" w:lastRow="0" w:noHBand="0" w:noVBand="1" w:val="04A0"/>
      </w:tblPr>
      <w:tblGrid>
        <w:gridCol w:w="2890"/>
        <w:gridCol w:w="2890"/>
        <w:gridCol w:w="2890"/>
      </w:tblGrid>
      <w:tr>
        <w:tc>
          <w:tcPr>
            <w:tcW w:type="dxa" w:w="2160"/>
            <w:shd w:fill="E2E8F0"/>
          </w:tcPr>
          <w:p>
            <w:pPr>
              <w:jc w:val="center"/>
            </w:pPr>
            <w:r>
              <w:rPr>
                <w:rFonts w:ascii="Times New Roman" w:hAnsi="Times New Roman"/>
                <w:b/>
                <w:sz w:val="20"/>
              </w:rPr>
              <w:t>Req ID &amp; Parameter</w:t>
            </w:r>
          </w:p>
        </w:tc>
        <w:tc>
          <w:tcPr>
            <w:tcW w:type="dxa" w:w="3168"/>
            <w:shd w:fill="E2E8F0"/>
          </w:tcPr>
          <w:p>
            <w:pPr>
              <w:jc w:val="center"/>
            </w:pPr>
            <w:r>
              <w:rPr>
                <w:rFonts w:ascii="Times New Roman" w:hAnsi="Times New Roman"/>
                <w:b/>
                <w:sz w:val="20"/>
              </w:rPr>
              <w:t>Target Metric / Specification</w:t>
            </w:r>
          </w:p>
        </w:tc>
        <w:tc>
          <w:tcPr>
            <w:tcW w:type="dxa" w:w="4752"/>
            <w:shd w:fill="E2E8F0"/>
          </w:tcPr>
          <w:p>
            <w:pPr>
              <w:jc w:val="center"/>
            </w:pPr>
            <w:r>
              <w:rPr>
                <w:rFonts w:ascii="Times New Roman" w:hAnsi="Times New Roman"/>
                <w:b/>
                <w:sz w:val="20"/>
              </w:rPr>
              <w:t>Architectural Compliance Verification</w:t>
            </w:r>
          </w:p>
        </w:tc>
      </w:tr>
      <w:tr>
        <w:tc>
          <w:tcPr>
            <w:tcW w:type="dxa" w:w="2160"/>
          </w:tcPr>
          <w:p>
            <w:pPr>
              <w:jc w:val="left"/>
            </w:pPr>
            <w:r>
              <w:rPr>
                <w:rFonts w:ascii="Times New Roman" w:hAnsi="Times New Roman"/>
                <w:sz w:val="19"/>
              </w:rPr>
              <w:t>NFR-01: Inference Latency</w:t>
            </w:r>
          </w:p>
        </w:tc>
        <w:tc>
          <w:tcPr>
            <w:tcW w:type="dxa" w:w="3168"/>
          </w:tcPr>
          <w:p>
            <w:pPr>
              <w:jc w:val="left"/>
            </w:pPr>
            <w:r>
              <w:rPr>
                <w:rFonts w:ascii="Times New Roman" w:hAnsi="Times New Roman"/>
                <w:sz w:val="19"/>
              </w:rPr>
              <w:t>&lt; 500 milliseconds for single assessment</w:t>
            </w:r>
          </w:p>
        </w:tc>
        <w:tc>
          <w:tcPr>
            <w:tcW w:type="dxa" w:w="4752"/>
          </w:tcPr>
          <w:p>
            <w:pPr>
              <w:jc w:val="left"/>
            </w:pPr>
            <w:r>
              <w:rPr>
                <w:rFonts w:ascii="Times New Roman" w:hAnsi="Times New Roman"/>
                <w:sz w:val="19"/>
              </w:rPr>
              <w:t>Empirically verified in Chapter 8: average CPU inference latency is 42 ms.</w:t>
            </w:r>
          </w:p>
        </w:tc>
      </w:tr>
      <w:tr>
        <w:tc>
          <w:tcPr>
            <w:tcW w:type="dxa" w:w="2160"/>
            <w:shd w:fill="F8FAFC"/>
          </w:tcPr>
          <w:p>
            <w:pPr>
              <w:jc w:val="left"/>
            </w:pPr>
            <w:r>
              <w:rPr>
                <w:rFonts w:ascii="Times New Roman" w:hAnsi="Times New Roman"/>
                <w:sz w:val="19"/>
              </w:rPr>
              <w:t>NFR-02: Zero Data Leakage</w:t>
            </w:r>
          </w:p>
        </w:tc>
        <w:tc>
          <w:tcPr>
            <w:tcW w:type="dxa" w:w="3168"/>
            <w:shd w:fill="F8FAFC"/>
          </w:tcPr>
          <w:p>
            <w:pPr>
              <w:jc w:val="left"/>
            </w:pPr>
            <w:r>
              <w:rPr>
                <w:rFonts w:ascii="Times New Roman" w:hAnsi="Times New Roman"/>
                <w:sz w:val="19"/>
              </w:rPr>
              <w:t>100% isolation of test and validation splits</w:t>
            </w:r>
          </w:p>
        </w:tc>
        <w:tc>
          <w:tcPr>
            <w:tcW w:type="dxa" w:w="4752"/>
            <w:shd w:fill="F8FAFC"/>
          </w:tcPr>
          <w:p>
            <w:pPr>
              <w:jc w:val="left"/>
            </w:pPr>
            <w:r>
              <w:rPr>
                <w:rFonts w:ascii="Times New Roman" w:hAnsi="Times New Roman"/>
                <w:sz w:val="19"/>
              </w:rPr>
              <w:t>ColumnTransformer fitted strictly on train split; resampling applied inside CV.</w:t>
            </w:r>
          </w:p>
        </w:tc>
      </w:tr>
      <w:tr>
        <w:tc>
          <w:tcPr>
            <w:tcW w:type="dxa" w:w="2160"/>
          </w:tcPr>
          <w:p>
            <w:pPr>
              <w:jc w:val="left"/>
            </w:pPr>
            <w:r>
              <w:rPr>
                <w:rFonts w:ascii="Times New Roman" w:hAnsi="Times New Roman"/>
                <w:sz w:val="19"/>
              </w:rPr>
              <w:t>NFR-03: Security &amp; Injection</w:t>
            </w:r>
          </w:p>
        </w:tc>
        <w:tc>
          <w:tcPr>
            <w:tcW w:type="dxa" w:w="3168"/>
          </w:tcPr>
          <w:p>
            <w:pPr>
              <w:jc w:val="left"/>
            </w:pPr>
            <w:r>
              <w:rPr>
                <w:rFonts w:ascii="Times New Roman" w:hAnsi="Times New Roman"/>
                <w:sz w:val="19"/>
              </w:rPr>
              <w:t>Zero SQL injection vulnerability; no secrets</w:t>
            </w:r>
          </w:p>
        </w:tc>
        <w:tc>
          <w:tcPr>
            <w:tcW w:type="dxa" w:w="4752"/>
          </w:tcPr>
          <w:p>
            <w:pPr>
              <w:jc w:val="left"/>
            </w:pPr>
            <w:r>
              <w:rPr>
                <w:rFonts w:ascii="Times New Roman" w:hAnsi="Times New Roman"/>
                <w:sz w:val="19"/>
              </w:rPr>
              <w:t>100% parameterized queries via Python sqlite3; zero hardcoded secrets.</w:t>
            </w:r>
          </w:p>
        </w:tc>
      </w:tr>
      <w:tr>
        <w:tc>
          <w:tcPr>
            <w:tcW w:type="dxa" w:w="2160"/>
            <w:shd w:fill="F8FAFC"/>
          </w:tcPr>
          <w:p>
            <w:pPr>
              <w:jc w:val="left"/>
            </w:pPr>
            <w:r>
              <w:rPr>
                <w:rFonts w:ascii="Times New Roman" w:hAnsi="Times New Roman"/>
                <w:sz w:val="19"/>
              </w:rPr>
              <w:t>NFR-04: Batch Scalability</w:t>
            </w:r>
          </w:p>
        </w:tc>
        <w:tc>
          <w:tcPr>
            <w:tcW w:type="dxa" w:w="3168"/>
            <w:shd w:fill="F8FAFC"/>
          </w:tcPr>
          <w:p>
            <w:pPr>
              <w:jc w:val="left"/>
            </w:pPr>
            <w:r>
              <w:rPr>
                <w:rFonts w:ascii="Times New Roman" w:hAnsi="Times New Roman"/>
                <w:sz w:val="19"/>
              </w:rPr>
              <w:t>Process 250,000+ records in &lt; 1.0 second</w:t>
            </w:r>
          </w:p>
        </w:tc>
        <w:tc>
          <w:tcPr>
            <w:tcW w:type="dxa" w:w="4752"/>
            <w:shd w:fill="F8FAFC"/>
          </w:tcPr>
          <w:p>
            <w:pPr>
              <w:jc w:val="left"/>
            </w:pPr>
            <w:r>
              <w:rPr>
                <w:rFonts w:ascii="Times New Roman" w:hAnsi="Times New Roman"/>
                <w:sz w:val="19"/>
              </w:rPr>
              <w:t>Vectorized inference engine processes 272,650 rows in 0.12 seconds.</w:t>
            </w:r>
          </w:p>
        </w:tc>
      </w:tr>
      <w:tr>
        <w:tc>
          <w:tcPr>
            <w:tcW w:type="dxa" w:w="2160"/>
          </w:tcPr>
          <w:p>
            <w:pPr>
              <w:jc w:val="left"/>
            </w:pPr>
            <w:r>
              <w:rPr>
                <w:rFonts w:ascii="Times New Roman" w:hAnsi="Times New Roman"/>
                <w:sz w:val="19"/>
              </w:rPr>
              <w:t>NFR-05: Theme Adaptability</w:t>
            </w:r>
          </w:p>
        </w:tc>
        <w:tc>
          <w:tcPr>
            <w:tcW w:type="dxa" w:w="3168"/>
          </w:tcPr>
          <w:p>
            <w:pPr>
              <w:jc w:val="left"/>
            </w:pPr>
            <w:r>
              <w:rPr>
                <w:rFonts w:ascii="Times New Roman" w:hAnsi="Times New Roman"/>
                <w:sz w:val="19"/>
              </w:rPr>
              <w:t>Seamless Dark and Light theme rendering</w:t>
            </w:r>
          </w:p>
        </w:tc>
        <w:tc>
          <w:tcPr>
            <w:tcW w:type="dxa" w:w="4752"/>
          </w:tcPr>
          <w:p>
            <w:pPr>
              <w:jc w:val="left"/>
            </w:pPr>
            <w:r>
              <w:rPr>
                <w:rFonts w:ascii="Times New Roman" w:hAnsi="Times New Roman"/>
                <w:sz w:val="19"/>
              </w:rPr>
              <w:t>CSS variables and theme-adaptive Plotly charts configured in Streamlit.</w:t>
            </w:r>
          </w:p>
        </w:tc>
      </w:tr>
      <w:tr>
        <w:tc>
          <w:tcPr>
            <w:tcW w:type="dxa" w:w="2160"/>
            <w:shd w:fill="F8FAFC"/>
          </w:tcPr>
          <w:p>
            <w:pPr>
              <w:jc w:val="left"/>
            </w:pPr>
            <w:r>
              <w:rPr>
                <w:rFonts w:ascii="Times New Roman" w:hAnsi="Times New Roman"/>
                <w:sz w:val="19"/>
              </w:rPr>
              <w:t>NFR-06: Audit Traceability</w:t>
            </w:r>
          </w:p>
        </w:tc>
        <w:tc>
          <w:tcPr>
            <w:tcW w:type="dxa" w:w="3168"/>
            <w:shd w:fill="F8FAFC"/>
          </w:tcPr>
          <w:p>
            <w:pPr>
              <w:jc w:val="left"/>
            </w:pPr>
            <w:r>
              <w:rPr>
                <w:rFonts w:ascii="Times New Roman" w:hAnsi="Times New Roman"/>
                <w:sz w:val="19"/>
              </w:rPr>
              <w:t>Complete historical state preservation</w:t>
            </w:r>
          </w:p>
        </w:tc>
        <w:tc>
          <w:tcPr>
            <w:tcW w:type="dxa" w:w="4752"/>
            <w:shd w:fill="F8FAFC"/>
          </w:tcPr>
          <w:p>
            <w:pPr>
              <w:jc w:val="left"/>
            </w:pPr>
            <w:r>
              <w:rPr>
                <w:rFonts w:ascii="Times New Roman" w:hAnsi="Times New Roman"/>
                <w:sz w:val="19"/>
              </w:rPr>
              <w:t>Complete input feature vector persisted as serialized JSON in predictions table.</w:t>
            </w:r>
          </w:p>
        </w:tc>
      </w:tr>
      <w:tr>
        <w:tc>
          <w:tcPr>
            <w:tcW w:type="dxa" w:w="2160"/>
          </w:tcPr>
          <w:p>
            <w:pPr>
              <w:jc w:val="left"/>
            </w:pPr>
            <w:r>
              <w:rPr>
                <w:rFonts w:ascii="Times New Roman" w:hAnsi="Times New Roman"/>
                <w:sz w:val="19"/>
              </w:rPr>
              <w:t>NFR-07: Cross-Platform Support</w:t>
            </w:r>
          </w:p>
        </w:tc>
        <w:tc>
          <w:tcPr>
            <w:tcW w:type="dxa" w:w="3168"/>
          </w:tcPr>
          <w:p>
            <w:pPr>
              <w:jc w:val="left"/>
            </w:pPr>
            <w:r>
              <w:rPr>
                <w:rFonts w:ascii="Times New Roman" w:hAnsi="Times New Roman"/>
                <w:sz w:val="19"/>
              </w:rPr>
              <w:t>macOS, Linux Ubuntu, Windows 11</w:t>
            </w:r>
          </w:p>
        </w:tc>
        <w:tc>
          <w:tcPr>
            <w:tcW w:type="dxa" w:w="4752"/>
          </w:tcPr>
          <w:p>
            <w:pPr>
              <w:jc w:val="left"/>
            </w:pPr>
            <w:r>
              <w:rPr>
                <w:rFonts w:ascii="Times New Roman" w:hAnsi="Times New Roman"/>
                <w:sz w:val="19"/>
              </w:rPr>
              <w:t>Fully compatible with standard Python virtual environments (`venv`).</w:t>
            </w:r>
          </w:p>
        </w:tc>
      </w:tr>
      <w:tr>
        <w:tc>
          <w:tcPr>
            <w:tcW w:type="dxa" w:w="2160"/>
            <w:shd w:fill="F8FAFC"/>
          </w:tcPr>
          <w:p>
            <w:pPr>
              <w:jc w:val="left"/>
            </w:pPr>
            <w:r>
              <w:rPr>
                <w:rFonts w:ascii="Times New Roman" w:hAnsi="Times New Roman"/>
                <w:sz w:val="19"/>
              </w:rPr>
              <w:t>NFR-08: Code Maintainability</w:t>
            </w:r>
          </w:p>
        </w:tc>
        <w:tc>
          <w:tcPr>
            <w:tcW w:type="dxa" w:w="3168"/>
            <w:shd w:fill="F8FAFC"/>
          </w:tcPr>
          <w:p>
            <w:pPr>
              <w:jc w:val="left"/>
            </w:pPr>
            <w:r>
              <w:rPr>
                <w:rFonts w:ascii="Times New Roman" w:hAnsi="Times New Roman"/>
                <w:sz w:val="19"/>
              </w:rPr>
              <w:t>Modular architecture with &gt; 90% test coverage</w:t>
            </w:r>
          </w:p>
        </w:tc>
        <w:tc>
          <w:tcPr>
            <w:tcW w:type="dxa" w:w="4752"/>
            <w:shd w:fill="F8FAFC"/>
          </w:tcPr>
          <w:p>
            <w:pPr>
              <w:jc w:val="left"/>
            </w:pPr>
            <w:r>
              <w:rPr>
                <w:rFonts w:ascii="Times New Roman" w:hAnsi="Times New Roman"/>
                <w:sz w:val="19"/>
              </w:rPr>
              <w:t>PyTest 7 test suites passing in 0.76 seconds across all core packages.</w:t>
            </w:r>
          </w:p>
        </w:tc>
      </w:tr>
    </w:tbl>
    <w:p>
      <w:pPr>
        <w:spacing w:before="320" w:after="120" w:line="276" w:lineRule="auto"/>
        <w:jc w:val="left"/>
      </w:pPr>
      <w:r>
        <w:rPr>
          <w:rFonts w:ascii="Times New Roman" w:hAnsi="Times New Roman"/>
          <w:b/>
          <w:color w:val="000000"/>
          <w:sz w:val="24"/>
        </w:rPr>
        <w:t>5.5 EXTERNAL INTERFACE REQUIREMENTS</w:t>
      </w:r>
    </w:p>
    <w:p>
      <w:pPr>
        <w:spacing w:line="360" w:lineRule="auto" w:after="120"/>
        <w:ind w:firstLine="360"/>
        <w:jc w:val="both"/>
      </w:pPr>
      <w:r>
        <w:rPr>
          <w:rFonts w:ascii="Times New Roman" w:hAnsi="Times New Roman"/>
          <w:sz w:val="24"/>
        </w:rPr>
        <w:t>The software implements well-defined external interface specifications:</w:t>
      </w:r>
    </w:p>
    <w:p>
      <w:pPr>
        <w:pStyle w:val="ListBullet"/>
        <w:spacing w:line="312" w:lineRule="auto" w:after="80"/>
        <w:jc w:val="both"/>
      </w:pPr>
      <w:r>
        <w:rPr>
          <w:rFonts w:ascii="Times New Roman" w:hAnsi="Times New Roman"/>
          <w:b/>
          <w:sz w:val="24"/>
        </w:rPr>
        <w:t xml:space="preserve">• User Interfaces: </w:t>
      </w:r>
      <w:r>
        <w:rPr>
          <w:rFonts w:ascii="Times New Roman" w:hAnsi="Times New Roman"/>
          <w:sz w:val="24"/>
        </w:rPr>
        <w:t>Streamlit 1.64+ browser interface delivering a responsive dashboard layout with Plus Jakarta Sans typography, metric KPI cards, semi-circular gauges, polar radar charts, and interactive parameter sliders.</w:t>
      </w:r>
    </w:p>
    <w:p>
      <w:pPr>
        <w:pStyle w:val="ListBullet"/>
        <w:spacing w:line="312" w:lineRule="auto" w:after="80"/>
        <w:jc w:val="both"/>
      </w:pPr>
      <w:r>
        <w:rPr>
          <w:rFonts w:ascii="Times New Roman" w:hAnsi="Times New Roman"/>
          <w:b/>
          <w:sz w:val="24"/>
        </w:rPr>
        <w:t xml:space="preserve">• Hardware Interfaces: </w:t>
      </w:r>
      <w:r>
        <w:rPr>
          <w:rFonts w:ascii="Times New Roman" w:hAnsi="Times New Roman"/>
          <w:sz w:val="24"/>
        </w:rPr>
        <w:t>Standard multi-core x86-64 and Apple Silicon ARM64 processors with minimum 4 GB RAM and 100 MB free disk space.</w:t>
      </w:r>
    </w:p>
    <w:p>
      <w:pPr>
        <w:pStyle w:val="ListBullet"/>
        <w:spacing w:line="312" w:lineRule="auto" w:after="80"/>
        <w:jc w:val="both"/>
      </w:pPr>
      <w:r>
        <w:rPr>
          <w:rFonts w:ascii="Times New Roman" w:hAnsi="Times New Roman"/>
          <w:b/>
          <w:sz w:val="24"/>
        </w:rPr>
        <w:t xml:space="preserve">• Software &amp; Storage Interfaces: </w:t>
      </w:r>
      <w:r>
        <w:rPr>
          <w:rFonts w:ascii="Times New Roman" w:hAnsi="Times New Roman"/>
          <w:sz w:val="24"/>
        </w:rPr>
        <w:t>SQLite 3 file-based relational database store operating with ACID guarantees and WAL (Write-Ahead Logging) journaling.</w:t>
      </w:r>
    </w:p>
    <w:p>
      <w:r>
        <w:br w:type="page"/>
      </w:r>
    </w:p>
    <w:p>
      <w:pPr>
        <w:spacing w:before="440" w:after="280" w:line="276" w:lineRule="auto"/>
        <w:jc w:val="center"/>
      </w:pPr>
      <w:r>
        <w:rPr>
          <w:rFonts w:ascii="Times New Roman" w:hAnsi="Times New Roman"/>
          <w:b/>
          <w:color w:val="000000"/>
          <w:sz w:val="36"/>
        </w:rPr>
        <w:t>CHAPTER 6: SYSTEM DESIGN &amp; ARCHITECTURE</w:t>
      </w:r>
    </w:p>
    <w:p>
      <w:pPr>
        <w:spacing w:before="320" w:after="120" w:line="276" w:lineRule="auto"/>
        <w:jc w:val="left"/>
      </w:pPr>
      <w:r>
        <w:rPr>
          <w:rFonts w:ascii="Times New Roman" w:hAnsi="Times New Roman"/>
          <w:b/>
          <w:color w:val="000000"/>
          <w:sz w:val="24"/>
        </w:rPr>
        <w:t>6.1 MULTI-TIER ENTERPRISE SOFTWARE ARCHITECTURE</w:t>
      </w:r>
    </w:p>
    <w:p>
      <w:pPr>
        <w:spacing w:line="360" w:lineRule="auto" w:after="120"/>
        <w:ind w:firstLine="360"/>
        <w:jc w:val="both"/>
      </w:pPr>
      <w:r>
        <w:rPr>
          <w:rFonts w:ascii="Times New Roman" w:hAnsi="Times New Roman"/>
          <w:sz w:val="24"/>
        </w:rPr>
        <w:t>The software implements a modular, multi-tier software architecture enforcing strict separation of concerns between presentation, business logic, machine learning inference, and data persistence layers:</w:t>
      </w:r>
    </w:p>
    <w:p>
      <w:pPr>
        <w:spacing w:before="240" w:after="80"/>
        <w:jc w:val="center"/>
      </w:pPr>
      <w:r>
        <w:drawing>
          <wp:inline xmlns:a="http://schemas.openxmlformats.org/drawingml/2006/main" xmlns:pic="http://schemas.openxmlformats.org/drawingml/2006/picture">
            <wp:extent cx="4754880" cy="3622766"/>
            <wp:docPr id="9" name="Picture 9"/>
            <wp:cNvGraphicFramePr>
              <a:graphicFrameLocks noChangeAspect="1"/>
            </wp:cNvGraphicFramePr>
            <a:graphic>
              <a:graphicData uri="http://schemas.openxmlformats.org/drawingml/2006/picture">
                <pic:pic>
                  <pic:nvPicPr>
                    <pic:cNvPr id="0" name="diag2_architecture.png"/>
                    <pic:cNvPicPr/>
                  </pic:nvPicPr>
                  <pic:blipFill>
                    <a:blip r:embed="rId16"/>
                    <a:stretch>
                      <a:fillRect/>
                    </a:stretch>
                  </pic:blipFill>
                  <pic:spPr>
                    <a:xfrm>
                      <a:off x="0" y="0"/>
                      <a:ext cx="4754880" cy="3622766"/>
                    </a:xfrm>
                    <a:prstGeom prst="rect"/>
                  </pic:spPr>
                </pic:pic>
              </a:graphicData>
            </a:graphic>
          </wp:inline>
        </w:drawing>
      </w:r>
    </w:p>
    <w:p>
      <w:pPr>
        <w:spacing w:after="280"/>
        <w:jc w:val="center"/>
      </w:pPr>
      <w:r>
        <w:rPr>
          <w:rFonts w:ascii="Times New Roman" w:hAnsi="Times New Roman"/>
          <w:b/>
          <w:sz w:val="21"/>
        </w:rPr>
        <w:t>Figure 6.1: Multi-Tier Software and Architectural Block Diagram</w:t>
      </w:r>
    </w:p>
    <w:p>
      <w:pPr>
        <w:spacing w:line="360" w:lineRule="auto" w:after="120"/>
        <w:ind w:firstLine="360"/>
        <w:jc w:val="both"/>
      </w:pPr>
      <w:r>
        <w:rPr>
          <w:rFonts w:ascii="Times New Roman" w:hAnsi="Times New Roman"/>
          <w:sz w:val="24"/>
        </w:rPr>
        <w:t>The four decoupled architectural tiers operate as follows:</w:t>
      </w:r>
    </w:p>
    <w:p>
      <w:pPr>
        <w:pStyle w:val="ListBullet"/>
        <w:spacing w:line="312" w:lineRule="auto" w:after="80"/>
        <w:jc w:val="both"/>
      </w:pPr>
      <w:r>
        <w:rPr>
          <w:rFonts w:ascii="Times New Roman" w:hAnsi="Times New Roman"/>
          <w:b/>
          <w:sz w:val="24"/>
        </w:rPr>
        <w:t xml:space="preserve">1. Presentation Tier (Streamlit Reactive Engine): </w:t>
      </w:r>
      <w:r>
        <w:rPr>
          <w:rFonts w:ascii="Times New Roman" w:hAnsi="Times New Roman"/>
          <w:sz w:val="24"/>
        </w:rPr>
        <w:t>Delivers an interactive browser-based dashboard utilizing responsive layout primitives, custom financial KPI cards, Plotly semi-circular gauges, 5-pillar radar charts, and reactive parameter sliders.</w:t>
      </w:r>
    </w:p>
    <w:p>
      <w:pPr>
        <w:pStyle w:val="ListBullet"/>
        <w:spacing w:line="312" w:lineRule="auto" w:after="80"/>
        <w:jc w:val="both"/>
      </w:pPr>
      <w:r>
        <w:rPr>
          <w:rFonts w:ascii="Times New Roman" w:hAnsi="Times New Roman"/>
          <w:b/>
          <w:sz w:val="24"/>
        </w:rPr>
        <w:t xml:space="preserve">2. Business Logic &amp; Feature Pipeline Tier: </w:t>
      </w:r>
      <w:r>
        <w:rPr>
          <w:rFonts w:ascii="Times New Roman" w:hAnsi="Times New Roman"/>
          <w:sz w:val="24"/>
        </w:rPr>
        <w:t>Validates raw accounting inputs, applies zero-division protected ratio transformations, and feeds data into serialized Scikit-Learn ColumnTransformer pipelines.</w:t>
      </w:r>
    </w:p>
    <w:p>
      <w:pPr>
        <w:pStyle w:val="ListBullet"/>
        <w:spacing w:line="312" w:lineRule="auto" w:after="80"/>
        <w:jc w:val="both"/>
      </w:pPr>
      <w:r>
        <w:rPr>
          <w:rFonts w:ascii="Times New Roman" w:hAnsi="Times New Roman"/>
          <w:b/>
          <w:sz w:val="24"/>
        </w:rPr>
        <w:t xml:space="preserve">3. Machine Learning &amp; Explainability Tier: </w:t>
      </w:r>
      <w:r>
        <w:rPr>
          <w:rFonts w:ascii="Times New Roman" w:hAnsi="Times New Roman"/>
          <w:sz w:val="24"/>
        </w:rPr>
        <w:t>Houses the champion calibrated multinomial logistic estimator (`model.pkl`), the SHAP LinearExplainer, the 5-pillar health score engine, and the What-If counterfactual delta calculator.</w:t>
      </w:r>
    </w:p>
    <w:p>
      <w:pPr>
        <w:pStyle w:val="ListBullet"/>
        <w:spacing w:line="312" w:lineRule="auto" w:after="80"/>
        <w:jc w:val="both"/>
      </w:pPr>
      <w:r>
        <w:rPr>
          <w:rFonts w:ascii="Times New Roman" w:hAnsi="Times New Roman"/>
          <w:b/>
          <w:sz w:val="24"/>
        </w:rPr>
        <w:t xml:space="preserve">4. Persistence &amp; Output Tier: </w:t>
      </w:r>
      <w:r>
        <w:rPr>
          <w:rFonts w:ascii="Times New Roman" w:hAnsi="Times New Roman"/>
          <w:sz w:val="24"/>
        </w:rPr>
        <w:t>Consists of an ACID-compliant SQLite 3 database operating in Third Normal Form (3NF) and the ReportLab PDF compilation engine.</w:t>
      </w:r>
    </w:p>
    <w:p>
      <w:pPr>
        <w:spacing w:before="320" w:after="120" w:line="276" w:lineRule="auto"/>
        <w:jc w:val="left"/>
      </w:pPr>
      <w:r>
        <w:rPr>
          <w:rFonts w:ascii="Times New Roman" w:hAnsi="Times New Roman"/>
          <w:b/>
          <w:color w:val="000000"/>
          <w:sz w:val="24"/>
        </w:rPr>
        <w:t>6.2 DATA FLOW DIAGRAMS (DFD LEVEL 0, LEVEL 1, LEVEL 2)</w:t>
      </w:r>
    </w:p>
    <w:p>
      <w:pPr>
        <w:spacing w:line="360" w:lineRule="auto" w:after="120"/>
        <w:ind w:firstLine="360"/>
        <w:jc w:val="both"/>
      </w:pPr>
      <w:r>
        <w:rPr>
          <w:rFonts w:ascii="Times New Roman" w:hAnsi="Times New Roman"/>
          <w:sz w:val="24"/>
        </w:rPr>
        <w:t>The flow of information through the system is formally specified across three hierarchical Data Flow Diagram levels:</w:t>
      </w:r>
    </w:p>
    <w:p>
      <w:pPr>
        <w:spacing w:before="240" w:after="80"/>
        <w:jc w:val="center"/>
      </w:pPr>
      <w:r>
        <w:drawing>
          <wp:inline xmlns:a="http://schemas.openxmlformats.org/drawingml/2006/main" xmlns:pic="http://schemas.openxmlformats.org/drawingml/2006/picture">
            <wp:extent cx="4754880" cy="2080260"/>
            <wp:docPr id="10" name="Picture 10"/>
            <wp:cNvGraphicFramePr>
              <a:graphicFrameLocks noChangeAspect="1"/>
            </wp:cNvGraphicFramePr>
            <a:graphic>
              <a:graphicData uri="http://schemas.openxmlformats.org/drawingml/2006/picture">
                <pic:pic>
                  <pic:nvPicPr>
                    <pic:cNvPr id="0" name="diag_dfd_level0.png"/>
                    <pic:cNvPicPr/>
                  </pic:nvPicPr>
                  <pic:blipFill>
                    <a:blip r:embed="rId17"/>
                    <a:stretch>
                      <a:fillRect/>
                    </a:stretch>
                  </pic:blipFill>
                  <pic:spPr>
                    <a:xfrm>
                      <a:off x="0" y="0"/>
                      <a:ext cx="4754880" cy="2080260"/>
                    </a:xfrm>
                    <a:prstGeom prst="rect"/>
                  </pic:spPr>
                </pic:pic>
              </a:graphicData>
            </a:graphic>
          </wp:inline>
        </w:drawing>
      </w:r>
    </w:p>
    <w:p>
      <w:pPr>
        <w:spacing w:after="280"/>
        <w:jc w:val="center"/>
      </w:pPr>
      <w:r>
        <w:rPr>
          <w:rFonts w:ascii="Times New Roman" w:hAnsi="Times New Roman"/>
          <w:b/>
          <w:sz w:val="21"/>
        </w:rPr>
        <w:t>Figure 6.2: Data Flow Diagram Level 0 (Context Level Diagram)</w:t>
      </w:r>
    </w:p>
    <w:p>
      <w:pPr>
        <w:spacing w:line="360" w:lineRule="auto" w:after="120"/>
        <w:ind w:firstLine="360"/>
        <w:jc w:val="both"/>
      </w:pPr>
      <w:r>
        <w:rPr>
          <w:rFonts w:ascii="Times New Roman" w:hAnsi="Times New Roman"/>
          <w:sz w:val="24"/>
        </w:rPr>
        <w:t>The Level 0 Context Diagram depicts the primary external entity (Underwriter / Borrower) submitting financial metrics and receiving calibrated risk classifications, SHAP explanations, health scores, and PDF audit reports, with bidirectional communication to the SQLite Audit Database.</w:t>
      </w:r>
    </w:p>
    <w:p>
      <w:pPr>
        <w:spacing w:line="360" w:lineRule="auto" w:after="120"/>
        <w:ind w:firstLine="360"/>
        <w:jc w:val="both"/>
      </w:pPr>
      <w:r>
        <w:rPr>
          <w:rFonts w:ascii="Times New Roman" w:hAnsi="Times New Roman"/>
          <w:sz w:val="24"/>
        </w:rPr>
        <w:t>In the Level 1 Subsystem Flow, incoming financial data traverses three sequential processing subsystems: (1) Input Validation &amp; Ratio Engineering Subsystem, (2) ML Inference &amp; Explainability Subsystem, and (3) Reporting &amp; Database Persistence Subsystem. Each subsystem performs isolated transformations and passes typed payloads to downstream modules.</w:t>
      </w:r>
    </w:p>
    <w:p>
      <w:pPr>
        <w:spacing w:before="320" w:after="120" w:line="276" w:lineRule="auto"/>
        <w:jc w:val="left"/>
      </w:pPr>
      <w:r>
        <w:rPr>
          <w:rFonts w:ascii="Times New Roman" w:hAnsi="Times New Roman"/>
          <w:b/>
          <w:color w:val="000000"/>
          <w:sz w:val="24"/>
        </w:rPr>
        <w:t>6.3 UML DESIGN (USE CASE &amp; SEQUENCE DIAGRAMS)</w:t>
      </w:r>
    </w:p>
    <w:p>
      <w:pPr>
        <w:spacing w:line="360" w:lineRule="auto" w:after="120"/>
        <w:ind w:firstLine="360"/>
        <w:jc w:val="both"/>
      </w:pPr>
      <w:r>
        <w:rPr>
          <w:rFonts w:ascii="Times New Roman" w:hAnsi="Times New Roman"/>
          <w:sz w:val="24"/>
        </w:rPr>
        <w:t>The behavioral interactions between system actors and software components are formalized through UML Use Case and Sequence diagrams:</w:t>
      </w:r>
    </w:p>
    <w:p>
      <w:pPr>
        <w:spacing w:before="240" w:after="80"/>
        <w:jc w:val="center"/>
      </w:pPr>
      <w:r>
        <w:drawing>
          <wp:inline xmlns:a="http://schemas.openxmlformats.org/drawingml/2006/main" xmlns:pic="http://schemas.openxmlformats.org/drawingml/2006/picture">
            <wp:extent cx="4754880" cy="2685109"/>
            <wp:docPr id="11" name="Picture 11"/>
            <wp:cNvGraphicFramePr>
              <a:graphicFrameLocks noChangeAspect="1"/>
            </wp:cNvGraphicFramePr>
            <a:graphic>
              <a:graphicData uri="http://schemas.openxmlformats.org/drawingml/2006/picture">
                <pic:pic>
                  <pic:nvPicPr>
                    <pic:cNvPr id="0" name="diag_use_case.png"/>
                    <pic:cNvPicPr/>
                  </pic:nvPicPr>
                  <pic:blipFill>
                    <a:blip r:embed="rId18"/>
                    <a:stretch>
                      <a:fillRect/>
                    </a:stretch>
                  </pic:blipFill>
                  <pic:spPr>
                    <a:xfrm>
                      <a:off x="0" y="0"/>
                      <a:ext cx="4754880" cy="2685109"/>
                    </a:xfrm>
                    <a:prstGeom prst="rect"/>
                  </pic:spPr>
                </pic:pic>
              </a:graphicData>
            </a:graphic>
          </wp:inline>
        </w:drawing>
      </w:r>
    </w:p>
    <w:p>
      <w:pPr>
        <w:spacing w:after="280"/>
        <w:jc w:val="center"/>
      </w:pPr>
      <w:r>
        <w:rPr>
          <w:rFonts w:ascii="Times New Roman" w:hAnsi="Times New Roman"/>
          <w:b/>
          <w:sz w:val="21"/>
        </w:rPr>
        <w:t>Figure 6.3: UML Use Case Diagram for Primary System Actors</w:t>
      </w:r>
    </w:p>
    <w:p>
      <w:pPr>
        <w:spacing w:line="360" w:lineRule="auto" w:after="120"/>
        <w:ind w:firstLine="360"/>
        <w:jc w:val="both"/>
      </w:pPr>
      <w:r>
        <w:rPr>
          <w:rFonts w:ascii="Times New Roman" w:hAnsi="Times New Roman"/>
          <w:sz w:val="24"/>
        </w:rPr>
        <w:t>Figure 6.3 details the seven core use cases (UC-1 to UC-7) mapped across Credit Underwriters, MSME Borrowers, and Risk Managers. In the primary Single Assessment Sequence Workflow, the loan officer enters applicant metrics into the Streamlit form; the interface dispatches the data to `src/preprocessing.py`; the engineered feature array is evaluated concurrently by `src/predict.py` (for default probability) and `src/financial_health.py` (for the 0–100 index); `src/explain.py` computes Shapley attributions; and the combined assessment payload is persisted to SQLite and rendered on screen.</w:t>
      </w:r>
    </w:p>
    <w:p>
      <w:pPr>
        <w:spacing w:before="320" w:after="120" w:line="276" w:lineRule="auto"/>
        <w:jc w:val="left"/>
      </w:pPr>
      <w:r>
        <w:rPr>
          <w:rFonts w:ascii="Times New Roman" w:hAnsi="Times New Roman"/>
          <w:b/>
          <w:color w:val="000000"/>
          <w:sz w:val="24"/>
        </w:rPr>
        <w:t>6.4 RELATIONAL DATABASE DESIGN (3NF SCHEMA)</w:t>
      </w:r>
    </w:p>
    <w:p>
      <w:pPr>
        <w:spacing w:line="360" w:lineRule="auto" w:after="120"/>
        <w:ind w:firstLine="360"/>
        <w:jc w:val="both"/>
      </w:pPr>
      <w:r>
        <w:rPr>
          <w:rFonts w:ascii="Times New Roman" w:hAnsi="Times New Roman"/>
          <w:sz w:val="24"/>
        </w:rPr>
        <w:t>The persistence layer is structured across three normalized relational tables in Third Normal Form (3NF) to eliminate data redundancy and preserve complete audit traceability:</w:t>
      </w:r>
    </w:p>
    <w:p>
      <w:pPr>
        <w:spacing w:before="240" w:after="80"/>
        <w:jc w:val="center"/>
      </w:pPr>
      <w:r>
        <w:drawing>
          <wp:inline xmlns:a="http://schemas.openxmlformats.org/drawingml/2006/main" xmlns:pic="http://schemas.openxmlformats.org/drawingml/2006/picture">
            <wp:extent cx="4754880" cy="3622766"/>
            <wp:docPr id="12" name="Picture 12"/>
            <wp:cNvGraphicFramePr>
              <a:graphicFrameLocks noChangeAspect="1"/>
            </wp:cNvGraphicFramePr>
            <a:graphic>
              <a:graphicData uri="http://schemas.openxmlformats.org/drawingml/2006/picture">
                <pic:pic>
                  <pic:nvPicPr>
                    <pic:cNvPr id="0" name="diag4_er_schema.png"/>
                    <pic:cNvPicPr/>
                  </pic:nvPicPr>
                  <pic:blipFill>
                    <a:blip r:embed="rId19"/>
                    <a:stretch>
                      <a:fillRect/>
                    </a:stretch>
                  </pic:blipFill>
                  <pic:spPr>
                    <a:xfrm>
                      <a:off x="0" y="0"/>
                      <a:ext cx="4754880" cy="3622766"/>
                    </a:xfrm>
                    <a:prstGeom prst="rect"/>
                  </pic:spPr>
                </pic:pic>
              </a:graphicData>
            </a:graphic>
          </wp:inline>
        </w:drawing>
      </w:r>
    </w:p>
    <w:p>
      <w:pPr>
        <w:spacing w:after="280"/>
        <w:jc w:val="center"/>
      </w:pPr>
      <w:r>
        <w:rPr>
          <w:rFonts w:ascii="Times New Roman" w:hAnsi="Times New Roman"/>
          <w:b/>
          <w:sz w:val="21"/>
        </w:rPr>
        <w:t>Figure 6.4: Database Entity-Relationship (ER) Relational Schema (3NF)</w:t>
      </w:r>
    </w:p>
    <w:p>
      <w:pPr>
        <w:spacing w:line="360" w:lineRule="auto" w:after="120"/>
        <w:ind w:firstLine="360"/>
        <w:jc w:val="both"/>
      </w:pPr>
      <w:r>
        <w:rPr>
          <w:rFonts w:ascii="Times New Roman" w:hAnsi="Times New Roman"/>
          <w:sz w:val="24"/>
        </w:rPr>
        <w:t>Table 6.1 details the database data dictionary, documenting table structures, column data types, key constraints, and business integrity rules:</w:t>
      </w:r>
    </w:p>
    <w:tbl>
      <w:tblPr>
        <w:tblW w:type="auto" w:w="0"/>
        <w:jc w:val="center"/>
        <w:tblLook w:firstColumn="1" w:firstRow="1" w:lastColumn="0" w:lastRow="0" w:noHBand="0" w:noVBand="1" w:val="04A0"/>
      </w:tblPr>
      <w:tblGrid>
        <w:gridCol w:w="2167"/>
        <w:gridCol w:w="2167"/>
        <w:gridCol w:w="2167"/>
        <w:gridCol w:w="2167"/>
      </w:tblGrid>
      <w:tr>
        <w:tc>
          <w:tcPr>
            <w:tcW w:type="dxa" w:w="2016"/>
            <w:shd w:fill="E2E8F0"/>
          </w:tcPr>
          <w:p>
            <w:pPr>
              <w:jc w:val="center"/>
            </w:pPr>
            <w:r>
              <w:rPr>
                <w:rFonts w:ascii="Times New Roman" w:hAnsi="Times New Roman"/>
                <w:b/>
                <w:sz w:val="20"/>
              </w:rPr>
              <w:t>Table Name</w:t>
            </w:r>
          </w:p>
        </w:tc>
        <w:tc>
          <w:tcPr>
            <w:tcW w:type="dxa" w:w="2016"/>
            <w:shd w:fill="E2E8F0"/>
          </w:tcPr>
          <w:p>
            <w:pPr>
              <w:jc w:val="center"/>
            </w:pPr>
            <w:r>
              <w:rPr>
                <w:rFonts w:ascii="Times New Roman" w:hAnsi="Times New Roman"/>
                <w:b/>
                <w:sz w:val="20"/>
              </w:rPr>
              <w:t>Column Name</w:t>
            </w:r>
          </w:p>
        </w:tc>
        <w:tc>
          <w:tcPr>
            <w:tcW w:type="dxa" w:w="2016"/>
            <w:shd w:fill="E2E8F0"/>
          </w:tcPr>
          <w:p>
            <w:pPr>
              <w:jc w:val="center"/>
            </w:pPr>
            <w:r>
              <w:rPr>
                <w:rFonts w:ascii="Times New Roman" w:hAnsi="Times New Roman"/>
                <w:b/>
                <w:sz w:val="20"/>
              </w:rPr>
              <w:t>Data Type</w:t>
            </w:r>
          </w:p>
        </w:tc>
        <w:tc>
          <w:tcPr>
            <w:tcW w:type="dxa" w:w="4032"/>
            <w:shd w:fill="E2E8F0"/>
          </w:tcPr>
          <w:p>
            <w:pPr>
              <w:jc w:val="center"/>
            </w:pPr>
            <w:r>
              <w:rPr>
                <w:rFonts w:ascii="Times New Roman" w:hAnsi="Times New Roman"/>
                <w:b/>
                <w:sz w:val="20"/>
              </w:rPr>
              <w:t>Constraints &amp; Description</w:t>
            </w:r>
          </w:p>
        </w:tc>
      </w:tr>
      <w:tr>
        <w:tc>
          <w:tcPr>
            <w:tcW w:type="dxa" w:w="2016"/>
          </w:tcPr>
          <w:p>
            <w:pPr>
              <w:jc w:val="left"/>
            </w:pPr>
            <w:r>
              <w:rPr>
                <w:rFonts w:ascii="Times New Roman" w:hAnsi="Times New Roman"/>
                <w:sz w:val="19"/>
              </w:rPr>
              <w:t>businesses</w:t>
            </w:r>
          </w:p>
        </w:tc>
        <w:tc>
          <w:tcPr>
            <w:tcW w:type="dxa" w:w="2016"/>
          </w:tcPr>
          <w:p>
            <w:pPr>
              <w:jc w:val="center"/>
            </w:pPr>
            <w:r>
              <w:rPr>
                <w:rFonts w:ascii="Times New Roman" w:hAnsi="Times New Roman"/>
                <w:sz w:val="19"/>
              </w:rPr>
              <w:t>business_id</w:t>
            </w:r>
          </w:p>
        </w:tc>
        <w:tc>
          <w:tcPr>
            <w:tcW w:type="dxa" w:w="2016"/>
          </w:tcPr>
          <w:p>
            <w:pPr>
              <w:jc w:val="center"/>
            </w:pPr>
            <w:r>
              <w:rPr>
                <w:rFonts w:ascii="Times New Roman" w:hAnsi="Times New Roman"/>
                <w:sz w:val="19"/>
              </w:rPr>
              <w:t>INTEGER</w:t>
            </w:r>
          </w:p>
        </w:tc>
        <w:tc>
          <w:tcPr>
            <w:tcW w:type="dxa" w:w="4032"/>
          </w:tcPr>
          <w:p>
            <w:pPr>
              <w:jc w:val="left"/>
            </w:pPr>
            <w:r>
              <w:rPr>
                <w:rFonts w:ascii="Times New Roman" w:hAnsi="Times New Roman"/>
                <w:sz w:val="19"/>
              </w:rPr>
              <w:t>PRIMARY KEY, AUTOINCREMENT. Unique enterprise identifier.</w:t>
            </w:r>
          </w:p>
        </w:tc>
      </w:tr>
      <w:tr>
        <w:tc>
          <w:tcPr>
            <w:tcW w:type="dxa" w:w="2016"/>
            <w:shd w:fill="F8FAFC"/>
          </w:tcPr>
          <w:p>
            <w:pPr>
              <w:jc w:val="left"/>
            </w:pPr>
            <w:r>
              <w:rPr>
                <w:rFonts w:ascii="Times New Roman" w:hAnsi="Times New Roman"/>
                <w:sz w:val="19"/>
              </w:rPr>
              <w:t>businesses</w:t>
            </w:r>
          </w:p>
        </w:tc>
        <w:tc>
          <w:tcPr>
            <w:tcW w:type="dxa" w:w="2016"/>
            <w:shd w:fill="F8FAFC"/>
          </w:tcPr>
          <w:p>
            <w:pPr>
              <w:jc w:val="center"/>
            </w:pPr>
            <w:r>
              <w:rPr>
                <w:rFonts w:ascii="Times New Roman" w:hAnsi="Times New Roman"/>
                <w:sz w:val="19"/>
              </w:rPr>
              <w:t>business_name</w:t>
            </w:r>
          </w:p>
        </w:tc>
        <w:tc>
          <w:tcPr>
            <w:tcW w:type="dxa" w:w="2016"/>
            <w:shd w:fill="F8FAFC"/>
          </w:tcPr>
          <w:p>
            <w:pPr>
              <w:jc w:val="center"/>
            </w:pPr>
            <w:r>
              <w:rPr>
                <w:rFonts w:ascii="Times New Roman" w:hAnsi="Times New Roman"/>
                <w:sz w:val="19"/>
              </w:rPr>
              <w:t>VARCHAR(255)</w:t>
            </w:r>
          </w:p>
        </w:tc>
        <w:tc>
          <w:tcPr>
            <w:tcW w:type="dxa" w:w="4032"/>
            <w:shd w:fill="F8FAFC"/>
          </w:tcPr>
          <w:p>
            <w:pPr>
              <w:jc w:val="left"/>
            </w:pPr>
            <w:r>
              <w:rPr>
                <w:rFonts w:ascii="Times New Roman" w:hAnsi="Times New Roman"/>
                <w:sz w:val="19"/>
              </w:rPr>
              <w:t>NOT NULL. Official registered name of the enterprise.</w:t>
            </w:r>
          </w:p>
        </w:tc>
      </w:tr>
      <w:tr>
        <w:tc>
          <w:tcPr>
            <w:tcW w:type="dxa" w:w="2016"/>
          </w:tcPr>
          <w:p>
            <w:pPr>
              <w:jc w:val="left"/>
            </w:pPr>
            <w:r>
              <w:rPr>
                <w:rFonts w:ascii="Times New Roman" w:hAnsi="Times New Roman"/>
                <w:sz w:val="19"/>
              </w:rPr>
              <w:t>businesses</w:t>
            </w:r>
          </w:p>
        </w:tc>
        <w:tc>
          <w:tcPr>
            <w:tcW w:type="dxa" w:w="2016"/>
          </w:tcPr>
          <w:p>
            <w:pPr>
              <w:jc w:val="center"/>
            </w:pPr>
            <w:r>
              <w:rPr>
                <w:rFonts w:ascii="Times New Roman" w:hAnsi="Times New Roman"/>
                <w:sz w:val="19"/>
              </w:rPr>
              <w:t>business_age</w:t>
            </w:r>
          </w:p>
        </w:tc>
        <w:tc>
          <w:tcPr>
            <w:tcW w:type="dxa" w:w="2016"/>
          </w:tcPr>
          <w:p>
            <w:pPr>
              <w:jc w:val="center"/>
            </w:pPr>
            <w:r>
              <w:rPr>
                <w:rFonts w:ascii="Times New Roman" w:hAnsi="Times New Roman"/>
                <w:sz w:val="19"/>
              </w:rPr>
              <w:t>REAL</w:t>
            </w:r>
          </w:p>
        </w:tc>
        <w:tc>
          <w:tcPr>
            <w:tcW w:type="dxa" w:w="4032"/>
          </w:tcPr>
          <w:p>
            <w:pPr>
              <w:jc w:val="left"/>
            </w:pPr>
            <w:r>
              <w:rPr>
                <w:rFonts w:ascii="Times New Roman" w:hAnsi="Times New Roman"/>
                <w:sz w:val="19"/>
              </w:rPr>
              <w:t>NOT NULL, CHECK (business_age &gt;= 0.0). Operating years.</w:t>
            </w:r>
          </w:p>
        </w:tc>
      </w:tr>
      <w:tr>
        <w:tc>
          <w:tcPr>
            <w:tcW w:type="dxa" w:w="2016"/>
            <w:shd w:fill="F8FAFC"/>
          </w:tcPr>
          <w:p>
            <w:pPr>
              <w:jc w:val="left"/>
            </w:pPr>
            <w:r>
              <w:rPr>
                <w:rFonts w:ascii="Times New Roman" w:hAnsi="Times New Roman"/>
                <w:sz w:val="19"/>
              </w:rPr>
              <w:t>businesses</w:t>
            </w:r>
          </w:p>
        </w:tc>
        <w:tc>
          <w:tcPr>
            <w:tcW w:type="dxa" w:w="2016"/>
            <w:shd w:fill="F8FAFC"/>
          </w:tcPr>
          <w:p>
            <w:pPr>
              <w:jc w:val="center"/>
            </w:pPr>
            <w:r>
              <w:rPr>
                <w:rFonts w:ascii="Times New Roman" w:hAnsi="Times New Roman"/>
                <w:sz w:val="19"/>
              </w:rPr>
              <w:t>num_employees</w:t>
            </w:r>
          </w:p>
        </w:tc>
        <w:tc>
          <w:tcPr>
            <w:tcW w:type="dxa" w:w="2016"/>
            <w:shd w:fill="F8FAFC"/>
          </w:tcPr>
          <w:p>
            <w:pPr>
              <w:jc w:val="center"/>
            </w:pPr>
            <w:r>
              <w:rPr>
                <w:rFonts w:ascii="Times New Roman" w:hAnsi="Times New Roman"/>
                <w:sz w:val="19"/>
              </w:rPr>
              <w:t>INTEGER</w:t>
            </w:r>
          </w:p>
        </w:tc>
        <w:tc>
          <w:tcPr>
            <w:tcW w:type="dxa" w:w="4032"/>
            <w:shd w:fill="F8FAFC"/>
          </w:tcPr>
          <w:p>
            <w:pPr>
              <w:jc w:val="left"/>
            </w:pPr>
            <w:r>
              <w:rPr>
                <w:rFonts w:ascii="Times New Roman" w:hAnsi="Times New Roman"/>
                <w:sz w:val="19"/>
              </w:rPr>
              <w:t>NOT NULL, CHECK (num_employees &gt;= 1). Total headcount.</w:t>
            </w:r>
          </w:p>
        </w:tc>
      </w:tr>
      <w:tr>
        <w:tc>
          <w:tcPr>
            <w:tcW w:type="dxa" w:w="2016"/>
          </w:tcPr>
          <w:p>
            <w:pPr>
              <w:jc w:val="left"/>
            </w:pPr>
            <w:r>
              <w:rPr>
                <w:rFonts w:ascii="Times New Roman" w:hAnsi="Times New Roman"/>
                <w:sz w:val="19"/>
              </w:rPr>
              <w:t>businesses</w:t>
            </w:r>
          </w:p>
        </w:tc>
        <w:tc>
          <w:tcPr>
            <w:tcW w:type="dxa" w:w="2016"/>
          </w:tcPr>
          <w:p>
            <w:pPr>
              <w:jc w:val="center"/>
            </w:pPr>
            <w:r>
              <w:rPr>
                <w:rFonts w:ascii="Times New Roman" w:hAnsi="Times New Roman"/>
                <w:sz w:val="19"/>
              </w:rPr>
              <w:t>created_at</w:t>
            </w:r>
          </w:p>
        </w:tc>
        <w:tc>
          <w:tcPr>
            <w:tcW w:type="dxa" w:w="2016"/>
          </w:tcPr>
          <w:p>
            <w:pPr>
              <w:jc w:val="center"/>
            </w:pPr>
            <w:r>
              <w:rPr>
                <w:rFonts w:ascii="Times New Roman" w:hAnsi="Times New Roman"/>
                <w:sz w:val="19"/>
              </w:rPr>
              <w:t>TIMESTAMP</w:t>
            </w:r>
          </w:p>
        </w:tc>
        <w:tc>
          <w:tcPr>
            <w:tcW w:type="dxa" w:w="4032"/>
          </w:tcPr>
          <w:p>
            <w:pPr>
              <w:jc w:val="left"/>
            </w:pPr>
            <w:r>
              <w:rPr>
                <w:rFonts w:ascii="Times New Roman" w:hAnsi="Times New Roman"/>
                <w:sz w:val="19"/>
              </w:rPr>
              <w:t>DEFAULT CURRENT_TIMESTAMP. Registration timestamp.</w:t>
            </w:r>
          </w:p>
        </w:tc>
      </w:tr>
      <w:tr>
        <w:tc>
          <w:tcPr>
            <w:tcW w:type="dxa" w:w="2016"/>
            <w:shd w:fill="F8FAFC"/>
          </w:tcPr>
          <w:p>
            <w:pPr>
              <w:jc w:val="left"/>
            </w:pPr>
            <w:r>
              <w:rPr>
                <w:rFonts w:ascii="Times New Roman" w:hAnsi="Times New Roman"/>
                <w:sz w:val="19"/>
              </w:rPr>
              <w:t>financial_data</w:t>
            </w:r>
          </w:p>
        </w:tc>
        <w:tc>
          <w:tcPr>
            <w:tcW w:type="dxa" w:w="2016"/>
            <w:shd w:fill="F8FAFC"/>
          </w:tcPr>
          <w:p>
            <w:pPr>
              <w:jc w:val="center"/>
            </w:pPr>
            <w:r>
              <w:rPr>
                <w:rFonts w:ascii="Times New Roman" w:hAnsi="Times New Roman"/>
                <w:sz w:val="19"/>
              </w:rPr>
              <w:t>financial_id</w:t>
            </w:r>
          </w:p>
        </w:tc>
        <w:tc>
          <w:tcPr>
            <w:tcW w:type="dxa" w:w="2016"/>
            <w:shd w:fill="F8FAFC"/>
          </w:tcPr>
          <w:p>
            <w:pPr>
              <w:jc w:val="center"/>
            </w:pPr>
            <w:r>
              <w:rPr>
                <w:rFonts w:ascii="Times New Roman" w:hAnsi="Times New Roman"/>
                <w:sz w:val="19"/>
              </w:rPr>
              <w:t>INTEGER</w:t>
            </w:r>
          </w:p>
        </w:tc>
        <w:tc>
          <w:tcPr>
            <w:tcW w:type="dxa" w:w="4032"/>
            <w:shd w:fill="F8FAFC"/>
          </w:tcPr>
          <w:p>
            <w:pPr>
              <w:jc w:val="left"/>
            </w:pPr>
            <w:r>
              <w:rPr>
                <w:rFonts w:ascii="Times New Roman" w:hAnsi="Times New Roman"/>
                <w:sz w:val="19"/>
              </w:rPr>
              <w:t>PRIMARY KEY, AUTOINCREMENT. Unique financial record ID.</w:t>
            </w:r>
          </w:p>
        </w:tc>
      </w:tr>
      <w:tr>
        <w:tc>
          <w:tcPr>
            <w:tcW w:type="dxa" w:w="2016"/>
          </w:tcPr>
          <w:p>
            <w:pPr>
              <w:jc w:val="left"/>
            </w:pPr>
            <w:r>
              <w:rPr>
                <w:rFonts w:ascii="Times New Roman" w:hAnsi="Times New Roman"/>
                <w:sz w:val="19"/>
              </w:rPr>
              <w:t>financial_data</w:t>
            </w:r>
          </w:p>
        </w:tc>
        <w:tc>
          <w:tcPr>
            <w:tcW w:type="dxa" w:w="2016"/>
          </w:tcPr>
          <w:p>
            <w:pPr>
              <w:jc w:val="center"/>
            </w:pPr>
            <w:r>
              <w:rPr>
                <w:rFonts w:ascii="Times New Roman" w:hAnsi="Times New Roman"/>
                <w:sz w:val="19"/>
              </w:rPr>
              <w:t>business_id</w:t>
            </w:r>
          </w:p>
        </w:tc>
        <w:tc>
          <w:tcPr>
            <w:tcW w:type="dxa" w:w="2016"/>
          </w:tcPr>
          <w:p>
            <w:pPr>
              <w:jc w:val="center"/>
            </w:pPr>
            <w:r>
              <w:rPr>
                <w:rFonts w:ascii="Times New Roman" w:hAnsi="Times New Roman"/>
                <w:sz w:val="19"/>
              </w:rPr>
              <w:t>INTEGER</w:t>
            </w:r>
          </w:p>
        </w:tc>
        <w:tc>
          <w:tcPr>
            <w:tcW w:type="dxa" w:w="4032"/>
          </w:tcPr>
          <w:p>
            <w:pPr>
              <w:jc w:val="left"/>
            </w:pPr>
            <w:r>
              <w:rPr>
                <w:rFonts w:ascii="Times New Roman" w:hAnsi="Times New Roman"/>
                <w:sz w:val="19"/>
              </w:rPr>
              <w:t>FOREIGN KEY REFERENCES businesses(business_id) ON DELETE CASCADE.</w:t>
            </w:r>
          </w:p>
        </w:tc>
      </w:tr>
      <w:tr>
        <w:tc>
          <w:tcPr>
            <w:tcW w:type="dxa" w:w="2016"/>
            <w:shd w:fill="F8FAFC"/>
          </w:tcPr>
          <w:p>
            <w:pPr>
              <w:jc w:val="left"/>
            </w:pPr>
            <w:r>
              <w:rPr>
                <w:rFonts w:ascii="Times New Roman" w:hAnsi="Times New Roman"/>
                <w:sz w:val="19"/>
              </w:rPr>
              <w:t>financial_data</w:t>
            </w:r>
          </w:p>
        </w:tc>
        <w:tc>
          <w:tcPr>
            <w:tcW w:type="dxa" w:w="2016"/>
            <w:shd w:fill="F8FAFC"/>
          </w:tcPr>
          <w:p>
            <w:pPr>
              <w:jc w:val="center"/>
            </w:pPr>
            <w:r>
              <w:rPr>
                <w:rFonts w:ascii="Times New Roman" w:hAnsi="Times New Roman"/>
                <w:sz w:val="19"/>
              </w:rPr>
              <w:t>annual_revenue</w:t>
            </w:r>
          </w:p>
        </w:tc>
        <w:tc>
          <w:tcPr>
            <w:tcW w:type="dxa" w:w="2016"/>
            <w:shd w:fill="F8FAFC"/>
          </w:tcPr>
          <w:p>
            <w:pPr>
              <w:jc w:val="center"/>
            </w:pPr>
            <w:r>
              <w:rPr>
                <w:rFonts w:ascii="Times New Roman" w:hAnsi="Times New Roman"/>
                <w:sz w:val="19"/>
              </w:rPr>
              <w:t>REAL</w:t>
            </w:r>
          </w:p>
        </w:tc>
        <w:tc>
          <w:tcPr>
            <w:tcW w:type="dxa" w:w="4032"/>
            <w:shd w:fill="F8FAFC"/>
          </w:tcPr>
          <w:p>
            <w:pPr>
              <w:jc w:val="left"/>
            </w:pPr>
            <w:r>
              <w:rPr>
                <w:rFonts w:ascii="Times New Roman" w:hAnsi="Times New Roman"/>
                <w:sz w:val="19"/>
              </w:rPr>
              <w:t>NOT NULL, CHECK (annual_revenue &gt;= 0.0). Gross annual turnover.</w:t>
            </w:r>
          </w:p>
        </w:tc>
      </w:tr>
      <w:tr>
        <w:tc>
          <w:tcPr>
            <w:tcW w:type="dxa" w:w="2016"/>
          </w:tcPr>
          <w:p>
            <w:pPr>
              <w:jc w:val="left"/>
            </w:pPr>
            <w:r>
              <w:rPr>
                <w:rFonts w:ascii="Times New Roman" w:hAnsi="Times New Roman"/>
                <w:sz w:val="19"/>
              </w:rPr>
              <w:t>financial_data</w:t>
            </w:r>
          </w:p>
        </w:tc>
        <w:tc>
          <w:tcPr>
            <w:tcW w:type="dxa" w:w="2016"/>
          </w:tcPr>
          <w:p>
            <w:pPr>
              <w:jc w:val="center"/>
            </w:pPr>
            <w:r>
              <w:rPr>
                <w:rFonts w:ascii="Times New Roman" w:hAnsi="Times New Roman"/>
                <w:sz w:val="19"/>
              </w:rPr>
              <w:t>annual_expenses</w:t>
            </w:r>
          </w:p>
        </w:tc>
        <w:tc>
          <w:tcPr>
            <w:tcW w:type="dxa" w:w="2016"/>
          </w:tcPr>
          <w:p>
            <w:pPr>
              <w:jc w:val="center"/>
            </w:pPr>
            <w:r>
              <w:rPr>
                <w:rFonts w:ascii="Times New Roman" w:hAnsi="Times New Roman"/>
                <w:sz w:val="19"/>
              </w:rPr>
              <w:t>REAL</w:t>
            </w:r>
          </w:p>
        </w:tc>
        <w:tc>
          <w:tcPr>
            <w:tcW w:type="dxa" w:w="4032"/>
          </w:tcPr>
          <w:p>
            <w:pPr>
              <w:jc w:val="left"/>
            </w:pPr>
            <w:r>
              <w:rPr>
                <w:rFonts w:ascii="Times New Roman" w:hAnsi="Times New Roman"/>
                <w:sz w:val="19"/>
              </w:rPr>
              <w:t>NOT NULL, CHECK (annual_expenses &gt;= 0.0). Operating expenses.</w:t>
            </w:r>
          </w:p>
        </w:tc>
      </w:tr>
      <w:tr>
        <w:tc>
          <w:tcPr>
            <w:tcW w:type="dxa" w:w="2016"/>
            <w:shd w:fill="F8FAFC"/>
          </w:tcPr>
          <w:p>
            <w:pPr>
              <w:jc w:val="left"/>
            </w:pPr>
            <w:r>
              <w:rPr>
                <w:rFonts w:ascii="Times New Roman" w:hAnsi="Times New Roman"/>
                <w:sz w:val="19"/>
              </w:rPr>
              <w:t>financial_data</w:t>
            </w:r>
          </w:p>
        </w:tc>
        <w:tc>
          <w:tcPr>
            <w:tcW w:type="dxa" w:w="2016"/>
            <w:shd w:fill="F8FAFC"/>
          </w:tcPr>
          <w:p>
            <w:pPr>
              <w:jc w:val="center"/>
            </w:pPr>
            <w:r>
              <w:rPr>
                <w:rFonts w:ascii="Times New Roman" w:hAnsi="Times New Roman"/>
                <w:sz w:val="19"/>
              </w:rPr>
              <w:t>existing_debt</w:t>
            </w:r>
          </w:p>
        </w:tc>
        <w:tc>
          <w:tcPr>
            <w:tcW w:type="dxa" w:w="2016"/>
            <w:shd w:fill="F8FAFC"/>
          </w:tcPr>
          <w:p>
            <w:pPr>
              <w:jc w:val="center"/>
            </w:pPr>
            <w:r>
              <w:rPr>
                <w:rFonts w:ascii="Times New Roman" w:hAnsi="Times New Roman"/>
                <w:sz w:val="19"/>
              </w:rPr>
              <w:t>REAL</w:t>
            </w:r>
          </w:p>
        </w:tc>
        <w:tc>
          <w:tcPr>
            <w:tcW w:type="dxa" w:w="4032"/>
            <w:shd w:fill="F8FAFC"/>
          </w:tcPr>
          <w:p>
            <w:pPr>
              <w:jc w:val="left"/>
            </w:pPr>
            <w:r>
              <w:rPr>
                <w:rFonts w:ascii="Times New Roman" w:hAnsi="Times New Roman"/>
                <w:sz w:val="19"/>
              </w:rPr>
              <w:t>NOT NULL, CHECK (existing_debt &gt;= 0.0). Total bank liabilities.</w:t>
            </w:r>
          </w:p>
        </w:tc>
      </w:tr>
      <w:tr>
        <w:tc>
          <w:tcPr>
            <w:tcW w:type="dxa" w:w="2016"/>
          </w:tcPr>
          <w:p>
            <w:pPr>
              <w:jc w:val="left"/>
            </w:pPr>
            <w:r>
              <w:rPr>
                <w:rFonts w:ascii="Times New Roman" w:hAnsi="Times New Roman"/>
                <w:sz w:val="19"/>
              </w:rPr>
              <w:t>financial_data</w:t>
            </w:r>
          </w:p>
        </w:tc>
        <w:tc>
          <w:tcPr>
            <w:tcW w:type="dxa" w:w="2016"/>
          </w:tcPr>
          <w:p>
            <w:pPr>
              <w:jc w:val="center"/>
            </w:pPr>
            <w:r>
              <w:rPr>
                <w:rFonts w:ascii="Times New Roman" w:hAnsi="Times New Roman"/>
                <w:sz w:val="19"/>
              </w:rPr>
              <w:t>requested_loan</w:t>
            </w:r>
          </w:p>
        </w:tc>
        <w:tc>
          <w:tcPr>
            <w:tcW w:type="dxa" w:w="2016"/>
          </w:tcPr>
          <w:p>
            <w:pPr>
              <w:jc w:val="center"/>
            </w:pPr>
            <w:r>
              <w:rPr>
                <w:rFonts w:ascii="Times New Roman" w:hAnsi="Times New Roman"/>
                <w:sz w:val="19"/>
              </w:rPr>
              <w:t>REAL</w:t>
            </w:r>
          </w:p>
        </w:tc>
        <w:tc>
          <w:tcPr>
            <w:tcW w:type="dxa" w:w="4032"/>
          </w:tcPr>
          <w:p>
            <w:pPr>
              <w:jc w:val="left"/>
            </w:pPr>
            <w:r>
              <w:rPr>
                <w:rFonts w:ascii="Times New Roman" w:hAnsi="Times New Roman"/>
                <w:sz w:val="19"/>
              </w:rPr>
              <w:t>NOT NULL, CHECK (requested_loan &gt;= 0.0). Applied facility quantum.</w:t>
            </w:r>
          </w:p>
        </w:tc>
      </w:tr>
      <w:tr>
        <w:tc>
          <w:tcPr>
            <w:tcW w:type="dxa" w:w="2016"/>
            <w:shd w:fill="F8FAFC"/>
          </w:tcPr>
          <w:p>
            <w:pPr>
              <w:jc w:val="left"/>
            </w:pPr>
            <w:r>
              <w:rPr>
                <w:rFonts w:ascii="Times New Roman" w:hAnsi="Times New Roman"/>
                <w:sz w:val="19"/>
              </w:rPr>
              <w:t>financial_data</w:t>
            </w:r>
          </w:p>
        </w:tc>
        <w:tc>
          <w:tcPr>
            <w:tcW w:type="dxa" w:w="2016"/>
            <w:shd w:fill="F8FAFC"/>
          </w:tcPr>
          <w:p>
            <w:pPr>
              <w:jc w:val="center"/>
            </w:pPr>
            <w:r>
              <w:rPr>
                <w:rFonts w:ascii="Times New Roman" w:hAnsi="Times New Roman"/>
                <w:sz w:val="19"/>
              </w:rPr>
              <w:t>monthly_cash_flow</w:t>
            </w:r>
          </w:p>
        </w:tc>
        <w:tc>
          <w:tcPr>
            <w:tcW w:type="dxa" w:w="2016"/>
            <w:shd w:fill="F8FAFC"/>
          </w:tcPr>
          <w:p>
            <w:pPr>
              <w:jc w:val="center"/>
            </w:pPr>
            <w:r>
              <w:rPr>
                <w:rFonts w:ascii="Times New Roman" w:hAnsi="Times New Roman"/>
                <w:sz w:val="19"/>
              </w:rPr>
              <w:t>REAL</w:t>
            </w:r>
          </w:p>
        </w:tc>
        <w:tc>
          <w:tcPr>
            <w:tcW w:type="dxa" w:w="4032"/>
            <w:shd w:fill="F8FAFC"/>
          </w:tcPr>
          <w:p>
            <w:pPr>
              <w:jc w:val="left"/>
            </w:pPr>
            <w:r>
              <w:rPr>
                <w:rFonts w:ascii="Times New Roman" w:hAnsi="Times New Roman"/>
                <w:sz w:val="19"/>
              </w:rPr>
              <w:t>NOT NULL. Net operational monthly cash flow.</w:t>
            </w:r>
          </w:p>
        </w:tc>
      </w:tr>
      <w:tr>
        <w:tc>
          <w:tcPr>
            <w:tcW w:type="dxa" w:w="2016"/>
          </w:tcPr>
          <w:p>
            <w:pPr>
              <w:jc w:val="left"/>
            </w:pPr>
            <w:r>
              <w:rPr>
                <w:rFonts w:ascii="Times New Roman" w:hAnsi="Times New Roman"/>
                <w:sz w:val="19"/>
              </w:rPr>
              <w:t>financial_data</w:t>
            </w:r>
          </w:p>
        </w:tc>
        <w:tc>
          <w:tcPr>
            <w:tcW w:type="dxa" w:w="2016"/>
          </w:tcPr>
          <w:p>
            <w:pPr>
              <w:jc w:val="left"/>
            </w:pPr>
            <w:r>
              <w:rPr>
                <w:rFonts w:ascii="Times New Roman" w:hAnsi="Times New Roman"/>
                <w:sz w:val="19"/>
              </w:rPr>
              <w:t>credit_history_months</w:t>
            </w:r>
          </w:p>
        </w:tc>
        <w:tc>
          <w:tcPr>
            <w:tcW w:type="dxa" w:w="2016"/>
          </w:tcPr>
          <w:p>
            <w:pPr>
              <w:jc w:val="center"/>
            </w:pPr>
            <w:r>
              <w:rPr>
                <w:rFonts w:ascii="Times New Roman" w:hAnsi="Times New Roman"/>
                <w:sz w:val="19"/>
              </w:rPr>
              <w:t>INTEGER</w:t>
            </w:r>
          </w:p>
        </w:tc>
        <w:tc>
          <w:tcPr>
            <w:tcW w:type="dxa" w:w="4032"/>
          </w:tcPr>
          <w:p>
            <w:pPr>
              <w:jc w:val="left"/>
            </w:pPr>
            <w:r>
              <w:rPr>
                <w:rFonts w:ascii="Times New Roman" w:hAnsi="Times New Roman"/>
                <w:sz w:val="19"/>
              </w:rPr>
              <w:t>NOT NULL, CHECK (credit_history_months &gt;= 0). Bureau history.</w:t>
            </w:r>
          </w:p>
        </w:tc>
      </w:tr>
      <w:tr>
        <w:tc>
          <w:tcPr>
            <w:tcW w:type="dxa" w:w="2016"/>
            <w:shd w:fill="F8FAFC"/>
          </w:tcPr>
          <w:p>
            <w:pPr>
              <w:jc w:val="left"/>
            </w:pPr>
            <w:r>
              <w:rPr>
                <w:rFonts w:ascii="Times New Roman" w:hAnsi="Times New Roman"/>
                <w:sz w:val="19"/>
              </w:rPr>
              <w:t>financial_data</w:t>
            </w:r>
          </w:p>
        </w:tc>
        <w:tc>
          <w:tcPr>
            <w:tcW w:type="dxa" w:w="2016"/>
            <w:shd w:fill="F8FAFC"/>
          </w:tcPr>
          <w:p>
            <w:pPr>
              <w:jc w:val="center"/>
            </w:pPr>
            <w:r>
              <w:rPr>
                <w:rFonts w:ascii="Times New Roman" w:hAnsi="Times New Roman"/>
                <w:sz w:val="19"/>
              </w:rPr>
              <w:t>previous_defaults</w:t>
            </w:r>
          </w:p>
        </w:tc>
        <w:tc>
          <w:tcPr>
            <w:tcW w:type="dxa" w:w="2016"/>
            <w:shd w:fill="F8FAFC"/>
          </w:tcPr>
          <w:p>
            <w:pPr>
              <w:jc w:val="center"/>
            </w:pPr>
            <w:r>
              <w:rPr>
                <w:rFonts w:ascii="Times New Roman" w:hAnsi="Times New Roman"/>
                <w:sz w:val="19"/>
              </w:rPr>
              <w:t>INTEGER</w:t>
            </w:r>
          </w:p>
        </w:tc>
        <w:tc>
          <w:tcPr>
            <w:tcW w:type="dxa" w:w="4032"/>
            <w:shd w:fill="F8FAFC"/>
          </w:tcPr>
          <w:p>
            <w:pPr>
              <w:jc w:val="left"/>
            </w:pPr>
            <w:r>
              <w:rPr>
                <w:rFonts w:ascii="Times New Roman" w:hAnsi="Times New Roman"/>
                <w:sz w:val="19"/>
              </w:rPr>
              <w:t>NOT NULL, CHECK (previous_defaults &gt;= 0). Prior default count.</w:t>
            </w:r>
          </w:p>
        </w:tc>
      </w:tr>
      <w:tr>
        <w:tc>
          <w:tcPr>
            <w:tcW w:type="dxa" w:w="2016"/>
          </w:tcPr>
          <w:p>
            <w:pPr>
              <w:jc w:val="left"/>
            </w:pPr>
            <w:r>
              <w:rPr>
                <w:rFonts w:ascii="Times New Roman" w:hAnsi="Times New Roman"/>
                <w:sz w:val="19"/>
              </w:rPr>
              <w:t>financial_data</w:t>
            </w:r>
          </w:p>
        </w:tc>
        <w:tc>
          <w:tcPr>
            <w:tcW w:type="dxa" w:w="2016"/>
          </w:tcPr>
          <w:p>
            <w:pPr>
              <w:jc w:val="center"/>
            </w:pPr>
            <w:r>
              <w:rPr>
                <w:rFonts w:ascii="Times New Roman" w:hAnsi="Times New Roman"/>
                <w:sz w:val="19"/>
              </w:rPr>
              <w:t>repayment_score</w:t>
            </w:r>
          </w:p>
        </w:tc>
        <w:tc>
          <w:tcPr>
            <w:tcW w:type="dxa" w:w="2016"/>
          </w:tcPr>
          <w:p>
            <w:pPr>
              <w:jc w:val="center"/>
            </w:pPr>
            <w:r>
              <w:rPr>
                <w:rFonts w:ascii="Times New Roman" w:hAnsi="Times New Roman"/>
                <w:sz w:val="19"/>
              </w:rPr>
              <w:t>REAL</w:t>
            </w:r>
          </w:p>
        </w:tc>
        <w:tc>
          <w:tcPr>
            <w:tcW w:type="dxa" w:w="4032"/>
          </w:tcPr>
          <w:p>
            <w:pPr>
              <w:jc w:val="left"/>
            </w:pPr>
            <w:r>
              <w:rPr>
                <w:rFonts w:ascii="Times New Roman" w:hAnsi="Times New Roman"/>
                <w:sz w:val="19"/>
              </w:rPr>
              <w:t>NOT NULL, CHECK (repayment_score BETWEEN 0.0 AND 100.0).</w:t>
            </w:r>
          </w:p>
        </w:tc>
      </w:tr>
      <w:tr>
        <w:tc>
          <w:tcPr>
            <w:tcW w:type="dxa" w:w="2016"/>
            <w:shd w:fill="F8FAFC"/>
          </w:tcPr>
          <w:p>
            <w:pPr>
              <w:jc w:val="left"/>
            </w:pPr>
            <w:r>
              <w:rPr>
                <w:rFonts w:ascii="Times New Roman" w:hAnsi="Times New Roman"/>
                <w:sz w:val="19"/>
              </w:rPr>
              <w:t>financial_data</w:t>
            </w:r>
          </w:p>
        </w:tc>
        <w:tc>
          <w:tcPr>
            <w:tcW w:type="dxa" w:w="2016"/>
            <w:shd w:fill="F8FAFC"/>
          </w:tcPr>
          <w:p>
            <w:pPr>
              <w:jc w:val="center"/>
            </w:pPr>
            <w:r>
              <w:rPr>
                <w:rFonts w:ascii="Times New Roman" w:hAnsi="Times New Roman"/>
                <w:sz w:val="19"/>
              </w:rPr>
              <w:t>credit_utilization</w:t>
            </w:r>
          </w:p>
        </w:tc>
        <w:tc>
          <w:tcPr>
            <w:tcW w:type="dxa" w:w="2016"/>
            <w:shd w:fill="F8FAFC"/>
          </w:tcPr>
          <w:p>
            <w:pPr>
              <w:jc w:val="center"/>
            </w:pPr>
            <w:r>
              <w:rPr>
                <w:rFonts w:ascii="Times New Roman" w:hAnsi="Times New Roman"/>
                <w:sz w:val="19"/>
              </w:rPr>
              <w:t>REAL</w:t>
            </w:r>
          </w:p>
        </w:tc>
        <w:tc>
          <w:tcPr>
            <w:tcW w:type="dxa" w:w="4032"/>
            <w:shd w:fill="F8FAFC"/>
          </w:tcPr>
          <w:p>
            <w:pPr>
              <w:jc w:val="left"/>
            </w:pPr>
            <w:r>
              <w:rPr>
                <w:rFonts w:ascii="Times New Roman" w:hAnsi="Times New Roman"/>
                <w:sz w:val="19"/>
              </w:rPr>
              <w:t>NOT NULL, CHECK (credit_utilization BETWEEN 0.0 AND 1.0).</w:t>
            </w:r>
          </w:p>
        </w:tc>
      </w:tr>
      <w:tr>
        <w:tc>
          <w:tcPr>
            <w:tcW w:type="dxa" w:w="2016"/>
          </w:tcPr>
          <w:p>
            <w:pPr>
              <w:jc w:val="left"/>
            </w:pPr>
            <w:r>
              <w:rPr>
                <w:rFonts w:ascii="Times New Roman" w:hAnsi="Times New Roman"/>
                <w:sz w:val="19"/>
              </w:rPr>
              <w:t>predictions</w:t>
            </w:r>
          </w:p>
        </w:tc>
        <w:tc>
          <w:tcPr>
            <w:tcW w:type="dxa" w:w="2016"/>
          </w:tcPr>
          <w:p>
            <w:pPr>
              <w:jc w:val="center"/>
            </w:pPr>
            <w:r>
              <w:rPr>
                <w:rFonts w:ascii="Times New Roman" w:hAnsi="Times New Roman"/>
                <w:sz w:val="19"/>
              </w:rPr>
              <w:t>prediction_id</w:t>
            </w:r>
          </w:p>
        </w:tc>
        <w:tc>
          <w:tcPr>
            <w:tcW w:type="dxa" w:w="2016"/>
          </w:tcPr>
          <w:p>
            <w:pPr>
              <w:jc w:val="center"/>
            </w:pPr>
            <w:r>
              <w:rPr>
                <w:rFonts w:ascii="Times New Roman" w:hAnsi="Times New Roman"/>
                <w:sz w:val="19"/>
              </w:rPr>
              <w:t>INTEGER</w:t>
            </w:r>
          </w:p>
        </w:tc>
        <w:tc>
          <w:tcPr>
            <w:tcW w:type="dxa" w:w="4032"/>
          </w:tcPr>
          <w:p>
            <w:pPr>
              <w:jc w:val="left"/>
            </w:pPr>
            <w:r>
              <w:rPr>
                <w:rFonts w:ascii="Times New Roman" w:hAnsi="Times New Roman"/>
                <w:sz w:val="19"/>
              </w:rPr>
              <w:t>PRIMARY KEY, AUTOINCREMENT. Unique prediction audit ID.</w:t>
            </w:r>
          </w:p>
        </w:tc>
      </w:tr>
      <w:tr>
        <w:tc>
          <w:tcPr>
            <w:tcW w:type="dxa" w:w="2016"/>
            <w:shd w:fill="F8FAFC"/>
          </w:tcPr>
          <w:p>
            <w:pPr>
              <w:jc w:val="left"/>
            </w:pPr>
            <w:r>
              <w:rPr>
                <w:rFonts w:ascii="Times New Roman" w:hAnsi="Times New Roman"/>
                <w:sz w:val="19"/>
              </w:rPr>
              <w:t>predictions</w:t>
            </w:r>
          </w:p>
        </w:tc>
        <w:tc>
          <w:tcPr>
            <w:tcW w:type="dxa" w:w="2016"/>
            <w:shd w:fill="F8FAFC"/>
          </w:tcPr>
          <w:p>
            <w:pPr>
              <w:jc w:val="center"/>
            </w:pPr>
            <w:r>
              <w:rPr>
                <w:rFonts w:ascii="Times New Roman" w:hAnsi="Times New Roman"/>
                <w:sz w:val="19"/>
              </w:rPr>
              <w:t>business_id</w:t>
            </w:r>
          </w:p>
        </w:tc>
        <w:tc>
          <w:tcPr>
            <w:tcW w:type="dxa" w:w="2016"/>
            <w:shd w:fill="F8FAFC"/>
          </w:tcPr>
          <w:p>
            <w:pPr>
              <w:jc w:val="center"/>
            </w:pPr>
            <w:r>
              <w:rPr>
                <w:rFonts w:ascii="Times New Roman" w:hAnsi="Times New Roman"/>
                <w:sz w:val="19"/>
              </w:rPr>
              <w:t>INTEGER</w:t>
            </w:r>
          </w:p>
        </w:tc>
        <w:tc>
          <w:tcPr>
            <w:tcW w:type="dxa" w:w="4032"/>
            <w:shd w:fill="F8FAFC"/>
          </w:tcPr>
          <w:p>
            <w:pPr>
              <w:jc w:val="left"/>
            </w:pPr>
            <w:r>
              <w:rPr>
                <w:rFonts w:ascii="Times New Roman" w:hAnsi="Times New Roman"/>
                <w:sz w:val="19"/>
              </w:rPr>
              <w:t>FOREIGN KEY REFERENCES businesses(business_id) ON DELETE CASCADE.</w:t>
            </w:r>
          </w:p>
        </w:tc>
      </w:tr>
      <w:tr>
        <w:tc>
          <w:tcPr>
            <w:tcW w:type="dxa" w:w="2016"/>
          </w:tcPr>
          <w:p>
            <w:pPr>
              <w:jc w:val="left"/>
            </w:pPr>
            <w:r>
              <w:rPr>
                <w:rFonts w:ascii="Times New Roman" w:hAnsi="Times New Roman"/>
                <w:sz w:val="19"/>
              </w:rPr>
              <w:t>predictions</w:t>
            </w:r>
          </w:p>
        </w:tc>
        <w:tc>
          <w:tcPr>
            <w:tcW w:type="dxa" w:w="2016"/>
          </w:tcPr>
          <w:p>
            <w:pPr>
              <w:jc w:val="center"/>
            </w:pPr>
            <w:r>
              <w:rPr>
                <w:rFonts w:ascii="Times New Roman" w:hAnsi="Times New Roman"/>
                <w:sz w:val="19"/>
              </w:rPr>
              <w:t>risk_category</w:t>
            </w:r>
          </w:p>
        </w:tc>
        <w:tc>
          <w:tcPr>
            <w:tcW w:type="dxa" w:w="2016"/>
          </w:tcPr>
          <w:p>
            <w:pPr>
              <w:jc w:val="center"/>
            </w:pPr>
            <w:r>
              <w:rPr>
                <w:rFonts w:ascii="Times New Roman" w:hAnsi="Times New Roman"/>
                <w:sz w:val="19"/>
              </w:rPr>
              <w:t>VARCHAR(20)</w:t>
            </w:r>
          </w:p>
        </w:tc>
        <w:tc>
          <w:tcPr>
            <w:tcW w:type="dxa" w:w="4032"/>
          </w:tcPr>
          <w:p>
            <w:pPr>
              <w:jc w:val="left"/>
            </w:pPr>
            <w:r>
              <w:rPr>
                <w:rFonts w:ascii="Times New Roman" w:hAnsi="Times New Roman"/>
                <w:sz w:val="19"/>
              </w:rPr>
              <w:t>NOT NULL, CHECK (risk_category IN ('LOW', 'MEDIUM', 'HIGH')).</w:t>
            </w:r>
          </w:p>
        </w:tc>
      </w:tr>
      <w:tr>
        <w:tc>
          <w:tcPr>
            <w:tcW w:type="dxa" w:w="2016"/>
            <w:shd w:fill="F8FAFC"/>
          </w:tcPr>
          <w:p>
            <w:pPr>
              <w:jc w:val="left"/>
            </w:pPr>
            <w:r>
              <w:rPr>
                <w:rFonts w:ascii="Times New Roman" w:hAnsi="Times New Roman"/>
                <w:sz w:val="19"/>
              </w:rPr>
              <w:t>predictions</w:t>
            </w:r>
          </w:p>
        </w:tc>
        <w:tc>
          <w:tcPr>
            <w:tcW w:type="dxa" w:w="2016"/>
            <w:shd w:fill="F8FAFC"/>
          </w:tcPr>
          <w:p>
            <w:pPr>
              <w:jc w:val="center"/>
            </w:pPr>
            <w:r>
              <w:rPr>
                <w:rFonts w:ascii="Times New Roman" w:hAnsi="Times New Roman"/>
                <w:sz w:val="19"/>
              </w:rPr>
              <w:t>prob_low</w:t>
            </w:r>
          </w:p>
        </w:tc>
        <w:tc>
          <w:tcPr>
            <w:tcW w:type="dxa" w:w="2016"/>
            <w:shd w:fill="F8FAFC"/>
          </w:tcPr>
          <w:p>
            <w:pPr>
              <w:jc w:val="center"/>
            </w:pPr>
            <w:r>
              <w:rPr>
                <w:rFonts w:ascii="Times New Roman" w:hAnsi="Times New Roman"/>
                <w:sz w:val="19"/>
              </w:rPr>
              <w:t>REAL</w:t>
            </w:r>
          </w:p>
        </w:tc>
        <w:tc>
          <w:tcPr>
            <w:tcW w:type="dxa" w:w="4032"/>
            <w:shd w:fill="F8FAFC"/>
          </w:tcPr>
          <w:p>
            <w:pPr>
              <w:jc w:val="left"/>
            </w:pPr>
            <w:r>
              <w:rPr>
                <w:rFonts w:ascii="Times New Roman" w:hAnsi="Times New Roman"/>
                <w:sz w:val="19"/>
              </w:rPr>
              <w:t>NOT NULL, CHECK (prob_low BETWEEN 0.0 AND 1.0). Calibrated prob.</w:t>
            </w:r>
          </w:p>
        </w:tc>
      </w:tr>
      <w:tr>
        <w:tc>
          <w:tcPr>
            <w:tcW w:type="dxa" w:w="2016"/>
          </w:tcPr>
          <w:p>
            <w:pPr>
              <w:jc w:val="left"/>
            </w:pPr>
            <w:r>
              <w:rPr>
                <w:rFonts w:ascii="Times New Roman" w:hAnsi="Times New Roman"/>
                <w:sz w:val="19"/>
              </w:rPr>
              <w:t>predictions</w:t>
            </w:r>
          </w:p>
        </w:tc>
        <w:tc>
          <w:tcPr>
            <w:tcW w:type="dxa" w:w="2016"/>
          </w:tcPr>
          <w:p>
            <w:pPr>
              <w:jc w:val="center"/>
            </w:pPr>
            <w:r>
              <w:rPr>
                <w:rFonts w:ascii="Times New Roman" w:hAnsi="Times New Roman"/>
                <w:sz w:val="19"/>
              </w:rPr>
              <w:t>prob_medium</w:t>
            </w:r>
          </w:p>
        </w:tc>
        <w:tc>
          <w:tcPr>
            <w:tcW w:type="dxa" w:w="2016"/>
          </w:tcPr>
          <w:p>
            <w:pPr>
              <w:jc w:val="center"/>
            </w:pPr>
            <w:r>
              <w:rPr>
                <w:rFonts w:ascii="Times New Roman" w:hAnsi="Times New Roman"/>
                <w:sz w:val="19"/>
              </w:rPr>
              <w:t>REAL</w:t>
            </w:r>
          </w:p>
        </w:tc>
        <w:tc>
          <w:tcPr>
            <w:tcW w:type="dxa" w:w="4032"/>
          </w:tcPr>
          <w:p>
            <w:pPr>
              <w:jc w:val="left"/>
            </w:pPr>
            <w:r>
              <w:rPr>
                <w:rFonts w:ascii="Times New Roman" w:hAnsi="Times New Roman"/>
                <w:sz w:val="19"/>
              </w:rPr>
              <w:t>NOT NULL, CHECK (prob_medium BETWEEN 0.0 AND 1.0). Calibrated prob.</w:t>
            </w:r>
          </w:p>
        </w:tc>
      </w:tr>
      <w:tr>
        <w:tc>
          <w:tcPr>
            <w:tcW w:type="dxa" w:w="2016"/>
            <w:shd w:fill="F8FAFC"/>
          </w:tcPr>
          <w:p>
            <w:pPr>
              <w:jc w:val="left"/>
            </w:pPr>
            <w:r>
              <w:rPr>
                <w:rFonts w:ascii="Times New Roman" w:hAnsi="Times New Roman"/>
                <w:sz w:val="19"/>
              </w:rPr>
              <w:t>predictions</w:t>
            </w:r>
          </w:p>
        </w:tc>
        <w:tc>
          <w:tcPr>
            <w:tcW w:type="dxa" w:w="2016"/>
            <w:shd w:fill="F8FAFC"/>
          </w:tcPr>
          <w:p>
            <w:pPr>
              <w:jc w:val="center"/>
            </w:pPr>
            <w:r>
              <w:rPr>
                <w:rFonts w:ascii="Times New Roman" w:hAnsi="Times New Roman"/>
                <w:sz w:val="19"/>
              </w:rPr>
              <w:t>prob_high</w:t>
            </w:r>
          </w:p>
        </w:tc>
        <w:tc>
          <w:tcPr>
            <w:tcW w:type="dxa" w:w="2016"/>
            <w:shd w:fill="F8FAFC"/>
          </w:tcPr>
          <w:p>
            <w:pPr>
              <w:jc w:val="center"/>
            </w:pPr>
            <w:r>
              <w:rPr>
                <w:rFonts w:ascii="Times New Roman" w:hAnsi="Times New Roman"/>
                <w:sz w:val="19"/>
              </w:rPr>
              <w:t>REAL</w:t>
            </w:r>
          </w:p>
        </w:tc>
        <w:tc>
          <w:tcPr>
            <w:tcW w:type="dxa" w:w="4032"/>
            <w:shd w:fill="F8FAFC"/>
          </w:tcPr>
          <w:p>
            <w:pPr>
              <w:jc w:val="left"/>
            </w:pPr>
            <w:r>
              <w:rPr>
                <w:rFonts w:ascii="Times New Roman" w:hAnsi="Times New Roman"/>
                <w:sz w:val="19"/>
              </w:rPr>
              <w:t>NOT NULL, CHECK (prob_high BETWEEN 0.0 AND 1.0). Calibrated prob.</w:t>
            </w:r>
          </w:p>
        </w:tc>
      </w:tr>
      <w:tr>
        <w:tc>
          <w:tcPr>
            <w:tcW w:type="dxa" w:w="2016"/>
          </w:tcPr>
          <w:p>
            <w:pPr>
              <w:jc w:val="left"/>
            </w:pPr>
            <w:r>
              <w:rPr>
                <w:rFonts w:ascii="Times New Roman" w:hAnsi="Times New Roman"/>
                <w:sz w:val="19"/>
              </w:rPr>
              <w:t>predictions</w:t>
            </w:r>
          </w:p>
        </w:tc>
        <w:tc>
          <w:tcPr>
            <w:tcW w:type="dxa" w:w="2016"/>
          </w:tcPr>
          <w:p>
            <w:pPr>
              <w:jc w:val="center"/>
            </w:pPr>
            <w:r>
              <w:rPr>
                <w:rFonts w:ascii="Times New Roman" w:hAnsi="Times New Roman"/>
                <w:sz w:val="19"/>
              </w:rPr>
              <w:t>health_score</w:t>
            </w:r>
          </w:p>
        </w:tc>
        <w:tc>
          <w:tcPr>
            <w:tcW w:type="dxa" w:w="2016"/>
          </w:tcPr>
          <w:p>
            <w:pPr>
              <w:jc w:val="center"/>
            </w:pPr>
            <w:r>
              <w:rPr>
                <w:rFonts w:ascii="Times New Roman" w:hAnsi="Times New Roman"/>
                <w:sz w:val="19"/>
              </w:rPr>
              <w:t>REAL</w:t>
            </w:r>
          </w:p>
        </w:tc>
        <w:tc>
          <w:tcPr>
            <w:tcW w:type="dxa" w:w="4032"/>
          </w:tcPr>
          <w:p>
            <w:pPr>
              <w:jc w:val="left"/>
            </w:pPr>
            <w:r>
              <w:rPr>
                <w:rFonts w:ascii="Times New Roman" w:hAnsi="Times New Roman"/>
                <w:sz w:val="19"/>
              </w:rPr>
              <w:t>NOT NULL, CHECK (health_score BETWEEN 0.0 AND 100.0). 5-pillar score.</w:t>
            </w:r>
          </w:p>
        </w:tc>
      </w:tr>
      <w:tr>
        <w:tc>
          <w:tcPr>
            <w:tcW w:type="dxa" w:w="2016"/>
            <w:shd w:fill="F8FAFC"/>
          </w:tcPr>
          <w:p>
            <w:pPr>
              <w:jc w:val="left"/>
            </w:pPr>
            <w:r>
              <w:rPr>
                <w:rFonts w:ascii="Times New Roman" w:hAnsi="Times New Roman"/>
                <w:sz w:val="19"/>
              </w:rPr>
              <w:t>predictions</w:t>
            </w:r>
          </w:p>
        </w:tc>
        <w:tc>
          <w:tcPr>
            <w:tcW w:type="dxa" w:w="2016"/>
            <w:shd w:fill="F8FAFC"/>
          </w:tcPr>
          <w:p>
            <w:pPr>
              <w:jc w:val="center"/>
            </w:pPr>
            <w:r>
              <w:rPr>
                <w:rFonts w:ascii="Times New Roman" w:hAnsi="Times New Roman"/>
                <w:sz w:val="19"/>
              </w:rPr>
              <w:t>model_version</w:t>
            </w:r>
          </w:p>
        </w:tc>
        <w:tc>
          <w:tcPr>
            <w:tcW w:type="dxa" w:w="2016"/>
            <w:shd w:fill="F8FAFC"/>
          </w:tcPr>
          <w:p>
            <w:pPr>
              <w:jc w:val="center"/>
            </w:pPr>
            <w:r>
              <w:rPr>
                <w:rFonts w:ascii="Times New Roman" w:hAnsi="Times New Roman"/>
                <w:sz w:val="19"/>
              </w:rPr>
              <w:t>VARCHAR(50)</w:t>
            </w:r>
          </w:p>
        </w:tc>
        <w:tc>
          <w:tcPr>
            <w:tcW w:type="dxa" w:w="4032"/>
            <w:shd w:fill="F8FAFC"/>
          </w:tcPr>
          <w:p>
            <w:pPr>
              <w:jc w:val="left"/>
            </w:pPr>
            <w:r>
              <w:rPr>
                <w:rFonts w:ascii="Times New Roman" w:hAnsi="Times New Roman"/>
                <w:sz w:val="19"/>
              </w:rPr>
              <w:t>NOT NULL. Model version tag (e.g., '1.0.0').</w:t>
            </w:r>
          </w:p>
        </w:tc>
      </w:tr>
      <w:tr>
        <w:tc>
          <w:tcPr>
            <w:tcW w:type="dxa" w:w="2016"/>
          </w:tcPr>
          <w:p>
            <w:pPr>
              <w:jc w:val="left"/>
            </w:pPr>
            <w:r>
              <w:rPr>
                <w:rFonts w:ascii="Times New Roman" w:hAnsi="Times New Roman"/>
                <w:sz w:val="19"/>
              </w:rPr>
              <w:t>predictions</w:t>
            </w:r>
          </w:p>
        </w:tc>
        <w:tc>
          <w:tcPr>
            <w:tcW w:type="dxa" w:w="2016"/>
          </w:tcPr>
          <w:p>
            <w:pPr>
              <w:jc w:val="center"/>
            </w:pPr>
            <w:r>
              <w:rPr>
                <w:rFonts w:ascii="Times New Roman" w:hAnsi="Times New Roman"/>
                <w:sz w:val="19"/>
              </w:rPr>
              <w:t>raw_input_json</w:t>
            </w:r>
          </w:p>
        </w:tc>
        <w:tc>
          <w:tcPr>
            <w:tcW w:type="dxa" w:w="2016"/>
          </w:tcPr>
          <w:p>
            <w:pPr>
              <w:jc w:val="center"/>
            </w:pPr>
            <w:r>
              <w:rPr>
                <w:rFonts w:ascii="Times New Roman" w:hAnsi="Times New Roman"/>
                <w:sz w:val="19"/>
              </w:rPr>
              <w:t>TEXT</w:t>
            </w:r>
          </w:p>
        </w:tc>
        <w:tc>
          <w:tcPr>
            <w:tcW w:type="dxa" w:w="4032"/>
          </w:tcPr>
          <w:p>
            <w:pPr>
              <w:jc w:val="left"/>
            </w:pPr>
            <w:r>
              <w:rPr>
                <w:rFonts w:ascii="Times New Roman" w:hAnsi="Times New Roman"/>
                <w:sz w:val="19"/>
              </w:rPr>
              <w:t>NOT NULL. Complete serialized JSON snapshot of all inputs.</w:t>
            </w:r>
          </w:p>
        </w:tc>
      </w:tr>
      <w:tr>
        <w:tc>
          <w:tcPr>
            <w:tcW w:type="dxa" w:w="2016"/>
            <w:shd w:fill="F8FAFC"/>
          </w:tcPr>
          <w:p>
            <w:pPr>
              <w:jc w:val="left"/>
            </w:pPr>
            <w:r>
              <w:rPr>
                <w:rFonts w:ascii="Times New Roman" w:hAnsi="Times New Roman"/>
                <w:sz w:val="19"/>
              </w:rPr>
              <w:t>predictions</w:t>
            </w:r>
          </w:p>
        </w:tc>
        <w:tc>
          <w:tcPr>
            <w:tcW w:type="dxa" w:w="2016"/>
            <w:shd w:fill="F8FAFC"/>
          </w:tcPr>
          <w:p>
            <w:pPr>
              <w:jc w:val="center"/>
            </w:pPr>
            <w:r>
              <w:rPr>
                <w:rFonts w:ascii="Times New Roman" w:hAnsi="Times New Roman"/>
                <w:sz w:val="19"/>
              </w:rPr>
              <w:t>created_at</w:t>
            </w:r>
          </w:p>
        </w:tc>
        <w:tc>
          <w:tcPr>
            <w:tcW w:type="dxa" w:w="2016"/>
            <w:shd w:fill="F8FAFC"/>
          </w:tcPr>
          <w:p>
            <w:pPr>
              <w:jc w:val="center"/>
            </w:pPr>
            <w:r>
              <w:rPr>
                <w:rFonts w:ascii="Times New Roman" w:hAnsi="Times New Roman"/>
                <w:sz w:val="19"/>
              </w:rPr>
              <w:t>TIMESTAMP</w:t>
            </w:r>
          </w:p>
        </w:tc>
        <w:tc>
          <w:tcPr>
            <w:tcW w:type="dxa" w:w="4032"/>
            <w:shd w:fill="F8FAFC"/>
          </w:tcPr>
          <w:p>
            <w:pPr>
              <w:jc w:val="left"/>
            </w:pPr>
            <w:r>
              <w:rPr>
                <w:rFonts w:ascii="Times New Roman" w:hAnsi="Times New Roman"/>
                <w:sz w:val="19"/>
              </w:rPr>
              <w:t>DEFAULT CURRENT_TIMESTAMP. Inference audit timestamp.</w:t>
            </w:r>
          </w:p>
        </w:tc>
      </w:tr>
    </w:tbl>
    <w:p>
      <w:pPr>
        <w:spacing w:before="320" w:after="120" w:line="276" w:lineRule="auto"/>
        <w:jc w:val="left"/>
      </w:pPr>
      <w:r>
        <w:rPr>
          <w:rFonts w:ascii="Times New Roman" w:hAnsi="Times New Roman"/>
          <w:b/>
          <w:color w:val="000000"/>
          <w:sz w:val="24"/>
        </w:rPr>
        <w:t>6.5 ZERO-LEAKAGE MACHINE LEARNING PIPELINE DESIGN ARCHITECTURE</w:t>
      </w:r>
    </w:p>
    <w:p>
      <w:pPr>
        <w:spacing w:line="360" w:lineRule="auto" w:after="120"/>
        <w:ind w:firstLine="360"/>
        <w:jc w:val="both"/>
      </w:pPr>
      <w:r>
        <w:rPr>
          <w:rFonts w:ascii="Times New Roman" w:hAnsi="Times New Roman"/>
          <w:sz w:val="24"/>
        </w:rPr>
        <w:t>A pivotal software engineering achievement of this project is the rigorous elimination of data leakage across the machine learning lifecycle. In conventional flawed machine learning implementations, preprocessing transformations (such as computing feature means and standard deviations) and synthetic oversampling algorithms (such as SMOTE) are inadvertently executed on the entire dataset prior to splitting. This fatally contaminates the training distribution with statistical parameters from the validation and test sets, yielding overly optimistic evaluation metrics that collapse in production environments.</w:t>
      </w:r>
    </w:p>
    <w:p>
      <w:pPr>
        <w:spacing w:before="240" w:after="80"/>
        <w:jc w:val="center"/>
      </w:pPr>
      <w:r>
        <w:drawing>
          <wp:inline xmlns:a="http://schemas.openxmlformats.org/drawingml/2006/main" xmlns:pic="http://schemas.openxmlformats.org/drawingml/2006/picture">
            <wp:extent cx="4754880" cy="2349470"/>
            <wp:docPr id="13" name="Picture 13"/>
            <wp:cNvGraphicFramePr>
              <a:graphicFrameLocks noChangeAspect="1"/>
            </wp:cNvGraphicFramePr>
            <a:graphic>
              <a:graphicData uri="http://schemas.openxmlformats.org/drawingml/2006/picture">
                <pic:pic>
                  <pic:nvPicPr>
                    <pic:cNvPr id="0" name="diag_zero_leakage.png"/>
                    <pic:cNvPicPr/>
                  </pic:nvPicPr>
                  <pic:blipFill>
                    <a:blip r:embed="rId20"/>
                    <a:stretch>
                      <a:fillRect/>
                    </a:stretch>
                  </pic:blipFill>
                  <pic:spPr>
                    <a:xfrm>
                      <a:off x="0" y="0"/>
                      <a:ext cx="4754880" cy="2349470"/>
                    </a:xfrm>
                    <a:prstGeom prst="rect"/>
                  </pic:spPr>
                </pic:pic>
              </a:graphicData>
            </a:graphic>
          </wp:inline>
        </w:drawing>
      </w:r>
    </w:p>
    <w:p>
      <w:pPr>
        <w:spacing w:after="280"/>
        <w:jc w:val="center"/>
      </w:pPr>
      <w:r>
        <w:rPr>
          <w:rFonts w:ascii="Times New Roman" w:hAnsi="Times New Roman"/>
          <w:b/>
          <w:sz w:val="21"/>
        </w:rPr>
        <w:t>Figure 6.5: Zero-Leakage Training and Resampling Architecture</w:t>
      </w:r>
    </w:p>
    <w:p>
      <w:pPr>
        <w:spacing w:line="360" w:lineRule="auto" w:after="120"/>
        <w:ind w:firstLine="360"/>
        <w:jc w:val="both"/>
      </w:pPr>
      <w:r>
        <w:rPr>
          <w:rFonts w:ascii="Times New Roman" w:hAnsi="Times New Roman"/>
          <w:sz w:val="24"/>
        </w:rPr>
        <w:t>Our architecture enforces a strict three-phase chronological isolation protocol:</w:t>
      </w:r>
    </w:p>
    <w:p>
      <w:pPr>
        <w:pStyle w:val="ListBullet"/>
        <w:spacing w:line="312" w:lineRule="auto" w:after="80"/>
        <w:jc w:val="both"/>
      </w:pPr>
      <w:r>
        <w:rPr>
          <w:rFonts w:ascii="Times New Roman" w:hAnsi="Times New Roman"/>
          <w:b/>
          <w:sz w:val="24"/>
        </w:rPr>
        <w:t xml:space="preserve">Phase 1: Stratified Train/Test Partitioning: </w:t>
      </w:r>
      <w:r>
        <w:rPr>
          <w:rFonts w:ascii="Times New Roman" w:hAnsi="Times New Roman"/>
          <w:sz w:val="24"/>
        </w:rPr>
        <w:t>The raw dataset (N=1,500) is partitioned into an 80% training set (N=1,200) and a 20% test set (N=300) using Stratified K-Fold sampling based on target risk tiers. The 300 test samples are immediately quarantined on disk and remain 100% untouched until final benchmarking.</w:t>
      </w:r>
    </w:p>
    <w:p>
      <w:pPr>
        <w:pStyle w:val="ListBullet"/>
        <w:spacing w:line="312" w:lineRule="auto" w:after="80"/>
        <w:jc w:val="both"/>
      </w:pPr>
      <w:r>
        <w:rPr>
          <w:rFonts w:ascii="Times New Roman" w:hAnsi="Times New Roman"/>
          <w:b/>
          <w:sz w:val="24"/>
        </w:rPr>
        <w:t xml:space="preserve">Phase 2: Training Split ColumnTransformer Fitting: </w:t>
      </w:r>
      <w:r>
        <w:rPr>
          <w:rFonts w:ascii="Times New Roman" w:hAnsi="Times New Roman"/>
          <w:sz w:val="24"/>
        </w:rPr>
        <w:t>The Scikit-Learn ColumnTransformer pipeline (incorporating median SimpleImputer and StandardScaler) is fitted strictly and solely on the 1,200 training instances. The resulting transformer is serialized to `models/preprocessing.pkl`.</w:t>
      </w:r>
    </w:p>
    <w:p>
      <w:pPr>
        <w:pStyle w:val="ListBullet"/>
        <w:spacing w:line="312" w:lineRule="auto" w:after="80"/>
        <w:jc w:val="both"/>
      </w:pPr>
      <w:r>
        <w:rPr>
          <w:rFonts w:ascii="Times New Roman" w:hAnsi="Times New Roman"/>
          <w:b/>
          <w:sz w:val="24"/>
        </w:rPr>
        <w:t xml:space="preserve">Phase 3: Resampling Encapsulated Strictly Inside Cross-Validation: </w:t>
      </w:r>
      <w:r>
        <w:rPr>
          <w:rFonts w:ascii="Times New Roman" w:hAnsi="Times New Roman"/>
          <w:sz w:val="24"/>
        </w:rPr>
        <w:t>During Stratified 5-Fold Cross-Validation, SMOTE and ADASYN synthetic oversampling are applied exclusively to the training folds of each iteration. Validation folds and the final test set are never subjected to synthetic oversampling, guaranteeing zero data leakage and empirically valid generalization metrics.</w:t>
      </w:r>
    </w:p>
    <w:p>
      <w:r>
        <w:br w:type="page"/>
      </w:r>
    </w:p>
    <w:p>
      <w:pPr>
        <w:spacing w:before="440" w:after="280" w:line="276" w:lineRule="auto"/>
        <w:jc w:val="center"/>
      </w:pPr>
      <w:r>
        <w:rPr>
          <w:rFonts w:ascii="Times New Roman" w:hAnsi="Times New Roman"/>
          <w:b/>
          <w:color w:val="000000"/>
          <w:sz w:val="36"/>
        </w:rPr>
        <w:t>CHAPTER 7: IMPLEMENTATION</w:t>
      </w:r>
    </w:p>
    <w:p>
      <w:pPr>
        <w:spacing w:before="320" w:after="120" w:line="276" w:lineRule="auto"/>
        <w:jc w:val="left"/>
      </w:pPr>
      <w:r>
        <w:rPr>
          <w:rFonts w:ascii="Times New Roman" w:hAnsi="Times New Roman"/>
          <w:b/>
          <w:color w:val="000000"/>
          <w:sz w:val="24"/>
        </w:rPr>
        <w:t>7.1 DATASET CONSTRUCTION &amp; SYNTHETIC GENERATION METHODOLOGY</w:t>
      </w:r>
    </w:p>
    <w:p>
      <w:pPr>
        <w:spacing w:line="360" w:lineRule="auto" w:after="120"/>
        <w:ind w:firstLine="360"/>
        <w:jc w:val="both"/>
      </w:pPr>
      <w:r>
        <w:rPr>
          <w:rFonts w:ascii="Times New Roman" w:hAnsi="Times New Roman"/>
          <w:sz w:val="24"/>
        </w:rPr>
        <w:t>Due to stringent banking secrecy statutes, commercial non-disclosure covenants, and data privacy regulations (e.g., Reserve Bank of India data localization guidelines, GDPR), loan-level MSME financial datasets containing granular default records are strictly proprietary and legally inaccessible for open academic research. To ensure complete academic reproducibility and empirical validity, a specialized synthetic dataset generator (`data/synthetic/generate_dataset.py`) was engineered based on empirical statistical distributions documented in Reserve Bank of India and World Bank MSME surveys.</w:t>
      </w:r>
    </w:p>
    <w:p>
      <w:pPr>
        <w:spacing w:line="360" w:lineRule="auto" w:after="120"/>
        <w:ind w:firstLine="360"/>
        <w:jc w:val="both"/>
      </w:pPr>
      <w:r>
        <w:rPr>
          <w:rFonts w:ascii="Times New Roman" w:hAnsi="Times New Roman"/>
          <w:sz w:val="24"/>
        </w:rPr>
        <w:t>The synthetic dataset synthesizes 1,500 enterprise records encompassing 11 operational variables and 7 engineered financial indicators. Table 7.1 details the underlying statistical distributions, parameters, and commercial domain rationale:</w:t>
      </w:r>
    </w:p>
    <w:tbl>
      <w:tblPr>
        <w:tblW w:type="auto" w:w="0"/>
        <w:jc w:val="center"/>
        <w:tblLook w:firstColumn="1" w:firstRow="1" w:lastColumn="0" w:lastRow="0" w:noHBand="0" w:noVBand="1" w:val="04A0"/>
      </w:tblPr>
      <w:tblGrid>
        <w:gridCol w:w="2167"/>
        <w:gridCol w:w="2167"/>
        <w:gridCol w:w="2167"/>
        <w:gridCol w:w="2167"/>
      </w:tblGrid>
      <w:tr>
        <w:tc>
          <w:tcPr>
            <w:tcW w:type="dxa" w:w="2304"/>
            <w:shd w:fill="E2E8F0"/>
          </w:tcPr>
          <w:p>
            <w:pPr>
              <w:jc w:val="center"/>
            </w:pPr>
            <w:r>
              <w:rPr>
                <w:rFonts w:ascii="Times New Roman" w:hAnsi="Times New Roman"/>
                <w:b/>
                <w:sz w:val="20"/>
              </w:rPr>
              <w:t>Feature Name</w:t>
            </w:r>
          </w:p>
        </w:tc>
        <w:tc>
          <w:tcPr>
            <w:tcW w:type="dxa" w:w="2592"/>
            <w:shd w:fill="E2E8F0"/>
          </w:tcPr>
          <w:p>
            <w:pPr>
              <w:jc w:val="center"/>
            </w:pPr>
            <w:r>
              <w:rPr>
                <w:rFonts w:ascii="Times New Roman" w:hAnsi="Times New Roman"/>
                <w:b/>
                <w:sz w:val="20"/>
              </w:rPr>
              <w:t>Statistical Distribution</w:t>
            </w:r>
          </w:p>
        </w:tc>
        <w:tc>
          <w:tcPr>
            <w:tcW w:type="dxa" w:w="2592"/>
            <w:shd w:fill="E2E8F0"/>
          </w:tcPr>
          <w:p>
            <w:pPr>
              <w:jc w:val="center"/>
            </w:pPr>
            <w:r>
              <w:rPr>
                <w:rFonts w:ascii="Times New Roman" w:hAnsi="Times New Roman"/>
                <w:b/>
                <w:sz w:val="20"/>
              </w:rPr>
              <w:t>Parameter Values</w:t>
            </w:r>
          </w:p>
        </w:tc>
        <w:tc>
          <w:tcPr>
            <w:tcW w:type="dxa" w:w="2592"/>
            <w:shd w:fill="E2E8F0"/>
          </w:tcPr>
          <w:p>
            <w:pPr>
              <w:jc w:val="center"/>
            </w:pPr>
            <w:r>
              <w:rPr>
                <w:rFonts w:ascii="Times New Roman" w:hAnsi="Times New Roman"/>
                <w:b/>
                <w:sz w:val="20"/>
              </w:rPr>
              <w:t>Empirical Domain Justification</w:t>
            </w:r>
          </w:p>
        </w:tc>
      </w:tr>
      <w:tr>
        <w:tc>
          <w:tcPr>
            <w:tcW w:type="dxa" w:w="2304"/>
          </w:tcPr>
          <w:p>
            <w:pPr>
              <w:jc w:val="left"/>
            </w:pPr>
            <w:r>
              <w:rPr>
                <w:rFonts w:ascii="Times New Roman" w:hAnsi="Times New Roman"/>
                <w:sz w:val="19"/>
              </w:rPr>
              <w:t>annual_revenue</w:t>
            </w:r>
          </w:p>
        </w:tc>
        <w:tc>
          <w:tcPr>
            <w:tcW w:type="dxa" w:w="2592"/>
          </w:tcPr>
          <w:p>
            <w:pPr>
              <w:jc w:val="left"/>
            </w:pPr>
            <w:r>
              <w:rPr>
                <w:rFonts w:ascii="Times New Roman" w:hAnsi="Times New Roman"/>
                <w:sz w:val="19"/>
              </w:rPr>
              <w:t>Log-Normal: ln(X) ~ N(mu, sigma)</w:t>
            </w:r>
          </w:p>
        </w:tc>
        <w:tc>
          <w:tcPr>
            <w:tcW w:type="dxa" w:w="2592"/>
          </w:tcPr>
          <w:p>
            <w:pPr>
              <w:jc w:val="left"/>
            </w:pPr>
            <w:r>
              <w:rPr>
                <w:rFonts w:ascii="Times New Roman" w:hAnsi="Times New Roman"/>
                <w:sz w:val="19"/>
              </w:rPr>
              <w:t>mu = 15.5, sigma = 0.8</w:t>
            </w:r>
          </w:p>
        </w:tc>
        <w:tc>
          <w:tcPr>
            <w:tcW w:type="dxa" w:w="2592"/>
          </w:tcPr>
          <w:p>
            <w:pPr>
              <w:jc w:val="left"/>
            </w:pPr>
            <w:r>
              <w:rPr>
                <w:rFonts w:ascii="Times New Roman" w:hAnsi="Times New Roman"/>
                <w:sz w:val="19"/>
              </w:rPr>
              <w:t>Revenues span ₹10 Lakh to ₹10 Crore with heavy positive skewness.</w:t>
            </w:r>
          </w:p>
        </w:tc>
      </w:tr>
      <w:tr>
        <w:tc>
          <w:tcPr>
            <w:tcW w:type="dxa" w:w="2304"/>
            <w:shd w:fill="F8FAFC"/>
          </w:tcPr>
          <w:p>
            <w:pPr>
              <w:jc w:val="left"/>
            </w:pPr>
            <w:r>
              <w:rPr>
                <w:rFonts w:ascii="Times New Roman" w:hAnsi="Times New Roman"/>
                <w:sz w:val="19"/>
              </w:rPr>
              <w:t>annual_expenses</w:t>
            </w:r>
          </w:p>
        </w:tc>
        <w:tc>
          <w:tcPr>
            <w:tcW w:type="dxa" w:w="2592"/>
            <w:shd w:fill="F8FAFC"/>
          </w:tcPr>
          <w:p>
            <w:pPr>
              <w:jc w:val="left"/>
            </w:pPr>
            <w:r>
              <w:rPr>
                <w:rFonts w:ascii="Times New Roman" w:hAnsi="Times New Roman"/>
                <w:sz w:val="19"/>
              </w:rPr>
              <w:t>Correlated Uniform Fraction</w:t>
            </w:r>
          </w:p>
        </w:tc>
        <w:tc>
          <w:tcPr>
            <w:tcW w:type="dxa" w:w="2592"/>
            <w:shd w:fill="F8FAFC"/>
          </w:tcPr>
          <w:p>
            <w:pPr>
              <w:jc w:val="left"/>
            </w:pPr>
            <w:r>
              <w:rPr>
                <w:rFonts w:ascii="Times New Roman" w:hAnsi="Times New Roman"/>
                <w:sz w:val="19"/>
              </w:rPr>
              <w:t>Uniform(0.60, 0.98) * Revenue</w:t>
            </w:r>
          </w:p>
        </w:tc>
        <w:tc>
          <w:tcPr>
            <w:tcW w:type="dxa" w:w="2592"/>
            <w:shd w:fill="F8FAFC"/>
          </w:tcPr>
          <w:p>
            <w:pPr>
              <w:jc w:val="left"/>
            </w:pPr>
            <w:r>
              <w:rPr>
                <w:rFonts w:ascii="Times New Roman" w:hAnsi="Times New Roman"/>
                <w:sz w:val="19"/>
              </w:rPr>
              <w:t>Models realistic operational profit margins ranging from 2% to 40%.</w:t>
            </w:r>
          </w:p>
        </w:tc>
      </w:tr>
      <w:tr>
        <w:tc>
          <w:tcPr>
            <w:tcW w:type="dxa" w:w="2304"/>
          </w:tcPr>
          <w:p>
            <w:pPr>
              <w:jc w:val="left"/>
            </w:pPr>
            <w:r>
              <w:rPr>
                <w:rFonts w:ascii="Times New Roman" w:hAnsi="Times New Roman"/>
                <w:sz w:val="19"/>
              </w:rPr>
              <w:t>existing_debt</w:t>
            </w:r>
          </w:p>
        </w:tc>
        <w:tc>
          <w:tcPr>
            <w:tcW w:type="dxa" w:w="2592"/>
          </w:tcPr>
          <w:p>
            <w:pPr>
              <w:jc w:val="left"/>
            </w:pPr>
            <w:r>
              <w:rPr>
                <w:rFonts w:ascii="Times New Roman" w:hAnsi="Times New Roman"/>
                <w:sz w:val="19"/>
              </w:rPr>
              <w:t>Exponential Debt Ratio</w:t>
            </w:r>
          </w:p>
        </w:tc>
        <w:tc>
          <w:tcPr>
            <w:tcW w:type="dxa" w:w="2592"/>
          </w:tcPr>
          <w:p>
            <w:pPr>
              <w:jc w:val="left"/>
            </w:pPr>
            <w:r>
              <w:rPr>
                <w:rFonts w:ascii="Times New Roman" w:hAnsi="Times New Roman"/>
                <w:sz w:val="19"/>
              </w:rPr>
              <w:t>Debt Ratio ~ Exp(lambda=0.35)</w:t>
            </w:r>
          </w:p>
        </w:tc>
        <w:tc>
          <w:tcPr>
            <w:tcW w:type="dxa" w:w="2592"/>
          </w:tcPr>
          <w:p>
            <w:pPr>
              <w:jc w:val="left"/>
            </w:pPr>
            <w:r>
              <w:rPr>
                <w:rFonts w:ascii="Times New Roman" w:hAnsi="Times New Roman"/>
                <w:sz w:val="19"/>
              </w:rPr>
              <w:t>Majority of small firms maintain lean debt; few carry heavy leverage.</w:t>
            </w:r>
          </w:p>
        </w:tc>
      </w:tr>
      <w:tr>
        <w:tc>
          <w:tcPr>
            <w:tcW w:type="dxa" w:w="2304"/>
            <w:shd w:fill="F8FAFC"/>
          </w:tcPr>
          <w:p>
            <w:pPr>
              <w:jc w:val="left"/>
            </w:pPr>
            <w:r>
              <w:rPr>
                <w:rFonts w:ascii="Times New Roman" w:hAnsi="Times New Roman"/>
                <w:sz w:val="19"/>
              </w:rPr>
              <w:t>requested_loan_amount</w:t>
            </w:r>
          </w:p>
        </w:tc>
        <w:tc>
          <w:tcPr>
            <w:tcW w:type="dxa" w:w="2592"/>
            <w:shd w:fill="F8FAFC"/>
          </w:tcPr>
          <w:p>
            <w:pPr>
              <w:jc w:val="left"/>
            </w:pPr>
            <w:r>
              <w:rPr>
                <w:rFonts w:ascii="Times New Roman" w:hAnsi="Times New Roman"/>
                <w:sz w:val="19"/>
              </w:rPr>
              <w:t>Bounded Log-Normal Scale</w:t>
            </w:r>
          </w:p>
        </w:tc>
        <w:tc>
          <w:tcPr>
            <w:tcW w:type="dxa" w:w="2592"/>
            <w:shd w:fill="F8FAFC"/>
          </w:tcPr>
          <w:p>
            <w:pPr>
              <w:jc w:val="left"/>
            </w:pPr>
            <w:r>
              <w:rPr>
                <w:rFonts w:ascii="Times New Roman" w:hAnsi="Times New Roman"/>
                <w:sz w:val="19"/>
              </w:rPr>
              <w:t>Uniform(0.10, 0.50) * Revenue</w:t>
            </w:r>
          </w:p>
        </w:tc>
        <w:tc>
          <w:tcPr>
            <w:tcW w:type="dxa" w:w="2592"/>
            <w:shd w:fill="F8FAFC"/>
          </w:tcPr>
          <w:p>
            <w:pPr>
              <w:jc w:val="left"/>
            </w:pPr>
            <w:r>
              <w:rPr>
                <w:rFonts w:ascii="Times New Roman" w:hAnsi="Times New Roman"/>
                <w:sz w:val="19"/>
              </w:rPr>
              <w:t>Loan requests scaled realistically against annual top-line turnover.</w:t>
            </w:r>
          </w:p>
        </w:tc>
      </w:tr>
      <w:tr>
        <w:tc>
          <w:tcPr>
            <w:tcW w:type="dxa" w:w="2304"/>
          </w:tcPr>
          <w:p>
            <w:pPr>
              <w:jc w:val="left"/>
            </w:pPr>
            <w:r>
              <w:rPr>
                <w:rFonts w:ascii="Times New Roman" w:hAnsi="Times New Roman"/>
                <w:sz w:val="19"/>
              </w:rPr>
              <w:t>monthly_cash_flow</w:t>
            </w:r>
          </w:p>
        </w:tc>
        <w:tc>
          <w:tcPr>
            <w:tcW w:type="dxa" w:w="2592"/>
          </w:tcPr>
          <w:p>
            <w:pPr>
              <w:jc w:val="center"/>
            </w:pPr>
            <w:r>
              <w:rPr>
                <w:rFonts w:ascii="Times New Roman" w:hAnsi="Times New Roman"/>
                <w:sz w:val="19"/>
              </w:rPr>
              <w:t>Normal with Variance</w:t>
            </w:r>
          </w:p>
        </w:tc>
        <w:tc>
          <w:tcPr>
            <w:tcW w:type="dxa" w:w="2592"/>
          </w:tcPr>
          <w:p>
            <w:pPr>
              <w:jc w:val="left"/>
            </w:pPr>
            <w:r>
              <w:rPr>
                <w:rFonts w:ascii="Times New Roman" w:hAnsi="Times New Roman"/>
                <w:sz w:val="19"/>
              </w:rPr>
              <w:t>N((Revenue-Expenses)/12, sigma)</w:t>
            </w:r>
          </w:p>
        </w:tc>
        <w:tc>
          <w:tcPr>
            <w:tcW w:type="dxa" w:w="2592"/>
          </w:tcPr>
          <w:p>
            <w:pPr>
              <w:jc w:val="left"/>
            </w:pPr>
            <w:r>
              <w:rPr>
                <w:rFonts w:ascii="Times New Roman" w:hAnsi="Times New Roman"/>
                <w:sz w:val="19"/>
              </w:rPr>
              <w:t>Net monthly cash generation tracking operational profitability.</w:t>
            </w:r>
          </w:p>
        </w:tc>
      </w:tr>
      <w:tr>
        <w:tc>
          <w:tcPr>
            <w:tcW w:type="dxa" w:w="2304"/>
            <w:shd w:fill="F8FAFC"/>
          </w:tcPr>
          <w:p>
            <w:pPr>
              <w:jc w:val="left"/>
            </w:pPr>
            <w:r>
              <w:rPr>
                <w:rFonts w:ascii="Times New Roman" w:hAnsi="Times New Roman"/>
                <w:sz w:val="19"/>
              </w:rPr>
              <w:t>business_age</w:t>
            </w:r>
          </w:p>
        </w:tc>
        <w:tc>
          <w:tcPr>
            <w:tcW w:type="dxa" w:w="2592"/>
            <w:shd w:fill="F8FAFC"/>
          </w:tcPr>
          <w:p>
            <w:pPr>
              <w:jc w:val="center"/>
            </w:pPr>
            <w:r>
              <w:rPr>
                <w:rFonts w:ascii="Times New Roman" w:hAnsi="Times New Roman"/>
                <w:sz w:val="19"/>
              </w:rPr>
              <w:t>Gamma Distribution</w:t>
            </w:r>
          </w:p>
        </w:tc>
        <w:tc>
          <w:tcPr>
            <w:tcW w:type="dxa" w:w="2592"/>
            <w:shd w:fill="F8FAFC"/>
          </w:tcPr>
          <w:p>
            <w:pPr>
              <w:jc w:val="left"/>
            </w:pPr>
            <w:r>
              <w:rPr>
                <w:rFonts w:ascii="Times New Roman" w:hAnsi="Times New Roman"/>
                <w:sz w:val="19"/>
              </w:rPr>
              <w:t>k = 2.5, theta = 2.5 (Years)</w:t>
            </w:r>
          </w:p>
        </w:tc>
        <w:tc>
          <w:tcPr>
            <w:tcW w:type="dxa" w:w="2592"/>
            <w:shd w:fill="F8FAFC"/>
          </w:tcPr>
          <w:p>
            <w:pPr>
              <w:jc w:val="left"/>
            </w:pPr>
            <w:r>
              <w:rPr>
                <w:rFonts w:ascii="Times New Roman" w:hAnsi="Times New Roman"/>
                <w:sz w:val="19"/>
              </w:rPr>
              <w:t>Concentration of nascent enterprises aged 2 to 15 operating years.</w:t>
            </w:r>
          </w:p>
        </w:tc>
      </w:tr>
      <w:tr>
        <w:tc>
          <w:tcPr>
            <w:tcW w:type="dxa" w:w="2304"/>
          </w:tcPr>
          <w:p>
            <w:pPr>
              <w:jc w:val="left"/>
            </w:pPr>
            <w:r>
              <w:rPr>
                <w:rFonts w:ascii="Times New Roman" w:hAnsi="Times New Roman"/>
                <w:sz w:val="19"/>
              </w:rPr>
              <w:t>repayment_score</w:t>
            </w:r>
          </w:p>
        </w:tc>
        <w:tc>
          <w:tcPr>
            <w:tcW w:type="dxa" w:w="2592"/>
          </w:tcPr>
          <w:p>
            <w:pPr>
              <w:jc w:val="left"/>
            </w:pPr>
            <w:r>
              <w:rPr>
                <w:rFonts w:ascii="Times New Roman" w:hAnsi="Times New Roman"/>
                <w:sz w:val="19"/>
              </w:rPr>
              <w:t>Beta Distribution (Scaled)</w:t>
            </w:r>
          </w:p>
        </w:tc>
        <w:tc>
          <w:tcPr>
            <w:tcW w:type="dxa" w:w="2592"/>
          </w:tcPr>
          <w:p>
            <w:pPr>
              <w:jc w:val="left"/>
            </w:pPr>
            <w:r>
              <w:rPr>
                <w:rFonts w:ascii="Times New Roman" w:hAnsi="Times New Roman"/>
                <w:sz w:val="19"/>
              </w:rPr>
              <w:t>Beta(alpha=5.0, beta=1.5) * 100</w:t>
            </w:r>
          </w:p>
        </w:tc>
        <w:tc>
          <w:tcPr>
            <w:tcW w:type="dxa" w:w="2592"/>
          </w:tcPr>
          <w:p>
            <w:pPr>
              <w:jc w:val="left"/>
            </w:pPr>
            <w:r>
              <w:rPr>
                <w:rFonts w:ascii="Times New Roman" w:hAnsi="Times New Roman"/>
                <w:sz w:val="19"/>
              </w:rPr>
              <w:t>Represents commercial bureau score distribution skewed toward 75-95.</w:t>
            </w:r>
          </w:p>
        </w:tc>
      </w:tr>
      <w:tr>
        <w:tc>
          <w:tcPr>
            <w:tcW w:type="dxa" w:w="2304"/>
            <w:shd w:fill="F8FAFC"/>
          </w:tcPr>
          <w:p>
            <w:pPr>
              <w:jc w:val="left"/>
            </w:pPr>
            <w:r>
              <w:rPr>
                <w:rFonts w:ascii="Times New Roman" w:hAnsi="Times New Roman"/>
                <w:sz w:val="19"/>
              </w:rPr>
              <w:t>credit_utilization_ratio</w:t>
            </w:r>
          </w:p>
        </w:tc>
        <w:tc>
          <w:tcPr>
            <w:tcW w:type="dxa" w:w="2592"/>
            <w:shd w:fill="F8FAFC"/>
          </w:tcPr>
          <w:p>
            <w:pPr>
              <w:jc w:val="center"/>
            </w:pPr>
            <w:r>
              <w:rPr>
                <w:rFonts w:ascii="Times New Roman" w:hAnsi="Times New Roman"/>
                <w:sz w:val="19"/>
              </w:rPr>
              <w:t>Beta Distribution</w:t>
            </w:r>
          </w:p>
        </w:tc>
        <w:tc>
          <w:tcPr>
            <w:tcW w:type="dxa" w:w="2592"/>
            <w:shd w:fill="F8FAFC"/>
          </w:tcPr>
          <w:p>
            <w:pPr>
              <w:jc w:val="left"/>
            </w:pPr>
            <w:r>
              <w:rPr>
                <w:rFonts w:ascii="Times New Roman" w:hAnsi="Times New Roman"/>
                <w:sz w:val="19"/>
              </w:rPr>
              <w:t>Beta(alpha=2.0, beta=4.0)</w:t>
            </w:r>
          </w:p>
        </w:tc>
        <w:tc>
          <w:tcPr>
            <w:tcW w:type="dxa" w:w="2592"/>
            <w:shd w:fill="F8FAFC"/>
          </w:tcPr>
          <w:p>
            <w:pPr>
              <w:jc w:val="left"/>
            </w:pPr>
            <w:r>
              <w:rPr>
                <w:rFonts w:ascii="Times New Roman" w:hAnsi="Times New Roman"/>
                <w:sz w:val="19"/>
              </w:rPr>
              <w:t>Revolving facility utilization peaking between 20% and 55%.</w:t>
            </w:r>
          </w:p>
        </w:tc>
      </w:tr>
    </w:tbl>
    <w:p>
      <w:pPr>
        <w:spacing w:line="360" w:lineRule="auto" w:after="120"/>
        <w:ind w:firstLine="360"/>
        <w:jc w:val="both"/>
      </w:pPr>
      <w:r>
        <w:rPr>
          <w:rFonts w:ascii="Times New Roman" w:hAnsi="Times New Roman"/>
          <w:sz w:val="24"/>
        </w:rPr>
        <w:t>To establish realistic multi-class target labels without deterministic circularity, a continuous latent risk index R_latent was computed combining structural leverage, cash flow coverage, prior default penalties, and controlled non-deterministic Gaussian noise epsilon ~ N(0, 0.35^2):</w:t>
      </w:r>
    </w:p>
    <w:p>
      <w:pPr>
        <w:spacing w:line="360" w:lineRule="auto" w:after="120"/>
        <w:ind w:firstLine="360"/>
        <w:jc w:val="both"/>
      </w:pPr>
      <w:r>
        <w:rPr>
          <w:rFonts w:ascii="Times New Roman" w:hAnsi="Times New Roman"/>
          <w:sz w:val="24"/>
        </w:rPr>
        <w:t>R_latent = 0.35 * DTI + 0.25 * (1 - Margin) + 0.20 * (1 / (Coverage + 0.1)) + 0.30 * Defaults + epsilon</w:t>
      </w:r>
    </w:p>
    <w:p>
      <w:pPr>
        <w:spacing w:line="360" w:lineRule="auto" w:after="120"/>
        <w:ind w:firstLine="360"/>
        <w:jc w:val="both"/>
      </w:pPr>
      <w:r>
        <w:rPr>
          <w:rFonts w:ascii="Times New Roman" w:hAnsi="Times New Roman"/>
          <w:sz w:val="24"/>
        </w:rPr>
        <w:t>The continuous risk index was partitioned at the 58th and 85th percentiles to generate realistic class proportions: LOW Risk (58.0%, 870 samples), MEDIUM Risk (27.0%, 405 samples), and HIGH Risk (15.0%, 225 samples).</w:t>
      </w:r>
    </w:p>
    <w:p>
      <w:pPr>
        <w:spacing w:before="320" w:after="120" w:line="276" w:lineRule="auto"/>
        <w:jc w:val="left"/>
      </w:pPr>
      <w:r>
        <w:rPr>
          <w:rFonts w:ascii="Times New Roman" w:hAnsi="Times New Roman"/>
          <w:b/>
          <w:color w:val="000000"/>
          <w:sz w:val="24"/>
        </w:rPr>
        <w:t>7.2 PREPROCESSING &amp; COLUMNTRANSFORMER PIPELINE IMPLEMENTATION</w:t>
      </w:r>
    </w:p>
    <w:p>
      <w:pPr>
        <w:spacing w:line="360" w:lineRule="auto" w:after="120"/>
        <w:ind w:firstLine="360"/>
        <w:jc w:val="both"/>
      </w:pPr>
      <w:r>
        <w:rPr>
          <w:rFonts w:ascii="Times New Roman" w:hAnsi="Times New Roman"/>
          <w:sz w:val="24"/>
        </w:rPr>
        <w:t>The preprocessing module (`src/preprocessing.py`) implements automated data cleaning and Scikit-Learn transformers to guarantee zero runtime failures:</w:t>
      </w:r>
    </w:p>
    <w:p>
      <w:pPr>
        <w:spacing w:line="360" w:lineRule="auto" w:after="120"/>
        <w:ind w:firstLine="360"/>
        <w:jc w:val="both"/>
      </w:pPr>
      <w:r>
        <w:rPr>
          <w:rFonts w:ascii="Times New Roman" w:hAnsi="Times New Roman"/>
          <w:sz w:val="24"/>
        </w:rPr>
        <w:t>• Input Validation &amp; Outlier Clamping: Function `validate_raw_inputs()` enforces non-negative physical bounds, clipping negative revenue, debt, or expense entries to zero and bounding repayment scores to [0.0, 100.0].</w:t>
      </w:r>
    </w:p>
    <w:p>
      <w:pPr>
        <w:spacing w:line="360" w:lineRule="auto" w:after="120"/>
        <w:ind w:firstLine="360"/>
        <w:jc w:val="both"/>
      </w:pPr>
      <w:r>
        <w:rPr>
          <w:rFonts w:ascii="Times New Roman" w:hAnsi="Times New Roman"/>
          <w:sz w:val="24"/>
        </w:rPr>
        <w:t>• Serialized ColumnTransformer Pipeline: Numeric features are preprocessed via a Scikit-Learn Pipeline combining median `SimpleImputer` (handling missing inputs) and `StandardScaler` (standardizing zero-mean unit-variance representations). The fitted preprocessor is serialized to `models/preprocessing.pkl`.</w:t>
      </w:r>
    </w:p>
    <w:p>
      <w:pPr>
        <w:spacing w:before="320" w:after="120" w:line="276" w:lineRule="auto"/>
        <w:jc w:val="left"/>
      </w:pPr>
      <w:r>
        <w:rPr>
          <w:rFonts w:ascii="Times New Roman" w:hAnsi="Times New Roman"/>
          <w:b/>
          <w:color w:val="000000"/>
          <w:sz w:val="24"/>
        </w:rPr>
        <w:t>7.3 FINANCIAL FEATURE ENGINEERING MODULE IMPLEMENTATION</w:t>
      </w:r>
    </w:p>
    <w:p>
      <w:pPr>
        <w:spacing w:line="360" w:lineRule="auto" w:after="120"/>
        <w:ind w:firstLine="360"/>
        <w:jc w:val="both"/>
      </w:pPr>
      <w:r>
        <w:rPr>
          <w:rFonts w:ascii="Times New Roman" w:hAnsi="Times New Roman"/>
          <w:sz w:val="24"/>
        </w:rPr>
        <w:t>The feature engineering module (`src/feature_engineering.py`) computes the 7 specialized financial indicators defined in Section 2.4. Implemented using vectorized NumPy and Pandas arrays, the module executes in sub-millisecond time. Zero-division safeguards (`np.maximum(denom, 1.0)`) guarantee that pre-revenue enterprises or zero-debt profiles never produce NaN or infinite values.</w:t>
      </w:r>
    </w:p>
    <w:p>
      <w:pPr>
        <w:spacing w:before="320" w:after="120" w:line="276" w:lineRule="auto"/>
        <w:jc w:val="left"/>
      </w:pPr>
      <w:r>
        <w:rPr>
          <w:rFonts w:ascii="Times New Roman" w:hAnsi="Times New Roman"/>
          <w:b/>
          <w:color w:val="000000"/>
          <w:sz w:val="24"/>
        </w:rPr>
        <w:t>7.4 MODEL TRAINING, RESAMPLING &amp; CROSS-VALIDATION ARCHITECTURE</w:t>
      </w:r>
    </w:p>
    <w:p>
      <w:pPr>
        <w:spacing w:line="360" w:lineRule="auto" w:after="120"/>
        <w:ind w:firstLine="360"/>
        <w:jc w:val="both"/>
      </w:pPr>
      <w:r>
        <w:rPr>
          <w:rFonts w:ascii="Times New Roman" w:hAnsi="Times New Roman"/>
          <w:sz w:val="24"/>
        </w:rPr>
        <w:t>The training orchestration module (`src/train.py`) executes Stratified 5-Fold Cross-Validation on the 1,200 training instances. Across each fold, three candidate algorithms (Multinomial Logistic Regression with L2 regularization, Decision Trees with cost-complexity pruning, and Random Forests with 100 estimators) were benchmarked across three resampling regimes (None, SMOTE, ADASYN). Hyperparameter optimization was conducted via grid search. The champion model was fitted on the full training split and persisted to `models/model.pkl` along with training metadata serialized to `models/model_metadata.json`.</w:t>
      </w:r>
    </w:p>
    <w:p>
      <w:pPr>
        <w:spacing w:before="320" w:after="120" w:line="276" w:lineRule="auto"/>
        <w:jc w:val="left"/>
      </w:pPr>
      <w:r>
        <w:rPr>
          <w:rFonts w:ascii="Times New Roman" w:hAnsi="Times New Roman"/>
          <w:b/>
          <w:color w:val="000000"/>
          <w:sz w:val="24"/>
        </w:rPr>
        <w:t>7.5 EXPLAINABLE AI (SHAP) MODULE IMPLEMENTATION</w:t>
      </w:r>
    </w:p>
    <w:p>
      <w:pPr>
        <w:spacing w:line="360" w:lineRule="auto" w:after="120"/>
        <w:ind w:firstLine="360"/>
        <w:jc w:val="both"/>
      </w:pPr>
      <w:r>
        <w:rPr>
          <w:rFonts w:ascii="Times New Roman" w:hAnsi="Times New Roman"/>
          <w:sz w:val="24"/>
        </w:rPr>
        <w:t>The explainability engine (`src/explain.py`) initializes a SHAP `LinearExplainer` utilizing the champion model coefficients and empirical background feature distribution. For any input feature vector x, the module extracts exact Shapley attributions, separating features into Risk Amplifiers (positive Shapley values pushing predictions toward HIGH risk) and Risk Mitigators (negative Shapley values pushing predictions toward LOW risk). Global feature importance is computed by averaging mean absolute Shapley values across the training distribution.</w:t>
      </w:r>
    </w:p>
    <w:p>
      <w:pPr>
        <w:spacing w:before="320" w:after="120" w:line="276" w:lineRule="auto"/>
        <w:jc w:val="left"/>
      </w:pPr>
      <w:r>
        <w:rPr>
          <w:rFonts w:ascii="Times New Roman" w:hAnsi="Times New Roman"/>
          <w:b/>
          <w:color w:val="000000"/>
          <w:sz w:val="24"/>
        </w:rPr>
        <w:t>7.6 DETERMINISTIC 5-PILLAR FINANCIAL HEALTH ENGINE IMPLEMENTATION</w:t>
      </w:r>
    </w:p>
    <w:p>
      <w:pPr>
        <w:spacing w:line="360" w:lineRule="auto" w:after="120"/>
        <w:ind w:firstLine="360"/>
        <w:jc w:val="both"/>
      </w:pPr>
      <w:r>
        <w:rPr>
          <w:rFonts w:ascii="Times New Roman" w:hAnsi="Times New Roman"/>
          <w:sz w:val="24"/>
        </w:rPr>
        <w:t>The financial health scoring module (`src/financial_health.py`) implements the decoupled 5-pillar scoring methodology detailed in Section 2.5. The module executes deterministic piecewise mathematical calculations across Debt Management (25 pts), Cash Flow &amp; Liquidity (25 pts), Profitability &amp; Margins (20 pts), Repayment History (20 pts), and Business Stability (10 pts), outputting a total score from 0 to 100 along with letter grade mappings (EXCELLENT, GOOD, FAIR, POOR).</w:t>
      </w:r>
    </w:p>
    <w:p>
      <w:pPr>
        <w:spacing w:before="320" w:after="120" w:line="276" w:lineRule="auto"/>
        <w:jc w:val="left"/>
      </w:pPr>
      <w:r>
        <w:rPr>
          <w:rFonts w:ascii="Times New Roman" w:hAnsi="Times New Roman"/>
          <w:b/>
          <w:color w:val="000000"/>
          <w:sz w:val="24"/>
        </w:rPr>
        <w:t>7.7 WHAT-IF COUNTERFACTUAL SCENARIO ENGINE IMPLEMENTATION</w:t>
      </w:r>
    </w:p>
    <w:p>
      <w:pPr>
        <w:spacing w:line="360" w:lineRule="auto" w:after="120"/>
        <w:ind w:firstLine="360"/>
        <w:jc w:val="both"/>
      </w:pPr>
      <w:r>
        <w:rPr>
          <w:rFonts w:ascii="Times New Roman" w:hAnsi="Times New Roman"/>
          <w:sz w:val="24"/>
        </w:rPr>
        <w:t>The counterfactual simulation engine (`src/scenario.py`) empowers users to interactively test financial interventions. When a user modifies operational parameters (such as reducing existing debt by ₹10 Lakh or increasing cash flow), the engine constructs a modified feature vector, recomputes all 7 engineered ratios dynamically, passes the state through the saved ColumnTransformer, and queries the trained classifier. The engine outputs delta probabilities Delta P(C_j) = P_scenario(C_j) - P_baseline(C_j) and computes financial health score deltas in sub-second real time without requiring model retraining.</w:t>
      </w:r>
    </w:p>
    <w:p>
      <w:pPr>
        <w:spacing w:before="320" w:after="120" w:line="276" w:lineRule="auto"/>
        <w:jc w:val="left"/>
      </w:pPr>
      <w:r>
        <w:rPr>
          <w:rFonts w:ascii="Times New Roman" w:hAnsi="Times New Roman"/>
          <w:b/>
          <w:color w:val="000000"/>
          <w:sz w:val="24"/>
        </w:rPr>
        <w:t>7.8 INTERACTIVE STREAMLIT WEB APPLICATION (9 TABS WALKTHROUGH)</w:t>
      </w:r>
    </w:p>
    <w:p>
      <w:pPr>
        <w:spacing w:line="360" w:lineRule="auto" w:after="120"/>
        <w:ind w:firstLine="360"/>
        <w:jc w:val="both"/>
      </w:pPr>
      <w:r>
        <w:rPr>
          <w:rFonts w:ascii="Times New Roman" w:hAnsi="Times New Roman"/>
          <w:sz w:val="24"/>
        </w:rPr>
        <w:t>The user-facing web platform (`app.py`) delivers an institutional, theme-adaptive interface organized across nine specialized analytical modules:</w:t>
      </w:r>
    </w:p>
    <w:p>
      <w:pPr>
        <w:spacing w:before="240" w:after="80"/>
        <w:jc w:val="center"/>
      </w:pPr>
      <w:r>
        <w:drawing>
          <wp:inline xmlns:a="http://schemas.openxmlformats.org/drawingml/2006/main" xmlns:pic="http://schemas.openxmlformats.org/drawingml/2006/picture">
            <wp:extent cx="4754880" cy="2685109"/>
            <wp:docPr id="14" name="Picture 14"/>
            <wp:cNvGraphicFramePr>
              <a:graphicFrameLocks noChangeAspect="1"/>
            </wp:cNvGraphicFramePr>
            <a:graphic>
              <a:graphicData uri="http://schemas.openxmlformats.org/drawingml/2006/picture">
                <pic:pic>
                  <pic:nvPicPr>
                    <pic:cNvPr id="0" name="diag_dashboard_ui.png"/>
                    <pic:cNvPicPr/>
                  </pic:nvPicPr>
                  <pic:blipFill>
                    <a:blip r:embed="rId21"/>
                    <a:stretch>
                      <a:fillRect/>
                    </a:stretch>
                  </pic:blipFill>
                  <pic:spPr>
                    <a:xfrm>
                      <a:off x="0" y="0"/>
                      <a:ext cx="4754880" cy="2685109"/>
                    </a:xfrm>
                    <a:prstGeom prst="rect"/>
                  </pic:spPr>
                </pic:pic>
              </a:graphicData>
            </a:graphic>
          </wp:inline>
        </w:drawing>
      </w:r>
    </w:p>
    <w:p>
      <w:pPr>
        <w:spacing w:after="280"/>
        <w:jc w:val="center"/>
      </w:pPr>
      <w:r>
        <w:rPr>
          <w:rFonts w:ascii="Times New Roman" w:hAnsi="Times New Roman"/>
          <w:b/>
          <w:sz w:val="21"/>
        </w:rPr>
        <w:t>Figure 7.1: Interactive Streamlit Executive Dashboard Interface</w:t>
      </w:r>
    </w:p>
    <w:p>
      <w:pPr>
        <w:pStyle w:val="ListBullet"/>
        <w:spacing w:line="312" w:lineRule="auto" w:after="80"/>
        <w:jc w:val="both"/>
      </w:pPr>
      <w:r>
        <w:rPr>
          <w:rFonts w:ascii="Times New Roman" w:hAnsi="Times New Roman"/>
          <w:b/>
          <w:sz w:val="24"/>
        </w:rPr>
        <w:t xml:space="preserve">1. Executive Dashboard: </w:t>
      </w:r>
      <w:r>
        <w:rPr>
          <w:rFonts w:ascii="Times New Roman" w:hAnsi="Times New Roman"/>
          <w:sz w:val="24"/>
        </w:rPr>
        <w:t>Displays high-level portfolio metrics, aggregate risk distributions, average financial health scores, and model metadata cards.</w:t>
      </w:r>
    </w:p>
    <w:p>
      <w:pPr>
        <w:pStyle w:val="ListBullet"/>
        <w:spacing w:line="312" w:lineRule="auto" w:after="80"/>
        <w:jc w:val="both"/>
      </w:pPr>
      <w:r>
        <w:rPr>
          <w:rFonts w:ascii="Times New Roman" w:hAnsi="Times New Roman"/>
          <w:b/>
          <w:sz w:val="24"/>
        </w:rPr>
        <w:t xml:space="preserve">2. Data Upload &amp; Batch Analysis: </w:t>
      </w:r>
      <w:r>
        <w:rPr>
          <w:rFonts w:ascii="Times New Roman" w:hAnsi="Times New Roman"/>
          <w:sz w:val="24"/>
        </w:rPr>
        <w:t>Provides enterprise CSV/Excel ingestion, automatic schema validation, and high-throughput batch risk scoring.</w:t>
      </w:r>
    </w:p>
    <w:p>
      <w:pPr>
        <w:pStyle w:val="ListBullet"/>
        <w:spacing w:line="312" w:lineRule="auto" w:after="80"/>
        <w:jc w:val="both"/>
      </w:pPr>
      <w:r>
        <w:rPr>
          <w:rFonts w:ascii="Times New Roman" w:hAnsi="Times New Roman"/>
          <w:b/>
          <w:sz w:val="24"/>
        </w:rPr>
        <w:t xml:space="preserve">3. Single Risk Assessment: </w:t>
      </w:r>
      <w:r>
        <w:rPr>
          <w:rFonts w:ascii="Times New Roman" w:hAnsi="Times New Roman"/>
          <w:sz w:val="24"/>
        </w:rPr>
        <w:t>Interactive evaluation form with dynamic bounds clamping, calibrated risk classification, and 5-pillar radar visualization.</w:t>
      </w:r>
    </w:p>
    <w:p>
      <w:pPr>
        <w:pStyle w:val="ListBullet"/>
        <w:spacing w:line="312" w:lineRule="auto" w:after="80"/>
        <w:jc w:val="both"/>
      </w:pPr>
      <w:r>
        <w:rPr>
          <w:rFonts w:ascii="Times New Roman" w:hAnsi="Times New Roman"/>
          <w:b/>
          <w:sz w:val="24"/>
        </w:rPr>
        <w:t xml:space="preserve">4. Financial Health Scorecard: </w:t>
      </w:r>
      <w:r>
        <w:rPr>
          <w:rFonts w:ascii="Times New Roman" w:hAnsi="Times New Roman"/>
          <w:sz w:val="24"/>
        </w:rPr>
        <w:t>Granular pillar-by-pillar score breakdown with actionable remediation tips.</w:t>
      </w:r>
    </w:p>
    <w:p>
      <w:pPr>
        <w:pStyle w:val="ListBullet"/>
        <w:spacing w:line="312" w:lineRule="auto" w:after="80"/>
        <w:jc w:val="both"/>
      </w:pPr>
      <w:r>
        <w:rPr>
          <w:rFonts w:ascii="Times New Roman" w:hAnsi="Times New Roman"/>
          <w:b/>
          <w:sz w:val="24"/>
        </w:rPr>
        <w:t xml:space="preserve">5. Explainable AI (SHAP): </w:t>
      </w:r>
      <w:r>
        <w:rPr>
          <w:rFonts w:ascii="Times New Roman" w:hAnsi="Times New Roman"/>
          <w:sz w:val="24"/>
        </w:rPr>
        <w:t>Global feature importance charts and instance-level directional risk factor attribution graphs.</w:t>
      </w:r>
    </w:p>
    <w:p>
      <w:pPr>
        <w:pStyle w:val="ListBullet"/>
        <w:spacing w:line="312" w:lineRule="auto" w:after="80"/>
        <w:jc w:val="both"/>
      </w:pPr>
      <w:r>
        <w:rPr>
          <w:rFonts w:ascii="Times New Roman" w:hAnsi="Times New Roman"/>
          <w:b/>
          <w:sz w:val="24"/>
        </w:rPr>
        <w:t xml:space="preserve">6. What-If Scenario Simulation: </w:t>
      </w:r>
      <w:r>
        <w:rPr>
          <w:rFonts w:ascii="Times New Roman" w:hAnsi="Times New Roman"/>
          <w:sz w:val="24"/>
        </w:rPr>
        <w:t>Interactive sliders allowing users to model parameter interventions and observe instantaneous probability and health score deltas.</w:t>
      </w:r>
    </w:p>
    <w:p>
      <w:pPr>
        <w:pStyle w:val="ListBullet"/>
        <w:spacing w:line="312" w:lineRule="auto" w:after="80"/>
        <w:jc w:val="both"/>
      </w:pPr>
      <w:r>
        <w:rPr>
          <w:rFonts w:ascii="Times New Roman" w:hAnsi="Times New Roman"/>
          <w:b/>
          <w:sz w:val="24"/>
        </w:rPr>
        <w:t xml:space="preserve">7. Model Performance: </w:t>
      </w:r>
      <w:r>
        <w:rPr>
          <w:rFonts w:ascii="Times New Roman" w:hAnsi="Times New Roman"/>
          <w:sz w:val="24"/>
        </w:rPr>
        <w:t>Empirical cross-validation comparison tables, confusion matrices, and test set ROC-AUC curves.</w:t>
      </w:r>
    </w:p>
    <w:p>
      <w:pPr>
        <w:pStyle w:val="ListBullet"/>
        <w:spacing w:line="312" w:lineRule="auto" w:after="80"/>
        <w:jc w:val="both"/>
      </w:pPr>
      <w:r>
        <w:rPr>
          <w:rFonts w:ascii="Times New Roman" w:hAnsi="Times New Roman"/>
          <w:b/>
          <w:sz w:val="24"/>
        </w:rPr>
        <w:t xml:space="preserve">8. Report Generator: </w:t>
      </w:r>
      <w:r>
        <w:rPr>
          <w:rFonts w:ascii="Times New Roman" w:hAnsi="Times New Roman"/>
          <w:sz w:val="24"/>
        </w:rPr>
        <w:t>One-click dynamic PDF compilation of comprehensive credit assessment reports.</w:t>
      </w:r>
    </w:p>
    <w:p>
      <w:pPr>
        <w:pStyle w:val="ListBullet"/>
        <w:spacing w:line="312" w:lineRule="auto" w:after="80"/>
        <w:jc w:val="both"/>
      </w:pPr>
      <w:r>
        <w:rPr>
          <w:rFonts w:ascii="Times New Roman" w:hAnsi="Times New Roman"/>
          <w:b/>
          <w:sz w:val="24"/>
        </w:rPr>
        <w:t xml:space="preserve">9. Portfolio Database: </w:t>
      </w:r>
      <w:r>
        <w:rPr>
          <w:rFonts w:ascii="Times New Roman" w:hAnsi="Times New Roman"/>
          <w:sz w:val="24"/>
        </w:rPr>
        <w:t>Interactive SQLite table viewer with search, filtering, and record management capabilities.</w:t>
      </w:r>
    </w:p>
    <w:p>
      <w:pPr>
        <w:spacing w:before="320" w:after="120" w:line="276" w:lineRule="auto"/>
        <w:jc w:val="left"/>
      </w:pPr>
      <w:r>
        <w:rPr>
          <w:rFonts w:ascii="Times New Roman" w:hAnsi="Times New Roman"/>
          <w:b/>
          <w:color w:val="000000"/>
          <w:sz w:val="24"/>
        </w:rPr>
        <w:t>7.9 HIGH-THROUGHPUT BATCH PROCESSING ENGINE</w:t>
      </w:r>
    </w:p>
    <w:p>
      <w:pPr>
        <w:spacing w:line="360" w:lineRule="auto" w:after="120"/>
        <w:ind w:firstLine="360"/>
        <w:jc w:val="both"/>
      </w:pPr>
      <w:r>
        <w:rPr>
          <w:rFonts w:ascii="Times New Roman" w:hAnsi="Times New Roman"/>
          <w:sz w:val="24"/>
        </w:rPr>
        <w:t>To support enterprise-scale commercial banking workloads where loan officers evaluate large portfolios, a vectorized batch inference engine was implemented in `app.py`. Traditional row-by-row iteration in Python incurs prohibitive overhead, taking over 45 minutes to process 250,000 records. Our vectorized implementation applies NumPy vectorized array transformations across entire Pandas DataFrames in memory, evaluating 272,650 enterprise profiles in just 0.12 seconds.</w:t>
      </w:r>
    </w:p>
    <w:p>
      <w:pPr>
        <w:spacing w:before="320" w:after="120" w:line="276" w:lineRule="auto"/>
        <w:jc w:val="left"/>
      </w:pPr>
      <w:r>
        <w:rPr>
          <w:rFonts w:ascii="Times New Roman" w:hAnsi="Times New Roman"/>
          <w:b/>
          <w:color w:val="000000"/>
          <w:sz w:val="24"/>
        </w:rPr>
        <w:t>7.10 AUTOMATED REPORTLAB PDF REPORT COMPILATION ENGINE</w:t>
      </w:r>
    </w:p>
    <w:p>
      <w:pPr>
        <w:spacing w:line="360" w:lineRule="auto" w:after="120"/>
        <w:ind w:firstLine="360"/>
        <w:jc w:val="both"/>
      </w:pPr>
      <w:r>
        <w:rPr>
          <w:rFonts w:ascii="Times New Roman" w:hAnsi="Times New Roman"/>
          <w:sz w:val="24"/>
        </w:rPr>
        <w:t>The reporting engine (`src/report.py`) dynamically compiles institutional-grade PDF credit assessment reports using ReportLab. The module structures documents using ReportLab Platypus flowables, incorporating executive summary cards, financial ratio comparison tables, signed SHAP risk factor attributions, underwriter covenant recommendations, and statutory regulatory disclaimers.</w:t>
      </w:r>
    </w:p>
    <w:p>
      <w:pPr>
        <w:spacing w:before="240" w:after="80"/>
        <w:jc w:val="center"/>
      </w:pPr>
      <w:r>
        <w:drawing>
          <wp:inline xmlns:a="http://schemas.openxmlformats.org/drawingml/2006/main" xmlns:pic="http://schemas.openxmlformats.org/drawingml/2006/picture">
            <wp:extent cx="4572000" cy="5978769"/>
            <wp:docPr id="15" name="Picture 15"/>
            <wp:cNvGraphicFramePr>
              <a:graphicFrameLocks noChangeAspect="1"/>
            </wp:cNvGraphicFramePr>
            <a:graphic>
              <a:graphicData uri="http://schemas.openxmlformats.org/drawingml/2006/picture">
                <pic:pic>
                  <pic:nvPicPr>
                    <pic:cNvPr id="0" name="diag_report_pdf.png"/>
                    <pic:cNvPicPr/>
                  </pic:nvPicPr>
                  <pic:blipFill>
                    <a:blip r:embed="rId22"/>
                    <a:stretch>
                      <a:fillRect/>
                    </a:stretch>
                  </pic:blipFill>
                  <pic:spPr>
                    <a:xfrm>
                      <a:off x="0" y="0"/>
                      <a:ext cx="4572000" cy="5978769"/>
                    </a:xfrm>
                    <a:prstGeom prst="rect"/>
                  </pic:spPr>
                </pic:pic>
              </a:graphicData>
            </a:graphic>
          </wp:inline>
        </w:drawing>
      </w:r>
    </w:p>
    <w:p>
      <w:pPr>
        <w:spacing w:after="280"/>
        <w:jc w:val="center"/>
      </w:pPr>
      <w:r>
        <w:rPr>
          <w:rFonts w:ascii="Times New Roman" w:hAnsi="Times New Roman"/>
          <w:b/>
          <w:sz w:val="21"/>
        </w:rPr>
        <w:t>Figure 7.2: Automated ReportLab Institutional PDF Assessment Report</w:t>
      </w:r>
    </w:p>
    <w:p>
      <w:r>
        <w:br w:type="page"/>
      </w:r>
    </w:p>
    <w:p>
      <w:pPr>
        <w:spacing w:before="440" w:after="280" w:line="276" w:lineRule="auto"/>
        <w:jc w:val="center"/>
      </w:pPr>
      <w:r>
        <w:rPr>
          <w:rFonts w:ascii="Times New Roman" w:hAnsi="Times New Roman"/>
          <w:b/>
          <w:color w:val="000000"/>
          <w:sz w:val="36"/>
        </w:rPr>
        <w:t>CHAPTER 8: SOFTWARE TESTING &amp; EMPIRICAL RESULTS</w:t>
      </w:r>
    </w:p>
    <w:p>
      <w:pPr>
        <w:spacing w:before="320" w:after="120" w:line="276" w:lineRule="auto"/>
        <w:jc w:val="left"/>
      </w:pPr>
      <w:r>
        <w:rPr>
          <w:rFonts w:ascii="Times New Roman" w:hAnsi="Times New Roman"/>
          <w:b/>
          <w:color w:val="000000"/>
          <w:sz w:val="24"/>
        </w:rPr>
        <w:t>8.1 TESTING STRATEGY &amp; PYTEST VERIFICATION (7 TEST SUITES)</w:t>
      </w:r>
    </w:p>
    <w:p>
      <w:pPr>
        <w:spacing w:line="360" w:lineRule="auto" w:after="120"/>
        <w:ind w:firstLine="360"/>
        <w:jc w:val="both"/>
      </w:pPr>
      <w:r>
        <w:rPr>
          <w:rFonts w:ascii="Times New Roman" w:hAnsi="Times New Roman"/>
          <w:sz w:val="24"/>
        </w:rPr>
        <w:t>To ensure complete software reliability, numerical stability, and regulatory auditability, the system underwent rigorous automated testing using the PyTest framework (`PYTHONPATH=. pytest`). The test suite encompasses seven dedicated test modules executed against isolated in-memory and temporary SQLite databases with automated teardown fixtures.</w:t>
      </w:r>
    </w:p>
    <w:p>
      <w:pPr>
        <w:spacing w:line="360" w:lineRule="auto" w:after="120"/>
        <w:ind w:firstLine="360"/>
        <w:jc w:val="both"/>
      </w:pPr>
      <w:r>
        <w:rPr>
          <w:rFonts w:ascii="Times New Roman" w:hAnsi="Times New Roman"/>
          <w:sz w:val="24"/>
        </w:rPr>
        <w:t>All seven test suites achieved a 100% pass rate in 0.76 seconds. Table 8.1 details the test execution matrix:</w:t>
      </w:r>
    </w:p>
    <w:tbl>
      <w:tblPr>
        <w:tblW w:type="auto" w:w="0"/>
        <w:jc w:val="center"/>
        <w:tblLook w:firstColumn="1" w:firstRow="1" w:lastColumn="0" w:lastRow="0" w:noHBand="0" w:noVBand="1" w:val="04A0"/>
      </w:tblPr>
      <w:tblGrid>
        <w:gridCol w:w="2167"/>
        <w:gridCol w:w="2167"/>
        <w:gridCol w:w="2167"/>
        <w:gridCol w:w="2167"/>
      </w:tblGrid>
      <w:tr>
        <w:tc>
          <w:tcPr>
            <w:tcW w:type="dxa" w:w="2304"/>
            <w:shd w:fill="E2E8F0"/>
          </w:tcPr>
          <w:p>
            <w:pPr>
              <w:jc w:val="center"/>
            </w:pPr>
            <w:r>
              <w:rPr>
                <w:rFonts w:ascii="Times New Roman" w:hAnsi="Times New Roman"/>
                <w:b/>
                <w:sz w:val="20"/>
              </w:rPr>
              <w:t>Test Module Name</w:t>
            </w:r>
          </w:p>
        </w:tc>
        <w:tc>
          <w:tcPr>
            <w:tcW w:type="dxa" w:w="2880"/>
            <w:shd w:fill="E2E8F0"/>
          </w:tcPr>
          <w:p>
            <w:pPr>
              <w:jc w:val="center"/>
            </w:pPr>
            <w:r>
              <w:rPr>
                <w:rFonts w:ascii="Times New Roman" w:hAnsi="Times New Roman"/>
                <w:b/>
                <w:sz w:val="20"/>
              </w:rPr>
              <w:t>Target Functionality Tested</w:t>
            </w:r>
          </w:p>
        </w:tc>
        <w:tc>
          <w:tcPr>
            <w:tcW w:type="dxa" w:w="3168"/>
            <w:shd w:fill="E2E8F0"/>
          </w:tcPr>
          <w:p>
            <w:pPr>
              <w:jc w:val="center"/>
            </w:pPr>
            <w:r>
              <w:rPr>
                <w:rFonts w:ascii="Times New Roman" w:hAnsi="Times New Roman"/>
                <w:b/>
                <w:sz w:val="20"/>
              </w:rPr>
              <w:t>Verification Criteria &amp; Assertions</w:t>
            </w:r>
          </w:p>
        </w:tc>
        <w:tc>
          <w:tcPr>
            <w:tcW w:type="dxa" w:w="1728"/>
            <w:shd w:fill="E2E8F0"/>
          </w:tcPr>
          <w:p>
            <w:pPr>
              <w:jc w:val="center"/>
            </w:pPr>
            <w:r>
              <w:rPr>
                <w:rFonts w:ascii="Times New Roman" w:hAnsi="Times New Roman"/>
                <w:b/>
                <w:sz w:val="20"/>
              </w:rPr>
              <w:t>Execution Status</w:t>
            </w:r>
          </w:p>
        </w:tc>
      </w:tr>
      <w:tr>
        <w:tc>
          <w:tcPr>
            <w:tcW w:type="dxa" w:w="2304"/>
          </w:tcPr>
          <w:p>
            <w:pPr>
              <w:jc w:val="left"/>
            </w:pPr>
            <w:r>
              <w:rPr>
                <w:rFonts w:ascii="Times New Roman" w:hAnsi="Times New Roman"/>
                <w:sz w:val="19"/>
              </w:rPr>
              <w:t>test_features.py</w:t>
            </w:r>
          </w:p>
        </w:tc>
        <w:tc>
          <w:tcPr>
            <w:tcW w:type="dxa" w:w="2880"/>
          </w:tcPr>
          <w:p>
            <w:pPr>
              <w:jc w:val="left"/>
            </w:pPr>
            <w:r>
              <w:rPr>
                <w:rFonts w:ascii="Times New Roman" w:hAnsi="Times New Roman"/>
                <w:sz w:val="19"/>
              </w:rPr>
              <w:t>Financial ratio calculations</w:t>
            </w:r>
          </w:p>
        </w:tc>
        <w:tc>
          <w:tcPr>
            <w:tcW w:type="dxa" w:w="3168"/>
          </w:tcPr>
          <w:p>
            <w:pPr>
              <w:jc w:val="left"/>
            </w:pPr>
            <w:r>
              <w:rPr>
                <w:rFonts w:ascii="Times New Roman" w:hAnsi="Times New Roman"/>
                <w:sz w:val="19"/>
              </w:rPr>
              <w:t>Validates exact mathematical ratio outputs; zero-division clamps return finite values.</w:t>
            </w:r>
          </w:p>
        </w:tc>
        <w:tc>
          <w:tcPr>
            <w:tcW w:type="dxa" w:w="1728"/>
          </w:tcPr>
          <w:p>
            <w:pPr>
              <w:jc w:val="center"/>
            </w:pPr>
            <w:r>
              <w:rPr>
                <w:rFonts w:ascii="Times New Roman" w:hAnsi="Times New Roman"/>
                <w:sz w:val="19"/>
              </w:rPr>
              <w:t>PASS (100%)</w:t>
            </w:r>
          </w:p>
        </w:tc>
      </w:tr>
      <w:tr>
        <w:tc>
          <w:tcPr>
            <w:tcW w:type="dxa" w:w="2304"/>
            <w:shd w:fill="F8FAFC"/>
          </w:tcPr>
          <w:p>
            <w:pPr>
              <w:jc w:val="left"/>
            </w:pPr>
            <w:r>
              <w:rPr>
                <w:rFonts w:ascii="Times New Roman" w:hAnsi="Times New Roman"/>
                <w:sz w:val="19"/>
              </w:rPr>
              <w:t>test_preprocessing.py</w:t>
            </w:r>
          </w:p>
        </w:tc>
        <w:tc>
          <w:tcPr>
            <w:tcW w:type="dxa" w:w="2880"/>
            <w:shd w:fill="F8FAFC"/>
          </w:tcPr>
          <w:p>
            <w:pPr>
              <w:jc w:val="left"/>
            </w:pPr>
            <w:r>
              <w:rPr>
                <w:rFonts w:ascii="Times New Roman" w:hAnsi="Times New Roman"/>
                <w:sz w:val="19"/>
              </w:rPr>
              <w:t>Input validation &amp; imputer</w:t>
            </w:r>
          </w:p>
        </w:tc>
        <w:tc>
          <w:tcPr>
            <w:tcW w:type="dxa" w:w="3168"/>
            <w:shd w:fill="F8FAFC"/>
          </w:tcPr>
          <w:p>
            <w:pPr>
              <w:jc w:val="left"/>
            </w:pPr>
            <w:r>
              <w:rPr>
                <w:rFonts w:ascii="Times New Roman" w:hAnsi="Times New Roman"/>
                <w:sz w:val="19"/>
              </w:rPr>
              <w:t>Verifies duplicate row dropping, negative bound clipping, and StandardScaler output shape.</w:t>
            </w:r>
          </w:p>
        </w:tc>
        <w:tc>
          <w:tcPr>
            <w:tcW w:type="dxa" w:w="1728"/>
            <w:shd w:fill="F8FAFC"/>
          </w:tcPr>
          <w:p>
            <w:pPr>
              <w:jc w:val="center"/>
            </w:pPr>
            <w:r>
              <w:rPr>
                <w:rFonts w:ascii="Times New Roman" w:hAnsi="Times New Roman"/>
                <w:sz w:val="19"/>
              </w:rPr>
              <w:t>PASS (100%)</w:t>
            </w:r>
          </w:p>
        </w:tc>
      </w:tr>
      <w:tr>
        <w:tc>
          <w:tcPr>
            <w:tcW w:type="dxa" w:w="2304"/>
          </w:tcPr>
          <w:p>
            <w:pPr>
              <w:jc w:val="left"/>
            </w:pPr>
            <w:r>
              <w:rPr>
                <w:rFonts w:ascii="Times New Roman" w:hAnsi="Times New Roman"/>
                <w:sz w:val="19"/>
              </w:rPr>
              <w:t>test_imbalance.py</w:t>
            </w:r>
          </w:p>
        </w:tc>
        <w:tc>
          <w:tcPr>
            <w:tcW w:type="dxa" w:w="2880"/>
          </w:tcPr>
          <w:p>
            <w:pPr>
              <w:jc w:val="left"/>
            </w:pPr>
            <w:r>
              <w:rPr>
                <w:rFonts w:ascii="Times New Roman" w:hAnsi="Times New Roman"/>
                <w:sz w:val="19"/>
              </w:rPr>
              <w:t>SMOTE &amp; ADASYN resampling</w:t>
            </w:r>
          </w:p>
        </w:tc>
        <w:tc>
          <w:tcPr>
            <w:tcW w:type="dxa" w:w="3168"/>
          </w:tcPr>
          <w:p>
            <w:pPr>
              <w:jc w:val="left"/>
            </w:pPr>
            <w:r>
              <w:rPr>
                <w:rFonts w:ascii="Times New Roman" w:hAnsi="Times New Roman"/>
                <w:sz w:val="19"/>
              </w:rPr>
              <w:t>Confirms class balance equalization without shape distortion or target leakage.</w:t>
            </w:r>
          </w:p>
        </w:tc>
        <w:tc>
          <w:tcPr>
            <w:tcW w:type="dxa" w:w="1728"/>
          </w:tcPr>
          <w:p>
            <w:pPr>
              <w:jc w:val="center"/>
            </w:pPr>
            <w:r>
              <w:rPr>
                <w:rFonts w:ascii="Times New Roman" w:hAnsi="Times New Roman"/>
                <w:sz w:val="19"/>
              </w:rPr>
              <w:t>PASS (100%)</w:t>
            </w:r>
          </w:p>
        </w:tc>
      </w:tr>
      <w:tr>
        <w:tc>
          <w:tcPr>
            <w:tcW w:type="dxa" w:w="2304"/>
            <w:shd w:fill="F8FAFC"/>
          </w:tcPr>
          <w:p>
            <w:pPr>
              <w:jc w:val="left"/>
            </w:pPr>
            <w:r>
              <w:rPr>
                <w:rFonts w:ascii="Times New Roman" w:hAnsi="Times New Roman"/>
                <w:sz w:val="19"/>
              </w:rPr>
              <w:t>test_prediction.py</w:t>
            </w:r>
          </w:p>
        </w:tc>
        <w:tc>
          <w:tcPr>
            <w:tcW w:type="dxa" w:w="2880"/>
            <w:shd w:fill="F8FAFC"/>
          </w:tcPr>
          <w:p>
            <w:pPr>
              <w:jc w:val="left"/>
            </w:pPr>
            <w:r>
              <w:rPr>
                <w:rFonts w:ascii="Times New Roman" w:hAnsi="Times New Roman"/>
                <w:sz w:val="19"/>
              </w:rPr>
              <w:t>Model inference &amp; probabilities</w:t>
            </w:r>
          </w:p>
        </w:tc>
        <w:tc>
          <w:tcPr>
            <w:tcW w:type="dxa" w:w="3168"/>
            <w:shd w:fill="F8FAFC"/>
          </w:tcPr>
          <w:p>
            <w:pPr>
              <w:jc w:val="left"/>
            </w:pPr>
            <w:r>
              <w:rPr>
                <w:rFonts w:ascii="Times New Roman" w:hAnsi="Times New Roman"/>
                <w:sz w:val="19"/>
              </w:rPr>
              <w:t>Validates calibrated probabilities sum strictly to 100.0% +/- 0.01% across all classes.</w:t>
            </w:r>
          </w:p>
        </w:tc>
        <w:tc>
          <w:tcPr>
            <w:tcW w:type="dxa" w:w="1728"/>
            <w:shd w:fill="F8FAFC"/>
          </w:tcPr>
          <w:p>
            <w:pPr>
              <w:jc w:val="center"/>
            </w:pPr>
            <w:r>
              <w:rPr>
                <w:rFonts w:ascii="Times New Roman" w:hAnsi="Times New Roman"/>
                <w:sz w:val="19"/>
              </w:rPr>
              <w:t>PASS (100%)</w:t>
            </w:r>
          </w:p>
        </w:tc>
      </w:tr>
      <w:tr>
        <w:tc>
          <w:tcPr>
            <w:tcW w:type="dxa" w:w="2304"/>
          </w:tcPr>
          <w:p>
            <w:pPr>
              <w:jc w:val="left"/>
            </w:pPr>
            <w:r>
              <w:rPr>
                <w:rFonts w:ascii="Times New Roman" w:hAnsi="Times New Roman"/>
                <w:sz w:val="19"/>
              </w:rPr>
              <w:t>test_explain.py</w:t>
            </w:r>
          </w:p>
        </w:tc>
        <w:tc>
          <w:tcPr>
            <w:tcW w:type="dxa" w:w="2880"/>
          </w:tcPr>
          <w:p>
            <w:pPr>
              <w:jc w:val="left"/>
            </w:pPr>
            <w:r>
              <w:rPr>
                <w:rFonts w:ascii="Times New Roman" w:hAnsi="Times New Roman"/>
                <w:sz w:val="19"/>
              </w:rPr>
              <w:t>SHAP attribution consistency</w:t>
            </w:r>
          </w:p>
        </w:tc>
        <w:tc>
          <w:tcPr>
            <w:tcW w:type="dxa" w:w="3168"/>
          </w:tcPr>
          <w:p>
            <w:pPr>
              <w:jc w:val="left"/>
            </w:pPr>
            <w:r>
              <w:rPr>
                <w:rFonts w:ascii="Times New Roman" w:hAnsi="Times New Roman"/>
                <w:sz w:val="19"/>
              </w:rPr>
              <w:t>Confirms local Shapley attributions satisfy local accuracy efficiency axiom.</w:t>
            </w:r>
          </w:p>
        </w:tc>
        <w:tc>
          <w:tcPr>
            <w:tcW w:type="dxa" w:w="1728"/>
          </w:tcPr>
          <w:p>
            <w:pPr>
              <w:jc w:val="center"/>
            </w:pPr>
            <w:r>
              <w:rPr>
                <w:rFonts w:ascii="Times New Roman" w:hAnsi="Times New Roman"/>
                <w:sz w:val="19"/>
              </w:rPr>
              <w:t>PASS (100%)</w:t>
            </w:r>
          </w:p>
        </w:tc>
      </w:tr>
      <w:tr>
        <w:tc>
          <w:tcPr>
            <w:tcW w:type="dxa" w:w="2304"/>
            <w:shd w:fill="F8FAFC"/>
          </w:tcPr>
          <w:p>
            <w:pPr>
              <w:jc w:val="left"/>
            </w:pPr>
            <w:r>
              <w:rPr>
                <w:rFonts w:ascii="Times New Roman" w:hAnsi="Times New Roman"/>
                <w:sz w:val="19"/>
              </w:rPr>
              <w:t>test_health.py</w:t>
            </w:r>
          </w:p>
        </w:tc>
        <w:tc>
          <w:tcPr>
            <w:tcW w:type="dxa" w:w="2880"/>
            <w:shd w:fill="F8FAFC"/>
          </w:tcPr>
          <w:p>
            <w:pPr>
              <w:jc w:val="left"/>
            </w:pPr>
            <w:r>
              <w:rPr>
                <w:rFonts w:ascii="Times New Roman" w:hAnsi="Times New Roman"/>
                <w:sz w:val="19"/>
              </w:rPr>
              <w:t>5-pillar health score engine</w:t>
            </w:r>
          </w:p>
        </w:tc>
        <w:tc>
          <w:tcPr>
            <w:tcW w:type="dxa" w:w="3168"/>
            <w:shd w:fill="F8FAFC"/>
          </w:tcPr>
          <w:p>
            <w:pPr>
              <w:jc w:val="left"/>
            </w:pPr>
            <w:r>
              <w:rPr>
                <w:rFonts w:ascii="Times New Roman" w:hAnsi="Times New Roman"/>
                <w:sz w:val="19"/>
              </w:rPr>
              <w:t>Validates pillar point boundaries, score monotonicity, and letter grade mappings.</w:t>
            </w:r>
          </w:p>
        </w:tc>
        <w:tc>
          <w:tcPr>
            <w:tcW w:type="dxa" w:w="1728"/>
            <w:shd w:fill="F8FAFC"/>
          </w:tcPr>
          <w:p>
            <w:pPr>
              <w:jc w:val="center"/>
            </w:pPr>
            <w:r>
              <w:rPr>
                <w:rFonts w:ascii="Times New Roman" w:hAnsi="Times New Roman"/>
                <w:sz w:val="19"/>
              </w:rPr>
              <w:t>PASS (100%)</w:t>
            </w:r>
          </w:p>
        </w:tc>
      </w:tr>
      <w:tr>
        <w:tc>
          <w:tcPr>
            <w:tcW w:type="dxa" w:w="2304"/>
          </w:tcPr>
          <w:p>
            <w:pPr>
              <w:jc w:val="left"/>
            </w:pPr>
            <w:r>
              <w:rPr>
                <w:rFonts w:ascii="Times New Roman" w:hAnsi="Times New Roman"/>
                <w:sz w:val="19"/>
              </w:rPr>
              <w:t>test_database.py</w:t>
            </w:r>
          </w:p>
        </w:tc>
        <w:tc>
          <w:tcPr>
            <w:tcW w:type="dxa" w:w="2880"/>
          </w:tcPr>
          <w:p>
            <w:pPr>
              <w:jc w:val="left"/>
            </w:pPr>
            <w:r>
              <w:rPr>
                <w:rFonts w:ascii="Times New Roman" w:hAnsi="Times New Roman"/>
                <w:sz w:val="19"/>
              </w:rPr>
              <w:t>SQLite CRUD &amp; cascading foreign keys</w:t>
            </w:r>
          </w:p>
        </w:tc>
        <w:tc>
          <w:tcPr>
            <w:tcW w:type="dxa" w:w="3168"/>
          </w:tcPr>
          <w:p>
            <w:pPr>
              <w:jc w:val="left"/>
            </w:pPr>
            <w:r>
              <w:rPr>
                <w:rFonts w:ascii="Times New Roman" w:hAnsi="Times New Roman"/>
                <w:sz w:val="19"/>
              </w:rPr>
              <w:t>Tests schema creation, parameterized insert, query filtering, and CASCADE deletions.</w:t>
            </w:r>
          </w:p>
        </w:tc>
        <w:tc>
          <w:tcPr>
            <w:tcW w:type="dxa" w:w="1728"/>
          </w:tcPr>
          <w:p>
            <w:pPr>
              <w:jc w:val="center"/>
            </w:pPr>
            <w:r>
              <w:rPr>
                <w:rFonts w:ascii="Times New Roman" w:hAnsi="Times New Roman"/>
                <w:sz w:val="19"/>
              </w:rPr>
              <w:t>PASS (100%)</w:t>
            </w:r>
          </w:p>
        </w:tc>
      </w:tr>
    </w:tbl>
    <w:p>
      <w:pPr>
        <w:spacing w:before="320" w:after="120" w:line="276" w:lineRule="auto"/>
        <w:jc w:val="left"/>
      </w:pPr>
      <w:r>
        <w:rPr>
          <w:rFonts w:ascii="Times New Roman" w:hAnsi="Times New Roman"/>
          <w:b/>
          <w:color w:val="000000"/>
          <w:sz w:val="24"/>
        </w:rPr>
        <w:t>8.2 TEST CASES &amp; EXECUTION SUMMARY TABLE</w:t>
      </w:r>
    </w:p>
    <w:p>
      <w:pPr>
        <w:spacing w:line="360" w:lineRule="auto" w:after="120"/>
        <w:ind w:firstLine="360"/>
        <w:jc w:val="both"/>
      </w:pPr>
      <w:r>
        <w:rPr>
          <w:rFonts w:ascii="Times New Roman" w:hAnsi="Times New Roman"/>
          <w:sz w:val="24"/>
        </w:rPr>
        <w:t>Boundary edge-case testing confirmed that extreme applicant profiles—such as pre-revenue startups (Revenue = 0), debt-free applicants (Debt = 0), and high-default borrowers (Defaults = 10)—execute cleanly without software crashes or unhandled exceptions.</w:t>
      </w:r>
    </w:p>
    <w:p>
      <w:pPr>
        <w:spacing w:before="320" w:after="120" w:line="276" w:lineRule="auto"/>
        <w:jc w:val="left"/>
      </w:pPr>
      <w:r>
        <w:rPr>
          <w:rFonts w:ascii="Times New Roman" w:hAnsi="Times New Roman"/>
          <w:b/>
          <w:color w:val="000000"/>
          <w:sz w:val="24"/>
        </w:rPr>
        <w:t>8.3 EMPIRICAL CROSS-VALIDATION MODEL COMPARISON MATRIX</w:t>
      </w:r>
    </w:p>
    <w:p>
      <w:pPr>
        <w:spacing w:line="360" w:lineRule="auto" w:after="120"/>
        <w:ind w:firstLine="360"/>
        <w:jc w:val="both"/>
      </w:pPr>
      <w:r>
        <w:rPr>
          <w:rFonts w:ascii="Times New Roman" w:hAnsi="Times New Roman"/>
          <w:sz w:val="24"/>
        </w:rPr>
        <w:t>Model selection was conducted through Stratified 5-Fold Cross-Validation across the 1,200 training instances. Table 8.2 presents the empirical cross-validation performance comparison across candidate classifiers and resampling strategies:</w:t>
      </w:r>
    </w:p>
    <w:tbl>
      <w:tblPr>
        <w:tblW w:type="auto" w:w="0"/>
        <w:jc w:val="center"/>
        <w:tblLook w:firstColumn="1" w:firstRow="1" w:lastColumn="0" w:lastRow="0" w:noHBand="0" w:noVBand="1" w:val="04A0"/>
      </w:tblPr>
      <w:tblGrid>
        <w:gridCol w:w="2167"/>
        <w:gridCol w:w="2167"/>
        <w:gridCol w:w="2167"/>
        <w:gridCol w:w="2167"/>
      </w:tblGrid>
      <w:tr>
        <w:tc>
          <w:tcPr>
            <w:tcW w:type="dxa" w:w="2880"/>
            <w:shd w:fill="E2E8F0"/>
          </w:tcPr>
          <w:p>
            <w:pPr>
              <w:jc w:val="center"/>
            </w:pPr>
            <w:r>
              <w:rPr>
                <w:rFonts w:ascii="Times New Roman" w:hAnsi="Times New Roman"/>
                <w:b/>
                <w:sz w:val="20"/>
              </w:rPr>
              <w:t>Candidate Model Architecture</w:t>
            </w:r>
          </w:p>
        </w:tc>
        <w:tc>
          <w:tcPr>
            <w:tcW w:type="dxa" w:w="2592"/>
            <w:shd w:fill="E2E8F0"/>
          </w:tcPr>
          <w:p>
            <w:pPr>
              <w:jc w:val="center"/>
            </w:pPr>
            <w:r>
              <w:rPr>
                <w:rFonts w:ascii="Times New Roman" w:hAnsi="Times New Roman"/>
                <w:b/>
                <w:sz w:val="20"/>
              </w:rPr>
              <w:t>Resampling Strategy Evaluated</w:t>
            </w:r>
          </w:p>
        </w:tc>
        <w:tc>
          <w:tcPr>
            <w:tcW w:type="dxa" w:w="2448"/>
            <w:shd w:fill="E2E8F0"/>
          </w:tcPr>
          <w:p>
            <w:pPr>
              <w:jc w:val="center"/>
            </w:pPr>
            <w:r>
              <w:rPr>
                <w:rFonts w:ascii="Times New Roman" w:hAnsi="Times New Roman"/>
                <w:b/>
                <w:sz w:val="20"/>
              </w:rPr>
              <w:t>CV Macro F1-Score</w:t>
            </w:r>
          </w:p>
        </w:tc>
        <w:tc>
          <w:tcPr>
            <w:tcW w:type="dxa" w:w="2448"/>
            <w:shd w:fill="E2E8F0"/>
          </w:tcPr>
          <w:p>
            <w:pPr>
              <w:jc w:val="center"/>
            </w:pPr>
            <w:r>
              <w:rPr>
                <w:rFonts w:ascii="Times New Roman" w:hAnsi="Times New Roman"/>
                <w:b/>
                <w:sz w:val="20"/>
              </w:rPr>
              <w:t>CV Accuracy</w:t>
            </w:r>
          </w:p>
        </w:tc>
      </w:tr>
      <w:tr>
        <w:tc>
          <w:tcPr>
            <w:tcW w:type="dxa" w:w="2880"/>
          </w:tcPr>
          <w:p>
            <w:pPr>
              <w:jc w:val="left"/>
            </w:pPr>
            <w:r>
              <w:rPr>
                <w:rFonts w:ascii="Times New Roman" w:hAnsi="Times New Roman"/>
                <w:sz w:val="19"/>
              </w:rPr>
              <w:t>Logistic Regression (Champion)</w:t>
            </w:r>
          </w:p>
        </w:tc>
        <w:tc>
          <w:tcPr>
            <w:tcW w:type="dxa" w:w="2592"/>
          </w:tcPr>
          <w:p>
            <w:pPr>
              <w:jc w:val="center"/>
            </w:pPr>
            <w:r>
              <w:rPr>
                <w:rFonts w:ascii="Times New Roman" w:hAnsi="Times New Roman"/>
                <w:sz w:val="19"/>
              </w:rPr>
              <w:t>NONE (Baseline)</w:t>
            </w:r>
          </w:p>
        </w:tc>
        <w:tc>
          <w:tcPr>
            <w:tcW w:type="dxa" w:w="2448"/>
          </w:tcPr>
          <w:p>
            <w:pPr>
              <w:jc w:val="center"/>
            </w:pPr>
            <w:r>
              <w:rPr>
                <w:rFonts w:ascii="Times New Roman" w:hAnsi="Times New Roman"/>
                <w:sz w:val="19"/>
              </w:rPr>
              <w:t>0.8671</w:t>
            </w:r>
          </w:p>
        </w:tc>
        <w:tc>
          <w:tcPr>
            <w:tcW w:type="dxa" w:w="2448"/>
          </w:tcPr>
          <w:p>
            <w:pPr>
              <w:jc w:val="center"/>
            </w:pPr>
            <w:r>
              <w:rPr>
                <w:rFonts w:ascii="Times New Roman" w:hAnsi="Times New Roman"/>
                <w:sz w:val="19"/>
              </w:rPr>
              <w:t>88.92%</w:t>
            </w:r>
          </w:p>
        </w:tc>
      </w:tr>
      <w:tr>
        <w:tc>
          <w:tcPr>
            <w:tcW w:type="dxa" w:w="2880"/>
            <w:shd w:fill="F8FAFC"/>
          </w:tcPr>
          <w:p>
            <w:pPr>
              <w:jc w:val="left"/>
            </w:pPr>
            <w:r>
              <w:rPr>
                <w:rFonts w:ascii="Times New Roman" w:hAnsi="Times New Roman"/>
                <w:sz w:val="19"/>
              </w:rPr>
              <w:t>Logistic Regression</w:t>
            </w:r>
          </w:p>
        </w:tc>
        <w:tc>
          <w:tcPr>
            <w:tcW w:type="dxa" w:w="2592"/>
            <w:shd w:fill="F8FAFC"/>
          </w:tcPr>
          <w:p>
            <w:pPr>
              <w:jc w:val="center"/>
            </w:pPr>
            <w:r>
              <w:rPr>
                <w:rFonts w:ascii="Times New Roman" w:hAnsi="Times New Roman"/>
                <w:sz w:val="19"/>
              </w:rPr>
              <w:t>SMOTE</w:t>
            </w:r>
          </w:p>
        </w:tc>
        <w:tc>
          <w:tcPr>
            <w:tcW w:type="dxa" w:w="2448"/>
            <w:shd w:fill="F8FAFC"/>
          </w:tcPr>
          <w:p>
            <w:pPr>
              <w:jc w:val="center"/>
            </w:pPr>
            <w:r>
              <w:rPr>
                <w:rFonts w:ascii="Times New Roman" w:hAnsi="Times New Roman"/>
                <w:sz w:val="19"/>
              </w:rPr>
              <w:t>0.8555</w:t>
            </w:r>
          </w:p>
        </w:tc>
        <w:tc>
          <w:tcPr>
            <w:tcW w:type="dxa" w:w="2448"/>
            <w:shd w:fill="F8FAFC"/>
          </w:tcPr>
          <w:p>
            <w:pPr>
              <w:jc w:val="center"/>
            </w:pPr>
            <w:r>
              <w:rPr>
                <w:rFonts w:ascii="Times New Roman" w:hAnsi="Times New Roman"/>
                <w:sz w:val="19"/>
              </w:rPr>
              <w:t>87.08%</w:t>
            </w:r>
          </w:p>
        </w:tc>
      </w:tr>
      <w:tr>
        <w:tc>
          <w:tcPr>
            <w:tcW w:type="dxa" w:w="2880"/>
          </w:tcPr>
          <w:p>
            <w:pPr>
              <w:jc w:val="left"/>
            </w:pPr>
            <w:r>
              <w:rPr>
                <w:rFonts w:ascii="Times New Roman" w:hAnsi="Times New Roman"/>
                <w:sz w:val="19"/>
              </w:rPr>
              <w:t>Logistic Regression</w:t>
            </w:r>
          </w:p>
        </w:tc>
        <w:tc>
          <w:tcPr>
            <w:tcW w:type="dxa" w:w="2592"/>
          </w:tcPr>
          <w:p>
            <w:pPr>
              <w:jc w:val="center"/>
            </w:pPr>
            <w:r>
              <w:rPr>
                <w:rFonts w:ascii="Times New Roman" w:hAnsi="Times New Roman"/>
                <w:sz w:val="19"/>
              </w:rPr>
              <w:t>ADASYN</w:t>
            </w:r>
          </w:p>
        </w:tc>
        <w:tc>
          <w:tcPr>
            <w:tcW w:type="dxa" w:w="2448"/>
          </w:tcPr>
          <w:p>
            <w:pPr>
              <w:jc w:val="center"/>
            </w:pPr>
            <w:r>
              <w:rPr>
                <w:rFonts w:ascii="Times New Roman" w:hAnsi="Times New Roman"/>
                <w:sz w:val="19"/>
              </w:rPr>
              <w:t>0.8533</w:t>
            </w:r>
          </w:p>
        </w:tc>
        <w:tc>
          <w:tcPr>
            <w:tcW w:type="dxa" w:w="2448"/>
          </w:tcPr>
          <w:p>
            <w:pPr>
              <w:jc w:val="center"/>
            </w:pPr>
            <w:r>
              <w:rPr>
                <w:rFonts w:ascii="Times New Roman" w:hAnsi="Times New Roman"/>
                <w:sz w:val="19"/>
              </w:rPr>
              <w:t>87.00%</w:t>
            </w:r>
          </w:p>
        </w:tc>
      </w:tr>
      <w:tr>
        <w:tc>
          <w:tcPr>
            <w:tcW w:type="dxa" w:w="2880"/>
            <w:shd w:fill="F8FAFC"/>
          </w:tcPr>
          <w:p>
            <w:pPr>
              <w:jc w:val="left"/>
            </w:pPr>
            <w:r>
              <w:rPr>
                <w:rFonts w:ascii="Times New Roman" w:hAnsi="Times New Roman"/>
                <w:sz w:val="19"/>
              </w:rPr>
              <w:t>Random Forest (100 Trees)</w:t>
            </w:r>
          </w:p>
        </w:tc>
        <w:tc>
          <w:tcPr>
            <w:tcW w:type="dxa" w:w="2592"/>
            <w:shd w:fill="F8FAFC"/>
          </w:tcPr>
          <w:p>
            <w:pPr>
              <w:jc w:val="center"/>
            </w:pPr>
            <w:r>
              <w:rPr>
                <w:rFonts w:ascii="Times New Roman" w:hAnsi="Times New Roman"/>
                <w:sz w:val="19"/>
              </w:rPr>
              <w:t>NONE (Baseline)</w:t>
            </w:r>
          </w:p>
        </w:tc>
        <w:tc>
          <w:tcPr>
            <w:tcW w:type="dxa" w:w="2448"/>
            <w:shd w:fill="F8FAFC"/>
          </w:tcPr>
          <w:p>
            <w:pPr>
              <w:jc w:val="center"/>
            </w:pPr>
            <w:r>
              <w:rPr>
                <w:rFonts w:ascii="Times New Roman" w:hAnsi="Times New Roman"/>
                <w:sz w:val="19"/>
              </w:rPr>
              <w:t>0.8094</w:t>
            </w:r>
          </w:p>
        </w:tc>
        <w:tc>
          <w:tcPr>
            <w:tcW w:type="dxa" w:w="2448"/>
            <w:shd w:fill="F8FAFC"/>
          </w:tcPr>
          <w:p>
            <w:pPr>
              <w:jc w:val="center"/>
            </w:pPr>
            <w:r>
              <w:rPr>
                <w:rFonts w:ascii="Times New Roman" w:hAnsi="Times New Roman"/>
                <w:sz w:val="19"/>
              </w:rPr>
              <w:t>83.92%</w:t>
            </w:r>
          </w:p>
        </w:tc>
      </w:tr>
      <w:tr>
        <w:tc>
          <w:tcPr>
            <w:tcW w:type="dxa" w:w="2880"/>
          </w:tcPr>
          <w:p>
            <w:pPr>
              <w:jc w:val="left"/>
            </w:pPr>
            <w:r>
              <w:rPr>
                <w:rFonts w:ascii="Times New Roman" w:hAnsi="Times New Roman"/>
                <w:sz w:val="19"/>
              </w:rPr>
              <w:t>Random Forest (100 Trees)</w:t>
            </w:r>
          </w:p>
        </w:tc>
        <w:tc>
          <w:tcPr>
            <w:tcW w:type="dxa" w:w="2592"/>
          </w:tcPr>
          <w:p>
            <w:pPr>
              <w:jc w:val="center"/>
            </w:pPr>
            <w:r>
              <w:rPr>
                <w:rFonts w:ascii="Times New Roman" w:hAnsi="Times New Roman"/>
                <w:sz w:val="19"/>
              </w:rPr>
              <w:t>ADASYN</w:t>
            </w:r>
          </w:p>
        </w:tc>
        <w:tc>
          <w:tcPr>
            <w:tcW w:type="dxa" w:w="2448"/>
          </w:tcPr>
          <w:p>
            <w:pPr>
              <w:jc w:val="center"/>
            </w:pPr>
            <w:r>
              <w:rPr>
                <w:rFonts w:ascii="Times New Roman" w:hAnsi="Times New Roman"/>
                <w:sz w:val="19"/>
              </w:rPr>
              <w:t>0.8040</w:t>
            </w:r>
          </w:p>
        </w:tc>
        <w:tc>
          <w:tcPr>
            <w:tcW w:type="dxa" w:w="2448"/>
          </w:tcPr>
          <w:p>
            <w:pPr>
              <w:jc w:val="center"/>
            </w:pPr>
            <w:r>
              <w:rPr>
                <w:rFonts w:ascii="Times New Roman" w:hAnsi="Times New Roman"/>
                <w:sz w:val="19"/>
              </w:rPr>
              <w:t>82.83%</w:t>
            </w:r>
          </w:p>
        </w:tc>
      </w:tr>
      <w:tr>
        <w:tc>
          <w:tcPr>
            <w:tcW w:type="dxa" w:w="2880"/>
            <w:shd w:fill="F8FAFC"/>
          </w:tcPr>
          <w:p>
            <w:pPr>
              <w:jc w:val="left"/>
            </w:pPr>
            <w:r>
              <w:rPr>
                <w:rFonts w:ascii="Times New Roman" w:hAnsi="Times New Roman"/>
                <w:sz w:val="19"/>
              </w:rPr>
              <w:t>Random Forest (100 Trees)</w:t>
            </w:r>
          </w:p>
        </w:tc>
        <w:tc>
          <w:tcPr>
            <w:tcW w:type="dxa" w:w="2592"/>
            <w:shd w:fill="F8FAFC"/>
          </w:tcPr>
          <w:p>
            <w:pPr>
              <w:jc w:val="center"/>
            </w:pPr>
            <w:r>
              <w:rPr>
                <w:rFonts w:ascii="Times New Roman" w:hAnsi="Times New Roman"/>
                <w:sz w:val="19"/>
              </w:rPr>
              <w:t>SMOTE</w:t>
            </w:r>
          </w:p>
        </w:tc>
        <w:tc>
          <w:tcPr>
            <w:tcW w:type="dxa" w:w="2448"/>
            <w:shd w:fill="F8FAFC"/>
          </w:tcPr>
          <w:p>
            <w:pPr>
              <w:jc w:val="center"/>
            </w:pPr>
            <w:r>
              <w:rPr>
                <w:rFonts w:ascii="Times New Roman" w:hAnsi="Times New Roman"/>
                <w:sz w:val="19"/>
              </w:rPr>
              <w:t>0.7968</w:t>
            </w:r>
          </w:p>
        </w:tc>
        <w:tc>
          <w:tcPr>
            <w:tcW w:type="dxa" w:w="2448"/>
            <w:shd w:fill="F8FAFC"/>
          </w:tcPr>
          <w:p>
            <w:pPr>
              <w:jc w:val="center"/>
            </w:pPr>
            <w:r>
              <w:rPr>
                <w:rFonts w:ascii="Times New Roman" w:hAnsi="Times New Roman"/>
                <w:sz w:val="19"/>
              </w:rPr>
              <w:t>82.33%</w:t>
            </w:r>
          </w:p>
        </w:tc>
      </w:tr>
      <w:tr>
        <w:tc>
          <w:tcPr>
            <w:tcW w:type="dxa" w:w="2880"/>
          </w:tcPr>
          <w:p>
            <w:pPr>
              <w:jc w:val="left"/>
            </w:pPr>
            <w:r>
              <w:rPr>
                <w:rFonts w:ascii="Times New Roman" w:hAnsi="Times New Roman"/>
                <w:sz w:val="19"/>
              </w:rPr>
              <w:t>Decision Tree (Pruned)</w:t>
            </w:r>
          </w:p>
        </w:tc>
        <w:tc>
          <w:tcPr>
            <w:tcW w:type="dxa" w:w="2592"/>
          </w:tcPr>
          <w:p>
            <w:pPr>
              <w:jc w:val="center"/>
            </w:pPr>
            <w:r>
              <w:rPr>
                <w:rFonts w:ascii="Times New Roman" w:hAnsi="Times New Roman"/>
                <w:sz w:val="19"/>
              </w:rPr>
              <w:t>ADASYN</w:t>
            </w:r>
          </w:p>
        </w:tc>
        <w:tc>
          <w:tcPr>
            <w:tcW w:type="dxa" w:w="2448"/>
          </w:tcPr>
          <w:p>
            <w:pPr>
              <w:jc w:val="center"/>
            </w:pPr>
            <w:r>
              <w:rPr>
                <w:rFonts w:ascii="Times New Roman" w:hAnsi="Times New Roman"/>
                <w:sz w:val="19"/>
              </w:rPr>
              <w:t>0.7799</w:t>
            </w:r>
          </w:p>
        </w:tc>
        <w:tc>
          <w:tcPr>
            <w:tcW w:type="dxa" w:w="2448"/>
          </w:tcPr>
          <w:p>
            <w:pPr>
              <w:jc w:val="center"/>
            </w:pPr>
            <w:r>
              <w:rPr>
                <w:rFonts w:ascii="Times New Roman" w:hAnsi="Times New Roman"/>
                <w:sz w:val="19"/>
              </w:rPr>
              <w:t>80.92%</w:t>
            </w:r>
          </w:p>
        </w:tc>
      </w:tr>
      <w:tr>
        <w:tc>
          <w:tcPr>
            <w:tcW w:type="dxa" w:w="2880"/>
            <w:shd w:fill="F8FAFC"/>
          </w:tcPr>
          <w:p>
            <w:pPr>
              <w:jc w:val="left"/>
            </w:pPr>
            <w:r>
              <w:rPr>
                <w:rFonts w:ascii="Times New Roman" w:hAnsi="Times New Roman"/>
                <w:sz w:val="19"/>
              </w:rPr>
              <w:t>Decision Tree (Pruned)</w:t>
            </w:r>
          </w:p>
        </w:tc>
        <w:tc>
          <w:tcPr>
            <w:tcW w:type="dxa" w:w="2592"/>
            <w:shd w:fill="F8FAFC"/>
          </w:tcPr>
          <w:p>
            <w:pPr>
              <w:jc w:val="center"/>
            </w:pPr>
            <w:r>
              <w:rPr>
                <w:rFonts w:ascii="Times New Roman" w:hAnsi="Times New Roman"/>
                <w:sz w:val="19"/>
              </w:rPr>
              <w:t>SMOTE</w:t>
            </w:r>
          </w:p>
        </w:tc>
        <w:tc>
          <w:tcPr>
            <w:tcW w:type="dxa" w:w="2448"/>
            <w:shd w:fill="F8FAFC"/>
          </w:tcPr>
          <w:p>
            <w:pPr>
              <w:jc w:val="center"/>
            </w:pPr>
            <w:r>
              <w:rPr>
                <w:rFonts w:ascii="Times New Roman" w:hAnsi="Times New Roman"/>
                <w:sz w:val="19"/>
              </w:rPr>
              <w:t>0.7756</w:t>
            </w:r>
          </w:p>
        </w:tc>
        <w:tc>
          <w:tcPr>
            <w:tcW w:type="dxa" w:w="2448"/>
            <w:shd w:fill="F8FAFC"/>
          </w:tcPr>
          <w:p>
            <w:pPr>
              <w:jc w:val="center"/>
            </w:pPr>
            <w:r>
              <w:rPr>
                <w:rFonts w:ascii="Times New Roman" w:hAnsi="Times New Roman"/>
                <w:sz w:val="19"/>
              </w:rPr>
              <w:t>80.08%</w:t>
            </w:r>
          </w:p>
        </w:tc>
      </w:tr>
      <w:tr>
        <w:tc>
          <w:tcPr>
            <w:tcW w:type="dxa" w:w="2880"/>
          </w:tcPr>
          <w:p>
            <w:pPr>
              <w:jc w:val="left"/>
            </w:pPr>
            <w:r>
              <w:rPr>
                <w:rFonts w:ascii="Times New Roman" w:hAnsi="Times New Roman"/>
                <w:sz w:val="19"/>
              </w:rPr>
              <w:t>Decision Tree (Pruned)</w:t>
            </w:r>
          </w:p>
        </w:tc>
        <w:tc>
          <w:tcPr>
            <w:tcW w:type="dxa" w:w="2592"/>
          </w:tcPr>
          <w:p>
            <w:pPr>
              <w:jc w:val="center"/>
            </w:pPr>
            <w:r>
              <w:rPr>
                <w:rFonts w:ascii="Times New Roman" w:hAnsi="Times New Roman"/>
                <w:sz w:val="19"/>
              </w:rPr>
              <w:t>NONE (Baseline)</w:t>
            </w:r>
          </w:p>
        </w:tc>
        <w:tc>
          <w:tcPr>
            <w:tcW w:type="dxa" w:w="2448"/>
          </w:tcPr>
          <w:p>
            <w:pPr>
              <w:jc w:val="center"/>
            </w:pPr>
            <w:r>
              <w:rPr>
                <w:rFonts w:ascii="Times New Roman" w:hAnsi="Times New Roman"/>
                <w:sz w:val="19"/>
              </w:rPr>
              <w:t>0.7559</w:t>
            </w:r>
          </w:p>
        </w:tc>
        <w:tc>
          <w:tcPr>
            <w:tcW w:type="dxa" w:w="2448"/>
          </w:tcPr>
          <w:p>
            <w:pPr>
              <w:jc w:val="center"/>
            </w:pPr>
            <w:r>
              <w:rPr>
                <w:rFonts w:ascii="Times New Roman" w:hAnsi="Times New Roman"/>
                <w:sz w:val="19"/>
              </w:rPr>
              <w:t>80.00%</w:t>
            </w:r>
          </w:p>
        </w:tc>
      </w:tr>
    </w:tbl>
    <w:p>
      <w:pPr>
        <w:spacing w:before="240" w:after="80"/>
        <w:jc w:val="center"/>
      </w:pPr>
      <w:r>
        <w:drawing>
          <wp:inline xmlns:a="http://schemas.openxmlformats.org/drawingml/2006/main" xmlns:pic="http://schemas.openxmlformats.org/drawingml/2006/picture">
            <wp:extent cx="4754880" cy="2660469"/>
            <wp:docPr id="16" name="Picture 16"/>
            <wp:cNvGraphicFramePr>
              <a:graphicFrameLocks noChangeAspect="1"/>
            </wp:cNvGraphicFramePr>
            <a:graphic>
              <a:graphicData uri="http://schemas.openxmlformats.org/drawingml/2006/picture">
                <pic:pic>
                  <pic:nvPicPr>
                    <pic:cNvPr id="0" name="diag5_results_visual.png"/>
                    <pic:cNvPicPr/>
                  </pic:nvPicPr>
                  <pic:blipFill>
                    <a:blip r:embed="rId23"/>
                    <a:stretch>
                      <a:fillRect/>
                    </a:stretch>
                  </pic:blipFill>
                  <pic:spPr>
                    <a:xfrm>
                      <a:off x="0" y="0"/>
                      <a:ext cx="4754880" cy="2660469"/>
                    </a:xfrm>
                    <a:prstGeom prst="rect"/>
                  </pic:spPr>
                </pic:pic>
              </a:graphicData>
            </a:graphic>
          </wp:inline>
        </w:drawing>
      </w:r>
    </w:p>
    <w:p>
      <w:pPr>
        <w:spacing w:after="280"/>
        <w:jc w:val="center"/>
      </w:pPr>
      <w:r>
        <w:rPr>
          <w:rFonts w:ascii="Times New Roman" w:hAnsi="Times New Roman"/>
          <w:b/>
          <w:sz w:val="21"/>
        </w:rPr>
        <w:t>Figure 8.1: Cross-Validation Benchmarking and Confusion Matrix on Test Set</w:t>
      </w:r>
    </w:p>
    <w:p>
      <w:pPr>
        <w:spacing w:line="360" w:lineRule="auto" w:after="120"/>
        <w:ind w:firstLine="360"/>
        <w:jc w:val="both"/>
      </w:pPr>
      <w:r>
        <w:rPr>
          <w:rFonts w:ascii="Times New Roman" w:hAnsi="Times New Roman"/>
          <w:sz w:val="24"/>
        </w:rPr>
        <w:t>Crucially, empirical results demonstrate that regularized Multinomial Logistic Regression outperforms complex non-linear tree ensembles on normalized financial ratio space. Because financial ratios (such as DTI and Profit Margin) are inherently continuous and monotonic with respect to default risk, a calibrated linear model with L2 regularization captures the underlying risk geometry more reliably than axis-aligned tree splits, avoiding overfitting.</w:t>
      </w:r>
    </w:p>
    <w:p>
      <w:pPr>
        <w:spacing w:before="320" w:after="120" w:line="276" w:lineRule="auto"/>
        <w:jc w:val="left"/>
      </w:pPr>
      <w:r>
        <w:rPr>
          <w:rFonts w:ascii="Times New Roman" w:hAnsi="Times New Roman"/>
          <w:b/>
          <w:color w:val="000000"/>
          <w:sz w:val="24"/>
        </w:rPr>
        <w:t>8.4 UNBIASED TEST SET PERFORMANCE EVALUATION &amp; CONFUSION MATRIX</w:t>
      </w:r>
    </w:p>
    <w:p>
      <w:pPr>
        <w:spacing w:line="360" w:lineRule="auto" w:after="120"/>
        <w:ind w:firstLine="360"/>
        <w:jc w:val="both"/>
      </w:pPr>
      <w:r>
        <w:rPr>
          <w:rFonts w:ascii="Times New Roman" w:hAnsi="Times New Roman"/>
          <w:sz w:val="24"/>
        </w:rPr>
        <w:t>The champion Logistic Regression model was subsequently evaluated against the quarantined, untouched 300-sample test set. The model achieved a Test Accuracy of 86.33%, a Test F1-Macro of 0.8344, a Macro Precision of 0.8468, a Macro Recall of 0.8236, and an Area Under the ROC Curve (ROC-AUC) of 0.9680.</w:t>
      </w:r>
    </w:p>
    <w:p>
      <w:pPr>
        <w:spacing w:line="360" w:lineRule="auto" w:after="120"/>
        <w:ind w:firstLine="360"/>
        <w:jc w:val="both"/>
      </w:pPr>
      <w:r>
        <w:rPr>
          <w:rFonts w:ascii="Times New Roman" w:hAnsi="Times New Roman"/>
          <w:sz w:val="24"/>
        </w:rPr>
        <w:t>Table 8.3 presents the class-wise performance breakdown across the test set:</w:t>
      </w:r>
    </w:p>
    <w:tbl>
      <w:tblPr>
        <w:tblW w:type="auto" w:w="0"/>
        <w:jc w:val="center"/>
        <w:tblLook w:firstColumn="1" w:firstRow="1" w:lastColumn="0" w:lastRow="0" w:noHBand="0" w:noVBand="1" w:val="04A0"/>
      </w:tblPr>
      <w:tblGrid>
        <w:gridCol w:w="2167"/>
        <w:gridCol w:w="2167"/>
        <w:gridCol w:w="2167"/>
        <w:gridCol w:w="2167"/>
      </w:tblGrid>
      <w:tr>
        <w:tc>
          <w:tcPr>
            <w:tcW w:type="dxa" w:w="2592"/>
            <w:shd w:fill="E2E8F0"/>
          </w:tcPr>
          <w:p>
            <w:pPr>
              <w:jc w:val="center"/>
            </w:pPr>
            <w:r>
              <w:rPr>
                <w:rFonts w:ascii="Times New Roman" w:hAnsi="Times New Roman"/>
                <w:b/>
                <w:sz w:val="20"/>
              </w:rPr>
              <w:t>Target Risk Class</w:t>
            </w:r>
          </w:p>
        </w:tc>
        <w:tc>
          <w:tcPr>
            <w:tcW w:type="dxa" w:w="2592"/>
            <w:shd w:fill="E2E8F0"/>
          </w:tcPr>
          <w:p>
            <w:pPr>
              <w:jc w:val="center"/>
            </w:pPr>
            <w:r>
              <w:rPr>
                <w:rFonts w:ascii="Times New Roman" w:hAnsi="Times New Roman"/>
                <w:b/>
                <w:sz w:val="20"/>
              </w:rPr>
              <w:t>Test Precision</w:t>
            </w:r>
          </w:p>
        </w:tc>
        <w:tc>
          <w:tcPr>
            <w:tcW w:type="dxa" w:w="2592"/>
            <w:shd w:fill="E2E8F0"/>
          </w:tcPr>
          <w:p>
            <w:pPr>
              <w:jc w:val="center"/>
            </w:pPr>
            <w:r>
              <w:rPr>
                <w:rFonts w:ascii="Times New Roman" w:hAnsi="Times New Roman"/>
                <w:b/>
                <w:sz w:val="20"/>
              </w:rPr>
              <w:t>Test Recall</w:t>
            </w:r>
          </w:p>
        </w:tc>
        <w:tc>
          <w:tcPr>
            <w:tcW w:type="dxa" w:w="2592"/>
            <w:shd w:fill="E2E8F0"/>
          </w:tcPr>
          <w:p>
            <w:pPr>
              <w:jc w:val="center"/>
            </w:pPr>
            <w:r>
              <w:rPr>
                <w:rFonts w:ascii="Times New Roman" w:hAnsi="Times New Roman"/>
                <w:b/>
                <w:sz w:val="20"/>
              </w:rPr>
              <w:t>Test F1-Score</w:t>
            </w:r>
          </w:p>
        </w:tc>
      </w:tr>
      <w:tr>
        <w:tc>
          <w:tcPr>
            <w:tcW w:type="dxa" w:w="2592"/>
          </w:tcPr>
          <w:p>
            <w:pPr>
              <w:jc w:val="left"/>
            </w:pPr>
            <w:r>
              <w:rPr>
                <w:rFonts w:ascii="Times New Roman" w:hAnsi="Times New Roman"/>
                <w:sz w:val="19"/>
              </w:rPr>
              <w:t>LOW RISK (Class 0)</w:t>
            </w:r>
          </w:p>
        </w:tc>
        <w:tc>
          <w:tcPr>
            <w:tcW w:type="dxa" w:w="2592"/>
          </w:tcPr>
          <w:p>
            <w:pPr>
              <w:jc w:val="center"/>
            </w:pPr>
            <w:r>
              <w:rPr>
                <w:rFonts w:ascii="Times New Roman" w:hAnsi="Times New Roman"/>
                <w:sz w:val="19"/>
              </w:rPr>
              <w:t>90.61%</w:t>
            </w:r>
          </w:p>
        </w:tc>
        <w:tc>
          <w:tcPr>
            <w:tcW w:type="dxa" w:w="2592"/>
          </w:tcPr>
          <w:p>
            <w:pPr>
              <w:jc w:val="center"/>
            </w:pPr>
            <w:r>
              <w:rPr>
                <w:rFonts w:ascii="Times New Roman" w:hAnsi="Times New Roman"/>
                <w:sz w:val="19"/>
              </w:rPr>
              <w:t>94.25%</w:t>
            </w:r>
          </w:p>
        </w:tc>
        <w:tc>
          <w:tcPr>
            <w:tcW w:type="dxa" w:w="2592"/>
          </w:tcPr>
          <w:p>
            <w:pPr>
              <w:jc w:val="center"/>
            </w:pPr>
            <w:r>
              <w:rPr>
                <w:rFonts w:ascii="Times New Roman" w:hAnsi="Times New Roman"/>
                <w:sz w:val="19"/>
              </w:rPr>
              <w:t>0.9239</w:t>
            </w:r>
          </w:p>
        </w:tc>
      </w:tr>
      <w:tr>
        <w:tc>
          <w:tcPr>
            <w:tcW w:type="dxa" w:w="2592"/>
            <w:shd w:fill="F8FAFC"/>
          </w:tcPr>
          <w:p>
            <w:pPr>
              <w:jc w:val="left"/>
            </w:pPr>
            <w:r>
              <w:rPr>
                <w:rFonts w:ascii="Times New Roman" w:hAnsi="Times New Roman"/>
                <w:sz w:val="19"/>
              </w:rPr>
              <w:t>MEDIUM RISK (Class 1)</w:t>
            </w:r>
          </w:p>
        </w:tc>
        <w:tc>
          <w:tcPr>
            <w:tcW w:type="dxa" w:w="2592"/>
            <w:shd w:fill="F8FAFC"/>
          </w:tcPr>
          <w:p>
            <w:pPr>
              <w:jc w:val="center"/>
            </w:pPr>
            <w:r>
              <w:rPr>
                <w:rFonts w:ascii="Times New Roman" w:hAnsi="Times New Roman"/>
                <w:sz w:val="19"/>
              </w:rPr>
              <w:t>75.64%</w:t>
            </w:r>
          </w:p>
        </w:tc>
        <w:tc>
          <w:tcPr>
            <w:tcW w:type="dxa" w:w="2592"/>
            <w:shd w:fill="F8FAFC"/>
          </w:tcPr>
          <w:p>
            <w:pPr>
              <w:jc w:val="center"/>
            </w:pPr>
            <w:r>
              <w:rPr>
                <w:rFonts w:ascii="Times New Roman" w:hAnsi="Times New Roman"/>
                <w:sz w:val="19"/>
              </w:rPr>
              <w:t>72.84%</w:t>
            </w:r>
          </w:p>
        </w:tc>
        <w:tc>
          <w:tcPr>
            <w:tcW w:type="dxa" w:w="2592"/>
            <w:shd w:fill="F8FAFC"/>
          </w:tcPr>
          <w:p>
            <w:pPr>
              <w:jc w:val="center"/>
            </w:pPr>
            <w:r>
              <w:rPr>
                <w:rFonts w:ascii="Times New Roman" w:hAnsi="Times New Roman"/>
                <w:sz w:val="19"/>
              </w:rPr>
              <w:t>0.7421</w:t>
            </w:r>
          </w:p>
        </w:tc>
      </w:tr>
      <w:tr>
        <w:tc>
          <w:tcPr>
            <w:tcW w:type="dxa" w:w="2592"/>
          </w:tcPr>
          <w:p>
            <w:pPr>
              <w:jc w:val="left"/>
            </w:pPr>
            <w:r>
              <w:rPr>
                <w:rFonts w:ascii="Times New Roman" w:hAnsi="Times New Roman"/>
                <w:sz w:val="19"/>
              </w:rPr>
              <w:t>HIGH RISK (Class 2)</w:t>
            </w:r>
          </w:p>
        </w:tc>
        <w:tc>
          <w:tcPr>
            <w:tcW w:type="dxa" w:w="2592"/>
          </w:tcPr>
          <w:p>
            <w:pPr>
              <w:jc w:val="center"/>
            </w:pPr>
            <w:r>
              <w:rPr>
                <w:rFonts w:ascii="Times New Roman" w:hAnsi="Times New Roman"/>
                <w:sz w:val="19"/>
              </w:rPr>
              <w:t>87.80%</w:t>
            </w:r>
          </w:p>
        </w:tc>
        <w:tc>
          <w:tcPr>
            <w:tcW w:type="dxa" w:w="2592"/>
          </w:tcPr>
          <w:p>
            <w:pPr>
              <w:jc w:val="center"/>
            </w:pPr>
            <w:r>
              <w:rPr>
                <w:rFonts w:ascii="Times New Roman" w:hAnsi="Times New Roman"/>
                <w:sz w:val="19"/>
              </w:rPr>
              <w:t>80.00%</w:t>
            </w:r>
          </w:p>
        </w:tc>
        <w:tc>
          <w:tcPr>
            <w:tcW w:type="dxa" w:w="2592"/>
          </w:tcPr>
          <w:p>
            <w:pPr>
              <w:jc w:val="center"/>
            </w:pPr>
            <w:r>
              <w:rPr>
                <w:rFonts w:ascii="Times New Roman" w:hAnsi="Times New Roman"/>
                <w:sz w:val="19"/>
              </w:rPr>
              <w:t>0.8372</w:t>
            </w:r>
          </w:p>
        </w:tc>
      </w:tr>
      <w:tr>
        <w:tc>
          <w:tcPr>
            <w:tcW w:type="dxa" w:w="2592"/>
            <w:shd w:fill="F8FAFC"/>
          </w:tcPr>
          <w:p>
            <w:pPr>
              <w:jc w:val="left"/>
            </w:pPr>
            <w:r>
              <w:rPr>
                <w:rFonts w:ascii="Times New Roman" w:hAnsi="Times New Roman"/>
                <w:sz w:val="19"/>
              </w:rPr>
              <w:t>MACRO AVERAGE</w:t>
            </w:r>
          </w:p>
        </w:tc>
        <w:tc>
          <w:tcPr>
            <w:tcW w:type="dxa" w:w="2592"/>
            <w:shd w:fill="F8FAFC"/>
          </w:tcPr>
          <w:p>
            <w:pPr>
              <w:jc w:val="center"/>
            </w:pPr>
            <w:r>
              <w:rPr>
                <w:rFonts w:ascii="Times New Roman" w:hAnsi="Times New Roman"/>
                <w:sz w:val="19"/>
              </w:rPr>
              <w:t>84.68%</w:t>
            </w:r>
          </w:p>
        </w:tc>
        <w:tc>
          <w:tcPr>
            <w:tcW w:type="dxa" w:w="2592"/>
            <w:shd w:fill="F8FAFC"/>
          </w:tcPr>
          <w:p>
            <w:pPr>
              <w:jc w:val="center"/>
            </w:pPr>
            <w:r>
              <w:rPr>
                <w:rFonts w:ascii="Times New Roman" w:hAnsi="Times New Roman"/>
                <w:sz w:val="19"/>
              </w:rPr>
              <w:t>82.36%</w:t>
            </w:r>
          </w:p>
        </w:tc>
        <w:tc>
          <w:tcPr>
            <w:tcW w:type="dxa" w:w="2592"/>
            <w:shd w:fill="F8FAFC"/>
          </w:tcPr>
          <w:p>
            <w:pPr>
              <w:jc w:val="center"/>
            </w:pPr>
            <w:r>
              <w:rPr>
                <w:rFonts w:ascii="Times New Roman" w:hAnsi="Times New Roman"/>
                <w:sz w:val="19"/>
              </w:rPr>
              <w:t>0.8344</w:t>
            </w:r>
          </w:p>
        </w:tc>
      </w:tr>
    </w:tbl>
    <w:p>
      <w:pPr>
        <w:spacing w:before="240" w:after="80"/>
        <w:jc w:val="center"/>
      </w:pPr>
      <w:r>
        <w:drawing>
          <wp:inline xmlns:a="http://schemas.openxmlformats.org/drawingml/2006/main" xmlns:pic="http://schemas.openxmlformats.org/drawingml/2006/picture">
            <wp:extent cx="4572000" cy="3165231"/>
            <wp:docPr id="17" name="Picture 17"/>
            <wp:cNvGraphicFramePr>
              <a:graphicFrameLocks noChangeAspect="1"/>
            </wp:cNvGraphicFramePr>
            <a:graphic>
              <a:graphicData uri="http://schemas.openxmlformats.org/drawingml/2006/picture">
                <pic:pic>
                  <pic:nvPicPr>
                    <pic:cNvPr id="0" name="diag_roc_curve.png"/>
                    <pic:cNvPicPr/>
                  </pic:nvPicPr>
                  <pic:blipFill>
                    <a:blip r:embed="rId24"/>
                    <a:stretch>
                      <a:fillRect/>
                    </a:stretch>
                  </pic:blipFill>
                  <pic:spPr>
                    <a:xfrm>
                      <a:off x="0" y="0"/>
                      <a:ext cx="4572000" cy="3165231"/>
                    </a:xfrm>
                    <a:prstGeom prst="rect"/>
                  </pic:spPr>
                </pic:pic>
              </a:graphicData>
            </a:graphic>
          </wp:inline>
        </w:drawing>
      </w:r>
    </w:p>
    <w:p>
      <w:pPr>
        <w:spacing w:after="280"/>
        <w:jc w:val="center"/>
      </w:pPr>
      <w:r>
        <w:rPr>
          <w:rFonts w:ascii="Times New Roman" w:hAnsi="Times New Roman"/>
          <w:b/>
          <w:sz w:val="21"/>
        </w:rPr>
        <w:t>Figure 8.3: Multi-Class One-vs-Rest ROC Curves and PR Frontiers</w:t>
      </w:r>
    </w:p>
    <w:p>
      <w:pPr>
        <w:spacing w:line="360" w:lineRule="auto" w:after="120"/>
        <w:ind w:firstLine="360"/>
        <w:jc w:val="both"/>
      </w:pPr>
      <w:r>
        <w:rPr>
          <w:rFonts w:ascii="Times New Roman" w:hAnsi="Times New Roman"/>
          <w:sz w:val="24"/>
        </w:rPr>
        <w:t>The confusion matrix on the 300 test samples demonstrates robust classification boundaries: 164 of 174 Low Risk enterprises were correctly identified (94.25% recall); 59 of 81 Medium Risk enterprises were correctly classified; and 36 of 45 High Risk enterprises were correctly flagged (80.00% recall). Crucially, zero High Risk applicants were misclassified into the Low Risk category—a vital safeguard against lending default losses.</w:t>
      </w:r>
    </w:p>
    <w:p>
      <w:pPr>
        <w:spacing w:before="320" w:after="120" w:line="276" w:lineRule="auto"/>
        <w:jc w:val="left"/>
      </w:pPr>
      <w:r>
        <w:rPr>
          <w:rFonts w:ascii="Times New Roman" w:hAnsi="Times New Roman"/>
          <w:b/>
          <w:color w:val="000000"/>
          <w:sz w:val="24"/>
        </w:rPr>
        <w:t>8.5 MODEL INTERPRETABILITY ANALYSIS (GLOBAL &amp; LOCAL SHAP)</w:t>
      </w:r>
    </w:p>
    <w:p>
      <w:pPr>
        <w:spacing w:line="360" w:lineRule="auto" w:after="120"/>
        <w:ind w:firstLine="360"/>
        <w:jc w:val="both"/>
      </w:pPr>
      <w:r>
        <w:rPr>
          <w:rFonts w:ascii="Times New Roman" w:hAnsi="Times New Roman"/>
          <w:sz w:val="24"/>
        </w:rPr>
        <w:t>SHAP explainability analysis revealed that Debt-to-Income (DTI), Previous Defaults, and Credit Utilization represent the strongest global drivers pushing predictions toward HIGH risk, whereas Operating Profit Margin, Business Age, and Repayment Score push predictions toward LOW risk.</w:t>
      </w:r>
    </w:p>
    <w:p>
      <w:pPr>
        <w:spacing w:before="240" w:after="80"/>
        <w:jc w:val="center"/>
      </w:pPr>
      <w:r>
        <w:drawing>
          <wp:inline xmlns:a="http://schemas.openxmlformats.org/drawingml/2006/main" xmlns:pic="http://schemas.openxmlformats.org/drawingml/2006/picture">
            <wp:extent cx="4754880" cy="2535936"/>
            <wp:docPr id="18" name="Picture 18"/>
            <wp:cNvGraphicFramePr>
              <a:graphicFrameLocks noChangeAspect="1"/>
            </wp:cNvGraphicFramePr>
            <a:graphic>
              <a:graphicData uri="http://schemas.openxmlformats.org/drawingml/2006/picture">
                <pic:pic>
                  <pic:nvPicPr>
                    <pic:cNvPr id="0" name="diag_shap_force.png"/>
                    <pic:cNvPicPr/>
                  </pic:nvPicPr>
                  <pic:blipFill>
                    <a:blip r:embed="rId25"/>
                    <a:stretch>
                      <a:fillRect/>
                    </a:stretch>
                  </pic:blipFill>
                  <pic:spPr>
                    <a:xfrm>
                      <a:off x="0" y="0"/>
                      <a:ext cx="4754880" cy="2535936"/>
                    </a:xfrm>
                    <a:prstGeom prst="rect"/>
                  </pic:spPr>
                </pic:pic>
              </a:graphicData>
            </a:graphic>
          </wp:inline>
        </w:drawing>
      </w:r>
    </w:p>
    <w:p>
      <w:pPr>
        <w:spacing w:after="280"/>
        <w:jc w:val="center"/>
      </w:pPr>
      <w:r>
        <w:rPr>
          <w:rFonts w:ascii="Times New Roman" w:hAnsi="Times New Roman"/>
          <w:b/>
          <w:sz w:val="21"/>
        </w:rPr>
        <w:t>Figure 8.2: Granular Instance-Level SHAP Feature Attribution Spectrum</w:t>
      </w:r>
    </w:p>
    <w:p>
      <w:pPr>
        <w:spacing w:line="360" w:lineRule="auto" w:after="120"/>
        <w:ind w:firstLine="360"/>
        <w:jc w:val="both"/>
      </w:pPr>
      <w:r>
        <w:rPr>
          <w:rFonts w:ascii="Times New Roman" w:hAnsi="Times New Roman"/>
          <w:sz w:val="24"/>
        </w:rPr>
        <w:t>At the local instance level, individual risk attributions provide underwriters with exact mathematical justifications, eliminating arbitrary credit decisions and fully satisfying RBI Fair Lending compliance.</w:t>
      </w:r>
    </w:p>
    <w:p>
      <w:pPr>
        <w:spacing w:before="320" w:after="120" w:line="276" w:lineRule="auto"/>
        <w:jc w:val="left"/>
      </w:pPr>
      <w:r>
        <w:rPr>
          <w:rFonts w:ascii="Times New Roman" w:hAnsi="Times New Roman"/>
          <w:b/>
          <w:color w:val="000000"/>
          <w:sz w:val="24"/>
        </w:rPr>
        <w:t>8.6 SCALABILITY &amp; LATENCY STRESS TESTING</w:t>
      </w:r>
    </w:p>
    <w:p>
      <w:pPr>
        <w:spacing w:line="360" w:lineRule="auto" w:after="120"/>
        <w:ind w:firstLine="360"/>
        <w:jc w:val="both"/>
      </w:pPr>
      <w:r>
        <w:rPr>
          <w:rFonts w:ascii="Times New Roman" w:hAnsi="Times New Roman"/>
          <w:sz w:val="24"/>
        </w:rPr>
        <w:t>Table 8.4 documents the execution latency of the vectorized batch inference engine across increasing dataset scales:</w:t>
      </w:r>
    </w:p>
    <w:tbl>
      <w:tblPr>
        <w:tblW w:type="auto" w:w="0"/>
        <w:jc w:val="center"/>
        <w:tblLook w:firstColumn="1" w:firstRow="1" w:lastColumn="0" w:lastRow="0" w:noHBand="0" w:noVBand="1" w:val="04A0"/>
      </w:tblPr>
      <w:tblGrid>
        <w:gridCol w:w="2167"/>
        <w:gridCol w:w="2167"/>
        <w:gridCol w:w="2167"/>
        <w:gridCol w:w="2167"/>
      </w:tblGrid>
      <w:tr>
        <w:tc>
          <w:tcPr>
            <w:tcW w:type="dxa" w:w="2592"/>
            <w:shd w:fill="E2E8F0"/>
          </w:tcPr>
          <w:p>
            <w:pPr>
              <w:jc w:val="center"/>
            </w:pPr>
            <w:r>
              <w:rPr>
                <w:rFonts w:ascii="Times New Roman" w:hAnsi="Times New Roman"/>
                <w:b/>
                <w:sz w:val="20"/>
              </w:rPr>
              <w:t>Dataset Row Count</w:t>
            </w:r>
          </w:p>
        </w:tc>
        <w:tc>
          <w:tcPr>
            <w:tcW w:type="dxa" w:w="2592"/>
            <w:shd w:fill="E2E8F0"/>
          </w:tcPr>
          <w:p>
            <w:pPr>
              <w:jc w:val="center"/>
            </w:pPr>
            <w:r>
              <w:rPr>
                <w:rFonts w:ascii="Times New Roman" w:hAnsi="Times New Roman"/>
                <w:b/>
                <w:sz w:val="20"/>
              </w:rPr>
              <w:t>Inference Latency</w:t>
            </w:r>
          </w:p>
        </w:tc>
        <w:tc>
          <w:tcPr>
            <w:tcW w:type="dxa" w:w="2592"/>
            <w:shd w:fill="E2E8F0"/>
          </w:tcPr>
          <w:p>
            <w:pPr>
              <w:jc w:val="center"/>
            </w:pPr>
            <w:r>
              <w:rPr>
                <w:rFonts w:ascii="Times New Roman" w:hAnsi="Times New Roman"/>
                <w:b/>
                <w:sz w:val="20"/>
              </w:rPr>
              <w:t>Throughput (Rows/Sec)</w:t>
            </w:r>
          </w:p>
        </w:tc>
        <w:tc>
          <w:tcPr>
            <w:tcW w:type="dxa" w:w="2592"/>
            <w:shd w:fill="E2E8F0"/>
          </w:tcPr>
          <w:p>
            <w:pPr>
              <w:jc w:val="center"/>
            </w:pPr>
            <w:r>
              <w:rPr>
                <w:rFonts w:ascii="Times New Roman" w:hAnsi="Times New Roman"/>
                <w:b/>
                <w:sz w:val="20"/>
              </w:rPr>
              <w:t>Memory Footprint</w:t>
            </w:r>
          </w:p>
        </w:tc>
      </w:tr>
      <w:tr>
        <w:tc>
          <w:tcPr>
            <w:tcW w:type="dxa" w:w="2592"/>
          </w:tcPr>
          <w:p>
            <w:pPr>
              <w:jc w:val="left"/>
            </w:pPr>
            <w:r>
              <w:rPr>
                <w:rFonts w:ascii="Times New Roman" w:hAnsi="Times New Roman"/>
                <w:sz w:val="19"/>
              </w:rPr>
              <w:t>1,000 Records</w:t>
            </w:r>
          </w:p>
        </w:tc>
        <w:tc>
          <w:tcPr>
            <w:tcW w:type="dxa" w:w="2592"/>
          </w:tcPr>
          <w:p>
            <w:pPr>
              <w:jc w:val="center"/>
            </w:pPr>
            <w:r>
              <w:rPr>
                <w:rFonts w:ascii="Times New Roman" w:hAnsi="Times New Roman"/>
                <w:sz w:val="19"/>
              </w:rPr>
              <w:t>0.004 Seconds</w:t>
            </w:r>
          </w:p>
        </w:tc>
        <w:tc>
          <w:tcPr>
            <w:tcW w:type="dxa" w:w="2592"/>
          </w:tcPr>
          <w:p>
            <w:pPr>
              <w:jc w:val="center"/>
            </w:pPr>
            <w:r>
              <w:rPr>
                <w:rFonts w:ascii="Times New Roman" w:hAnsi="Times New Roman"/>
                <w:sz w:val="19"/>
              </w:rPr>
              <w:t>250,000 rows/sec</w:t>
            </w:r>
          </w:p>
        </w:tc>
        <w:tc>
          <w:tcPr>
            <w:tcW w:type="dxa" w:w="2592"/>
          </w:tcPr>
          <w:p>
            <w:pPr>
              <w:jc w:val="center"/>
            </w:pPr>
            <w:r>
              <w:rPr>
                <w:rFonts w:ascii="Times New Roman" w:hAnsi="Times New Roman"/>
                <w:sz w:val="19"/>
              </w:rPr>
              <w:t>12 MB RAM</w:t>
            </w:r>
          </w:p>
        </w:tc>
      </w:tr>
      <w:tr>
        <w:tc>
          <w:tcPr>
            <w:tcW w:type="dxa" w:w="2592"/>
            <w:shd w:fill="F8FAFC"/>
          </w:tcPr>
          <w:p>
            <w:pPr>
              <w:jc w:val="left"/>
            </w:pPr>
            <w:r>
              <w:rPr>
                <w:rFonts w:ascii="Times New Roman" w:hAnsi="Times New Roman"/>
                <w:sz w:val="19"/>
              </w:rPr>
              <w:t>10,000 Records</w:t>
            </w:r>
          </w:p>
        </w:tc>
        <w:tc>
          <w:tcPr>
            <w:tcW w:type="dxa" w:w="2592"/>
            <w:shd w:fill="F8FAFC"/>
          </w:tcPr>
          <w:p>
            <w:pPr>
              <w:jc w:val="center"/>
            </w:pPr>
            <w:r>
              <w:rPr>
                <w:rFonts w:ascii="Times New Roman" w:hAnsi="Times New Roman"/>
                <w:sz w:val="19"/>
              </w:rPr>
              <w:t>0.012 Seconds</w:t>
            </w:r>
          </w:p>
        </w:tc>
        <w:tc>
          <w:tcPr>
            <w:tcW w:type="dxa" w:w="2592"/>
            <w:shd w:fill="F8FAFC"/>
          </w:tcPr>
          <w:p>
            <w:pPr>
              <w:jc w:val="center"/>
            </w:pPr>
            <w:r>
              <w:rPr>
                <w:rFonts w:ascii="Times New Roman" w:hAnsi="Times New Roman"/>
                <w:sz w:val="19"/>
              </w:rPr>
              <w:t>833,333 rows/sec</w:t>
            </w:r>
          </w:p>
        </w:tc>
        <w:tc>
          <w:tcPr>
            <w:tcW w:type="dxa" w:w="2592"/>
            <w:shd w:fill="F8FAFC"/>
          </w:tcPr>
          <w:p>
            <w:pPr>
              <w:jc w:val="center"/>
            </w:pPr>
            <w:r>
              <w:rPr>
                <w:rFonts w:ascii="Times New Roman" w:hAnsi="Times New Roman"/>
                <w:sz w:val="19"/>
              </w:rPr>
              <w:t>28 MB RAM</w:t>
            </w:r>
          </w:p>
        </w:tc>
      </w:tr>
      <w:tr>
        <w:tc>
          <w:tcPr>
            <w:tcW w:type="dxa" w:w="2592"/>
          </w:tcPr>
          <w:p>
            <w:pPr>
              <w:jc w:val="left"/>
            </w:pPr>
            <w:r>
              <w:rPr>
                <w:rFonts w:ascii="Times New Roman" w:hAnsi="Times New Roman"/>
                <w:sz w:val="19"/>
              </w:rPr>
              <w:t>50,000 Records</w:t>
            </w:r>
          </w:p>
        </w:tc>
        <w:tc>
          <w:tcPr>
            <w:tcW w:type="dxa" w:w="2592"/>
          </w:tcPr>
          <w:p>
            <w:pPr>
              <w:jc w:val="center"/>
            </w:pPr>
            <w:r>
              <w:rPr>
                <w:rFonts w:ascii="Times New Roman" w:hAnsi="Times New Roman"/>
                <w:sz w:val="19"/>
              </w:rPr>
              <w:t>0.038 Seconds</w:t>
            </w:r>
          </w:p>
        </w:tc>
        <w:tc>
          <w:tcPr>
            <w:tcW w:type="dxa" w:w="2592"/>
          </w:tcPr>
          <w:p>
            <w:pPr>
              <w:jc w:val="center"/>
            </w:pPr>
            <w:r>
              <w:rPr>
                <w:rFonts w:ascii="Times New Roman" w:hAnsi="Times New Roman"/>
                <w:sz w:val="19"/>
              </w:rPr>
              <w:t>1,315,789 rows/sec</w:t>
            </w:r>
          </w:p>
        </w:tc>
        <w:tc>
          <w:tcPr>
            <w:tcW w:type="dxa" w:w="2592"/>
          </w:tcPr>
          <w:p>
            <w:pPr>
              <w:jc w:val="center"/>
            </w:pPr>
            <w:r>
              <w:rPr>
                <w:rFonts w:ascii="Times New Roman" w:hAnsi="Times New Roman"/>
                <w:sz w:val="19"/>
              </w:rPr>
              <w:t>64 MB RAM</w:t>
            </w:r>
          </w:p>
        </w:tc>
      </w:tr>
      <w:tr>
        <w:tc>
          <w:tcPr>
            <w:tcW w:type="dxa" w:w="2592"/>
            <w:shd w:fill="F8FAFC"/>
          </w:tcPr>
          <w:p>
            <w:pPr>
              <w:jc w:val="left"/>
            </w:pPr>
            <w:r>
              <w:rPr>
                <w:rFonts w:ascii="Times New Roman" w:hAnsi="Times New Roman"/>
                <w:sz w:val="19"/>
              </w:rPr>
              <w:t>272,650 Records</w:t>
            </w:r>
          </w:p>
        </w:tc>
        <w:tc>
          <w:tcPr>
            <w:tcW w:type="dxa" w:w="2592"/>
            <w:shd w:fill="F8FAFC"/>
          </w:tcPr>
          <w:p>
            <w:pPr>
              <w:jc w:val="center"/>
            </w:pPr>
            <w:r>
              <w:rPr>
                <w:rFonts w:ascii="Times New Roman" w:hAnsi="Times New Roman"/>
                <w:sz w:val="19"/>
              </w:rPr>
              <w:t>0.124 Seconds</w:t>
            </w:r>
          </w:p>
        </w:tc>
        <w:tc>
          <w:tcPr>
            <w:tcW w:type="dxa" w:w="2592"/>
            <w:shd w:fill="F8FAFC"/>
          </w:tcPr>
          <w:p>
            <w:pPr>
              <w:jc w:val="center"/>
            </w:pPr>
            <w:r>
              <w:rPr>
                <w:rFonts w:ascii="Times New Roman" w:hAnsi="Times New Roman"/>
                <w:sz w:val="19"/>
              </w:rPr>
              <w:t>2,198,790 rows/sec</w:t>
            </w:r>
          </w:p>
        </w:tc>
        <w:tc>
          <w:tcPr>
            <w:tcW w:type="dxa" w:w="2592"/>
            <w:shd w:fill="F8FAFC"/>
          </w:tcPr>
          <w:p>
            <w:pPr>
              <w:jc w:val="center"/>
            </w:pPr>
            <w:r>
              <w:rPr>
                <w:rFonts w:ascii="Times New Roman" w:hAnsi="Times New Roman"/>
                <w:sz w:val="19"/>
              </w:rPr>
              <w:t>185 MB RAM</w:t>
            </w:r>
          </w:p>
        </w:tc>
      </w:tr>
    </w:tbl>
    <w:p>
      <w:r>
        <w:br w:type="page"/>
      </w:r>
    </w:p>
    <w:p>
      <w:pPr>
        <w:spacing w:before="440" w:after="280" w:line="276" w:lineRule="auto"/>
        <w:jc w:val="center"/>
      </w:pPr>
      <w:r>
        <w:rPr>
          <w:rFonts w:ascii="Times New Roman" w:hAnsi="Times New Roman"/>
          <w:b/>
          <w:color w:val="000000"/>
          <w:sz w:val="36"/>
        </w:rPr>
        <w:t>CHAPTER 9: CONCLUSION AND FUTURE WORK</w:t>
      </w:r>
    </w:p>
    <w:p>
      <w:pPr>
        <w:spacing w:before="320" w:after="120" w:line="276" w:lineRule="auto"/>
        <w:jc w:val="left"/>
      </w:pPr>
      <w:r>
        <w:rPr>
          <w:rFonts w:ascii="Times New Roman" w:hAnsi="Times New Roman"/>
          <w:b/>
          <w:color w:val="000000"/>
          <w:sz w:val="24"/>
        </w:rPr>
        <w:t>9.1 COMPREHENSIVE SUMMARY OF CONTRIBUTIONS</w:t>
      </w:r>
    </w:p>
    <w:p>
      <w:pPr>
        <w:spacing w:line="360" w:lineRule="auto" w:after="120"/>
        <w:ind w:firstLine="360"/>
        <w:jc w:val="both"/>
      </w:pPr>
      <w:r>
        <w:rPr>
          <w:rFonts w:ascii="Times New Roman" w:hAnsi="Times New Roman"/>
          <w:sz w:val="24"/>
        </w:rPr>
        <w:t>This undergraduate dissertation has designed, developed, and empirically validated the 'AI-Based MSME Credit Risk Assistant'—an explainable, decision-support machine learning platform addressing the systemic credit deficit facing small enterprises. The project has accomplished six distinct engineering and research contributions:</w:t>
      </w:r>
    </w:p>
    <w:p>
      <w:pPr>
        <w:pStyle w:val="ListBullet"/>
        <w:spacing w:line="312" w:lineRule="auto" w:after="80"/>
        <w:jc w:val="both"/>
      </w:pPr>
      <w:r>
        <w:rPr>
          <w:rFonts w:ascii="Times New Roman" w:hAnsi="Times New Roman"/>
          <w:b/>
          <w:sz w:val="24"/>
        </w:rPr>
        <w:t xml:space="preserve">1. Operationalized PREDICT → EXPLAIN → SIMULATE → IMPROVE: </w:t>
      </w:r>
      <w:r>
        <w:rPr>
          <w:rFonts w:ascii="Times New Roman" w:hAnsi="Times New Roman"/>
          <w:sz w:val="24"/>
        </w:rPr>
        <w:t>Engineered an end-to-end framework transforming credit assessment from an opaque, terminal rejection into a transparent, diagnostic turnaround roadmap.</w:t>
      </w:r>
    </w:p>
    <w:p>
      <w:pPr>
        <w:pStyle w:val="ListBullet"/>
        <w:spacing w:line="312" w:lineRule="auto" w:after="80"/>
        <w:jc w:val="both"/>
      </w:pPr>
      <w:r>
        <w:rPr>
          <w:rFonts w:ascii="Times New Roman" w:hAnsi="Times New Roman"/>
          <w:b/>
          <w:sz w:val="24"/>
        </w:rPr>
        <w:t xml:space="preserve">2. Leakage-Free Preprocessing Architecture: </w:t>
      </w:r>
      <w:r>
        <w:rPr>
          <w:rFonts w:ascii="Times New Roman" w:hAnsi="Times New Roman"/>
          <w:sz w:val="24"/>
        </w:rPr>
        <w:t>Validated financial feature engineering and resampling protocols (SMOTE/ADASYN) strictly within cross-validation loops, guaranteeing zero optimistic evaluation bias.</w:t>
      </w:r>
    </w:p>
    <w:p>
      <w:pPr>
        <w:pStyle w:val="ListBullet"/>
        <w:spacing w:line="312" w:lineRule="auto" w:after="80"/>
        <w:jc w:val="both"/>
      </w:pPr>
      <w:r>
        <w:rPr>
          <w:rFonts w:ascii="Times New Roman" w:hAnsi="Times New Roman"/>
          <w:b/>
          <w:sz w:val="24"/>
        </w:rPr>
        <w:t xml:space="preserve">3. Rigorous Empirical Performance: </w:t>
      </w:r>
      <w:r>
        <w:rPr>
          <w:rFonts w:ascii="Times New Roman" w:hAnsi="Times New Roman"/>
          <w:sz w:val="24"/>
        </w:rPr>
        <w:t>Demonstrated that the champion Logistic Regression pipeline achieves 86.33% test accuracy, 0.8344 F1-Macro, and 0.9680 ROC-AUC, outperforming non-linear tree ensembles on normalized ratio space.</w:t>
      </w:r>
    </w:p>
    <w:p>
      <w:pPr>
        <w:pStyle w:val="ListBullet"/>
        <w:spacing w:line="312" w:lineRule="auto" w:after="80"/>
        <w:jc w:val="both"/>
      </w:pPr>
      <w:r>
        <w:rPr>
          <w:rFonts w:ascii="Times New Roman" w:hAnsi="Times New Roman"/>
          <w:b/>
          <w:sz w:val="24"/>
        </w:rPr>
        <w:t xml:space="preserve">4. Game-Theoretic Explainability: </w:t>
      </w:r>
      <w:r>
        <w:rPr>
          <w:rFonts w:ascii="Times New Roman" w:hAnsi="Times New Roman"/>
          <w:sz w:val="24"/>
        </w:rPr>
        <w:t>Integrated SHAP to provide local directional attributions and global feature rankings, satisfying commercial banking auditability requirements.</w:t>
      </w:r>
    </w:p>
    <w:p>
      <w:pPr>
        <w:pStyle w:val="ListBullet"/>
        <w:spacing w:line="312" w:lineRule="auto" w:after="80"/>
        <w:jc w:val="both"/>
      </w:pPr>
      <w:r>
        <w:rPr>
          <w:rFonts w:ascii="Times New Roman" w:hAnsi="Times New Roman"/>
          <w:b/>
          <w:sz w:val="24"/>
        </w:rPr>
        <w:t xml:space="preserve">5. Independent Health Indexing &amp; What-If Simulation: </w:t>
      </w:r>
      <w:r>
        <w:rPr>
          <w:rFonts w:ascii="Times New Roman" w:hAnsi="Times New Roman"/>
          <w:sz w:val="24"/>
        </w:rPr>
        <w:t>Formulated an independent 0–100 Financial Health Index across 5 pillars and built a real-time counterfactual engine allowing borrowers to test financial interventions without model retraining.</w:t>
      </w:r>
    </w:p>
    <w:p>
      <w:pPr>
        <w:pStyle w:val="ListBullet"/>
        <w:spacing w:line="312" w:lineRule="auto" w:after="80"/>
        <w:jc w:val="both"/>
      </w:pPr>
      <w:r>
        <w:rPr>
          <w:rFonts w:ascii="Times New Roman" w:hAnsi="Times New Roman"/>
          <w:b/>
          <w:sz w:val="24"/>
        </w:rPr>
        <w:t xml:space="preserve">6. Production-Grade Prototype: </w:t>
      </w:r>
      <w:r>
        <w:rPr>
          <w:rFonts w:ascii="Times New Roman" w:hAnsi="Times New Roman"/>
          <w:sz w:val="24"/>
        </w:rPr>
        <w:t>Delivered a responsive Streamlit dashboard with SQLite persistence, vectorized batch processing evaluating 272,650 records in 0.12 seconds, and automated ReportLab PDF report generation.</w:t>
      </w:r>
    </w:p>
    <w:p>
      <w:pPr>
        <w:spacing w:before="320" w:after="120" w:line="276" w:lineRule="auto"/>
        <w:jc w:val="left"/>
      </w:pPr>
      <w:r>
        <w:rPr>
          <w:rFonts w:ascii="Times New Roman" w:hAnsi="Times New Roman"/>
          <w:b/>
          <w:color w:val="000000"/>
          <w:sz w:val="24"/>
        </w:rPr>
        <w:t>9.2 VERIFICATION MAPPING: PROJECT OBJECTIVES TO REALIZED OUTCOMES</w:t>
      </w:r>
    </w:p>
    <w:p>
      <w:pPr>
        <w:spacing w:line="360" w:lineRule="auto" w:after="120"/>
        <w:ind w:firstLine="360"/>
        <w:jc w:val="both"/>
      </w:pPr>
      <w:r>
        <w:rPr>
          <w:rFonts w:ascii="Times New Roman" w:hAnsi="Times New Roman"/>
          <w:sz w:val="24"/>
        </w:rPr>
        <w:t>All six project objectives defined in Section 1.8 were realized and verified through automated test suites, empirical cross-validation tables, and interactive demonstration prototypes.</w:t>
      </w:r>
    </w:p>
    <w:p>
      <w:pPr>
        <w:spacing w:before="320" w:after="120" w:line="276" w:lineRule="auto"/>
        <w:jc w:val="left"/>
      </w:pPr>
      <w:r>
        <w:rPr>
          <w:rFonts w:ascii="Times New Roman" w:hAnsi="Times New Roman"/>
          <w:b/>
          <w:color w:val="000000"/>
          <w:sz w:val="24"/>
        </w:rPr>
        <w:t>9.3 PRACTICAL CONSTRAINTS &amp; METHODOLOGICAL LIMITATIONS</w:t>
      </w:r>
    </w:p>
    <w:p>
      <w:pPr>
        <w:spacing w:line="360" w:lineRule="auto" w:after="120"/>
        <w:ind w:firstLine="360"/>
        <w:jc w:val="both"/>
      </w:pPr>
      <w:r>
        <w:rPr>
          <w:rFonts w:ascii="Times New Roman" w:hAnsi="Times New Roman"/>
          <w:sz w:val="24"/>
        </w:rPr>
        <w:t>While the system achieves strong technical results, several operational constraints must be acknowledged:</w:t>
      </w:r>
    </w:p>
    <w:p>
      <w:pPr>
        <w:pStyle w:val="ListBullet"/>
        <w:spacing w:line="312" w:lineRule="auto" w:after="80"/>
        <w:jc w:val="both"/>
      </w:pPr>
      <w:r>
        <w:rPr>
          <w:rFonts w:ascii="Times New Roman" w:hAnsi="Times New Roman"/>
          <w:b/>
          <w:sz w:val="24"/>
        </w:rPr>
        <w:t xml:space="preserve">• Synthetic Data Foundation: </w:t>
      </w:r>
      <w:r>
        <w:rPr>
          <w:rFonts w:ascii="Times New Roman" w:hAnsi="Times New Roman"/>
          <w:sz w:val="24"/>
        </w:rPr>
        <w:t>Due to proprietary banking confidentiality, the model was trained on synthetic data modeled after MSME distributions. Real-world validation with live banking partners is required prior to commercial rollout.</w:t>
      </w:r>
    </w:p>
    <w:p>
      <w:pPr>
        <w:pStyle w:val="ListBullet"/>
        <w:spacing w:line="312" w:lineRule="auto" w:after="80"/>
        <w:jc w:val="both"/>
      </w:pPr>
      <w:r>
        <w:rPr>
          <w:rFonts w:ascii="Times New Roman" w:hAnsi="Times New Roman"/>
          <w:b/>
          <w:sz w:val="24"/>
        </w:rPr>
        <w:t xml:space="preserve">• Static Periodic Inputs: </w:t>
      </w:r>
      <w:r>
        <w:rPr>
          <w:rFonts w:ascii="Times New Roman" w:hAnsi="Times New Roman"/>
          <w:sz w:val="24"/>
        </w:rPr>
        <w:t>The system currently processes static annual and monthly financial figures; it does not ingest continuous daily transaction feeds.</w:t>
      </w:r>
    </w:p>
    <w:p>
      <w:pPr>
        <w:pStyle w:val="ListBullet"/>
        <w:spacing w:line="312" w:lineRule="auto" w:after="80"/>
        <w:jc w:val="both"/>
      </w:pPr>
      <w:r>
        <w:rPr>
          <w:rFonts w:ascii="Times New Roman" w:hAnsi="Times New Roman"/>
          <w:b/>
          <w:sz w:val="24"/>
        </w:rPr>
        <w:t xml:space="preserve">• Macroeconomic Shocks: </w:t>
      </w:r>
      <w:r>
        <w:rPr>
          <w:rFonts w:ascii="Times New Roman" w:hAnsi="Times New Roman"/>
          <w:sz w:val="24"/>
        </w:rPr>
        <w:t>The model evaluates enterprise-specific ratios and does not directly incorporate sudden macroeconomic shocks, such as commodity price spikes or regulatory tariff changes.</w:t>
      </w:r>
    </w:p>
    <w:p>
      <w:pPr>
        <w:spacing w:before="320" w:after="120" w:line="276" w:lineRule="auto"/>
        <w:jc w:val="left"/>
      </w:pPr>
      <w:r>
        <w:rPr>
          <w:rFonts w:ascii="Times New Roman" w:hAnsi="Times New Roman"/>
          <w:b/>
          <w:color w:val="000000"/>
          <w:sz w:val="24"/>
        </w:rPr>
        <w:t>9.4 FUTURE WORK &amp; COMMERCIAL ROADMAP</w:t>
      </w:r>
    </w:p>
    <w:p>
      <w:pPr>
        <w:spacing w:line="360" w:lineRule="auto" w:after="120"/>
        <w:ind w:firstLine="360"/>
        <w:jc w:val="both"/>
      </w:pPr>
      <w:r>
        <w:rPr>
          <w:rFonts w:ascii="Times New Roman" w:hAnsi="Times New Roman"/>
          <w:sz w:val="24"/>
        </w:rPr>
        <w:t>To build upon the foundations established in this dissertation, future work should pursue the following enhancements:</w:t>
      </w:r>
    </w:p>
    <w:p>
      <w:pPr>
        <w:pStyle w:val="ListBullet"/>
        <w:spacing w:line="312" w:lineRule="auto" w:after="80"/>
        <w:jc w:val="both"/>
      </w:pPr>
      <w:r>
        <w:rPr>
          <w:rFonts w:ascii="Times New Roman" w:hAnsi="Times New Roman"/>
          <w:b/>
          <w:sz w:val="24"/>
        </w:rPr>
        <w:t xml:space="preserve">1. Account Aggregator &amp; Open Banking APIs: </w:t>
      </w:r>
      <w:r>
        <w:rPr>
          <w:rFonts w:ascii="Times New Roman" w:hAnsi="Times New Roman"/>
          <w:sz w:val="24"/>
        </w:rPr>
        <w:t>Integrate directly with India's Account Aggregator (AA) framework and GSTN APIs to fetch tamper-proof banking and tax records in real time.</w:t>
      </w:r>
    </w:p>
    <w:p>
      <w:pPr>
        <w:pStyle w:val="ListBullet"/>
        <w:spacing w:line="312" w:lineRule="auto" w:after="80"/>
        <w:jc w:val="both"/>
      </w:pPr>
      <w:r>
        <w:rPr>
          <w:rFonts w:ascii="Times New Roman" w:hAnsi="Times New Roman"/>
          <w:b/>
          <w:sz w:val="24"/>
        </w:rPr>
        <w:t xml:space="preserve">2. Computer Vision / OCR Document Parser: </w:t>
      </w:r>
      <w:r>
        <w:rPr>
          <w:rFonts w:ascii="Times New Roman" w:hAnsi="Times New Roman"/>
          <w:sz w:val="24"/>
        </w:rPr>
        <w:t>Incorporate a deep learning OCR pipeline (using Tesseract or LayoutLM) to extract financial quantities automatically from scanned PDF balance sheets and ITR filings.</w:t>
      </w:r>
    </w:p>
    <w:p>
      <w:pPr>
        <w:pStyle w:val="ListBullet"/>
        <w:spacing w:line="312" w:lineRule="auto" w:after="80"/>
        <w:jc w:val="both"/>
      </w:pPr>
      <w:r>
        <w:rPr>
          <w:rFonts w:ascii="Times New Roman" w:hAnsi="Times New Roman"/>
          <w:b/>
          <w:sz w:val="24"/>
        </w:rPr>
        <w:t xml:space="preserve">3. Continuous Learning &amp; Concept Drift Monitoring: </w:t>
      </w:r>
      <w:r>
        <w:rPr>
          <w:rFonts w:ascii="Times New Roman" w:hAnsi="Times New Roman"/>
          <w:sz w:val="24"/>
        </w:rPr>
        <w:t>Deploy Evidently AI or MLflow to monitor feature drift across changing economic cycles, triggering automated retraining pipelines.</w:t>
      </w:r>
    </w:p>
    <w:p>
      <w:pPr>
        <w:pStyle w:val="ListBullet"/>
        <w:spacing w:line="312" w:lineRule="auto" w:after="80"/>
        <w:jc w:val="both"/>
      </w:pPr>
      <w:r>
        <w:rPr>
          <w:rFonts w:ascii="Times New Roman" w:hAnsi="Times New Roman"/>
          <w:b/>
          <w:sz w:val="24"/>
        </w:rPr>
        <w:t xml:space="preserve">4. Vernacular Multi-Language Interface: </w:t>
      </w:r>
      <w:r>
        <w:rPr>
          <w:rFonts w:ascii="Times New Roman" w:hAnsi="Times New Roman"/>
          <w:sz w:val="24"/>
        </w:rPr>
        <w:t>Localize the user interface into major Indian regional languages (Hindi, Marathi, Tamil, etc.) to empower rural entrepreneurs.</w:t>
      </w:r>
    </w:p>
    <w:p>
      <w:r>
        <w:br w:type="page"/>
      </w:r>
    </w:p>
    <w:p>
      <w:pPr>
        <w:spacing w:before="440" w:after="280" w:line="276" w:lineRule="auto"/>
        <w:jc w:val="center"/>
      </w:pPr>
      <w:r>
        <w:rPr>
          <w:rFonts w:ascii="Times New Roman" w:hAnsi="Times New Roman"/>
          <w:b/>
          <w:color w:val="000000"/>
          <w:sz w:val="36"/>
        </w:rPr>
        <w:t>BIBLIOGRAPHY / REFERENCES</w:t>
      </w:r>
    </w:p>
    <w:p>
      <w:pPr>
        <w:spacing w:line="276" w:lineRule="auto" w:after="120"/>
        <w:jc w:val="both"/>
      </w:pPr>
      <w:r>
        <w:rPr>
          <w:rFonts w:ascii="Times New Roman" w:hAnsi="Times New Roman"/>
          <w:sz w:val="22"/>
        </w:rPr>
        <w:t>[1] S. Gudadhe, S. Yadav, P. Adke, V. Kalunge, and K. Khairnar, “Explainable Alternative Credit Scoring For Thin-File MSMEs Via Multi-Source Behavioral Data Fusion And XGBoost,” International Journal of Artificial Intelligence and Machine Learning (IJAIML, SvedbergOpen), vol. 6, no. 6s, pp. 995–1010, Jun. 2026, doi: 10.51483/IJAIML.6.6s.2026.995-1010.</w:t>
      </w:r>
    </w:p>
    <w:p>
      <w:pPr>
        <w:spacing w:line="276" w:lineRule="auto" w:after="120"/>
        <w:jc w:val="both"/>
      </w:pPr>
      <w:r>
        <w:rPr>
          <w:rFonts w:ascii="Times New Roman" w:hAnsi="Times New Roman"/>
          <w:sz w:val="22"/>
        </w:rPr>
        <w:t>[2] N. Bussmann, P. Giudici, D. Marinelli, and J. Papenbrock, “Explainable Machine Learning in Credit Risk Management,” Computational Economics, vol. 57, no. 1, pp. 203–216, Jan. 2021, doi: 10.1007/s10614-020-10042-0.</w:t>
      </w:r>
    </w:p>
    <w:p>
      <w:pPr>
        <w:spacing w:line="276" w:lineRule="auto" w:after="120"/>
        <w:jc w:val="both"/>
      </w:pPr>
      <w:r>
        <w:rPr>
          <w:rFonts w:ascii="Times New Roman" w:hAnsi="Times New Roman"/>
          <w:sz w:val="22"/>
        </w:rPr>
        <w:t>[2] N. V. Chawla, K. W. Bowyer, L. O. Hall, and W. P. Kegelmeyer, “SMOTE: Synthetic Minority Over-sampling Technique,” Journal of Artificial Intelligence Research, vol. 16, pp. 321–357, Jun. 2002, doi: 10.1613/jair.953.</w:t>
      </w:r>
    </w:p>
    <w:p>
      <w:pPr>
        <w:spacing w:line="276" w:lineRule="auto" w:after="120"/>
        <w:jc w:val="both"/>
      </w:pPr>
      <w:r>
        <w:rPr>
          <w:rFonts w:ascii="Times New Roman" w:hAnsi="Times New Roman"/>
          <w:sz w:val="22"/>
        </w:rPr>
        <w:t>[3] F. Ciampi, S. Giannozzi, A. Marzi, and G. Armstrong, “SME default prediction with machine learning: A survey and future research directions,” European Journal of Operational Research, vol. 288, no. 3, pp. 705–723, Feb. 2021, doi: 10.1016/j.ejor.2020.06.019.</w:t>
      </w:r>
    </w:p>
    <w:p>
      <w:pPr>
        <w:spacing w:line="276" w:lineRule="auto" w:after="120"/>
        <w:jc w:val="both"/>
      </w:pPr>
      <w:r>
        <w:rPr>
          <w:rFonts w:ascii="Times New Roman" w:hAnsi="Times New Roman"/>
          <w:sz w:val="22"/>
        </w:rPr>
        <w:t>[4] S. M. Lundberg and S.-I. Lee, “A Unified Approach to Interpreting Model Predictions,” in Advances in Neural Information Processing Systems (NeurIPS 2017), Long Beach, CA, USA, 2017, vol. 30, pp. 4765–4774.</w:t>
      </w:r>
    </w:p>
    <w:p>
      <w:pPr>
        <w:spacing w:line="276" w:lineRule="auto" w:after="120"/>
        <w:jc w:val="both"/>
      </w:pPr>
      <w:r>
        <w:rPr>
          <w:rFonts w:ascii="Times New Roman" w:hAnsi="Times New Roman"/>
          <w:sz w:val="22"/>
        </w:rPr>
        <w:t>[5] E. I. Altman, “Financial Ratios, Discriminant Analysis and the Prediction of Corporate Bankruptcy,” The Journal of Finance, vol. 23, no. 4, pp. 589–609, Sep. 1968, doi: 10.1111/j.1540-6261.1968.tb00843.x.</w:t>
      </w:r>
    </w:p>
    <w:p>
      <w:pPr>
        <w:spacing w:line="276" w:lineRule="auto" w:after="120"/>
        <w:jc w:val="both"/>
      </w:pPr>
      <w:r>
        <w:rPr>
          <w:rFonts w:ascii="Times New Roman" w:hAnsi="Times New Roman"/>
          <w:sz w:val="22"/>
        </w:rPr>
        <w:t>[6] H. He, Y. Bai, E. A. Garcia, and S. Li, “ADASYN: Adaptive synthetic sampling approach for imbalanced learning,” in IEEE International Joint Conference on Neural Networks (IEEE World Congress on Computational Intelligence), Hong Kong, 2008, pp. 1322–1328, doi: 10.1109/IJCNN.2008.4633969.</w:t>
      </w:r>
    </w:p>
    <w:p>
      <w:pPr>
        <w:spacing w:line="276" w:lineRule="auto" w:after="120"/>
        <w:jc w:val="both"/>
      </w:pPr>
      <w:r>
        <w:rPr>
          <w:rFonts w:ascii="Times New Roman" w:hAnsi="Times New Roman"/>
          <w:sz w:val="22"/>
        </w:rPr>
        <w:t>[7] Reserve Bank of India (RBI), “Report of the Expert Committee on Micro, Small and Medium Enterprises,” (U. K. Sinha Committee), Mumbai, India, Jun. 2019.</w:t>
      </w:r>
    </w:p>
    <w:p>
      <w:pPr>
        <w:spacing w:line="276" w:lineRule="auto" w:after="120"/>
        <w:jc w:val="both"/>
      </w:pPr>
      <w:r>
        <w:rPr>
          <w:rFonts w:ascii="Times New Roman" w:hAnsi="Times New Roman"/>
          <w:sz w:val="22"/>
        </w:rPr>
        <w:t>[8] F. Pedregosa et al., “Scikit-learn: Machine Learning in Python,” Journal of Machine Learning Research, vol. 12, pp. 2825–2830, Nov. 2011.</w:t>
      </w:r>
    </w:p>
    <w:p>
      <w:pPr>
        <w:spacing w:line="276" w:lineRule="auto" w:after="120"/>
        <w:jc w:val="both"/>
      </w:pPr>
      <w:r>
        <w:rPr>
          <w:rFonts w:ascii="Times New Roman" w:hAnsi="Times New Roman"/>
          <w:sz w:val="22"/>
        </w:rPr>
        <w:t>[9] G. Lemaître, F. Nogueira, and C. K. Aridas, “Imbalanced-learn: A Python Toolbox to Tackle the Curse of Imbalanced Datasets in Machine Learning,” Journal of Machine Learning Research, vol. 18, no. 17, pp. 1–5, 2017.</w:t>
      </w:r>
    </w:p>
    <w:p>
      <w:pPr>
        <w:spacing w:line="276" w:lineRule="auto" w:after="120"/>
        <w:jc w:val="both"/>
      </w:pPr>
      <w:r>
        <w:rPr>
          <w:rFonts w:ascii="Times New Roman" w:hAnsi="Times New Roman"/>
          <w:sz w:val="22"/>
        </w:rPr>
        <w:t>[10] International Finance Corporation (IFC), “Financing India’s MSMEs: Estimation of Debt Requirement of MSMEs in India,” World Bank Group, Washington, D.C., Nov. 2018.</w:t>
      </w:r>
    </w:p>
    <w:p>
      <w:pPr>
        <w:spacing w:line="276" w:lineRule="auto" w:after="120"/>
        <w:jc w:val="both"/>
      </w:pPr>
      <w:r>
        <w:rPr>
          <w:rFonts w:ascii="Times New Roman" w:hAnsi="Times New Roman"/>
          <w:sz w:val="22"/>
        </w:rPr>
        <w:t>[11] M. T. Ribeiro, S. Singh, and C. Guestrin, “'Why Should I Trust You?': Explaining the Predictions of Any Classifier,” in Proceedings of the 22nd ACM SIGKDD International Conference on Knowledge Discovery and Data Mining, San Francisco, CA, USA, 2016, pp. 1135–1144, doi: 10.1145/2939672.2939778.</w:t>
      </w:r>
    </w:p>
    <w:p>
      <w:pPr>
        <w:spacing w:line="276" w:lineRule="auto" w:after="120"/>
        <w:jc w:val="both"/>
      </w:pPr>
      <w:r>
        <w:rPr>
          <w:rFonts w:ascii="Times New Roman" w:hAnsi="Times New Roman"/>
          <w:sz w:val="22"/>
        </w:rPr>
        <w:t>[12] J. H. Friedman, “Greedy Function Approximation: A Gradient Boosting Machine,” The Annals of Statistics, vol. 29, no. 5, pp. 1189–1232, Oct. 2001, doi: 10.1214/aos/1013203451.</w:t>
      </w:r>
    </w:p>
    <w:p>
      <w:pPr>
        <w:spacing w:line="276" w:lineRule="auto" w:after="120"/>
        <w:jc w:val="both"/>
      </w:pPr>
      <w:r>
        <w:rPr>
          <w:rFonts w:ascii="Times New Roman" w:hAnsi="Times New Roman"/>
          <w:sz w:val="22"/>
        </w:rPr>
        <w:t>[13] T. Chen and C. Guestrin, “XGBoost: A Scalable Tree Boosting System,” in Proceedings of the 22nd ACM SIGKDD International Conference on Knowledge Discovery and Data Mining, San Francisco, CA, USA, 2016, pp. 785–794, doi: 10.1145/2939672.2939785.</w:t>
      </w:r>
    </w:p>
    <w:p>
      <w:pPr>
        <w:spacing w:line="276" w:lineRule="auto" w:after="120"/>
        <w:jc w:val="both"/>
      </w:pPr>
      <w:r>
        <w:rPr>
          <w:rFonts w:ascii="Times New Roman" w:hAnsi="Times New Roman"/>
          <w:sz w:val="22"/>
        </w:rPr>
        <w:t>[14] L. Breiman, “Random Forests,” Machine Learning, vol. 45, no. 1, pp. 5–32, Oct. 2001, doi: 10.1023/A:1010933404324.</w:t>
      </w:r>
    </w:p>
    <w:p>
      <w:pPr>
        <w:spacing w:line="276" w:lineRule="auto" w:after="120"/>
        <w:jc w:val="both"/>
      </w:pPr>
      <w:r>
        <w:rPr>
          <w:rFonts w:ascii="Times New Roman" w:hAnsi="Times New Roman"/>
          <w:sz w:val="22"/>
        </w:rPr>
        <w:t>[15] Basel Committee on Banking Supervision (BCBS), “International Convergence of Capital Measurement and Capital Standards: A Revised Framework (Basel II/III),” Bank for International Settlements, Basel, Switzerland, Comprehensive Version, 2006.</w:t>
      </w:r>
    </w:p>
    <w:p>
      <w:pPr>
        <w:spacing w:line="276" w:lineRule="auto" w:after="120"/>
        <w:jc w:val="both"/>
      </w:pPr>
      <w:r>
        <w:rPr>
          <w:rFonts w:ascii="Times New Roman" w:hAnsi="Times New Roman"/>
          <w:sz w:val="22"/>
        </w:rPr>
        <w:t>[16] D. J. Hand and W. E. Henley, “Statistical Classification Methods in Consumer Credit Scoring: A Review,” Journal of the Royal Statistical Society: Series A (Statistics in Society), vol. 160, no. 3, pp. 523–541, 1997, doi: 10.1111/j.1467-985X.1997.00078.x.</w:t>
      </w:r>
    </w:p>
    <w:p>
      <w:pPr>
        <w:spacing w:line="276" w:lineRule="auto" w:after="120"/>
        <w:jc w:val="both"/>
      </w:pPr>
      <w:r>
        <w:rPr>
          <w:rFonts w:ascii="Times New Roman" w:hAnsi="Times New Roman"/>
          <w:sz w:val="22"/>
        </w:rPr>
        <w:t>[17] L. S. Shapley, “A Value for n-person Games,” Contributions to the Theory of Games, vol. 2, no. 28, pp. 307–317, 1953.</w:t>
      </w:r>
    </w:p>
    <w:p>
      <w:pPr>
        <w:spacing w:line="276" w:lineRule="auto" w:after="120"/>
        <w:jc w:val="both"/>
      </w:pPr>
      <w:r>
        <w:rPr>
          <w:rFonts w:ascii="Times New Roman" w:hAnsi="Times New Roman"/>
          <w:sz w:val="22"/>
        </w:rPr>
        <w:t>[18] Reserve Bank of India, “Master Direction – Reserve Bank of India (Internal Ratings-Based Approaches for Calculation of Capital Charge for Credit Risk) Directions, 2024,” RBI Notification, Mumbai, India, 2024.</w:t>
      </w:r>
    </w:p>
    <w:p>
      <w:pPr>
        <w:spacing w:line="276" w:lineRule="auto" w:after="120"/>
        <w:jc w:val="both"/>
      </w:pPr>
      <w:r>
        <w:rPr>
          <w:rFonts w:ascii="Times New Roman" w:hAnsi="Times New Roman"/>
          <w:sz w:val="22"/>
        </w:rPr>
        <w:t>[19] S. Lessmann, B. Baesens, H. V. Seow, and L. C. Thomas, “Benchmarking state-of-the-art classification algorithms for credit scoring: An update of research,” European Journal of Operational Research, vol. 247, no. 1, pp. 124–136, 2015.</w:t>
      </w:r>
    </w:p>
    <w:p>
      <w:pPr>
        <w:spacing w:line="276" w:lineRule="auto" w:after="120"/>
        <w:jc w:val="both"/>
      </w:pPr>
      <w:r>
        <w:rPr>
          <w:rFonts w:ascii="Times New Roman" w:hAnsi="Times New Roman"/>
          <w:sz w:val="22"/>
        </w:rPr>
        <w:t>[20] A. Sharma, D. Punihani, V. P. Singh, and R. Tare, “Explainable Machine Learning Decision-Support Architecture for Small Enterprise Credit Risk Modeling,” IEEE Transactions on Computational Finance &amp; Engineering Systems (Under Review), 2026.</w:t>
      </w:r>
    </w:p>
    <w:p>
      <w:r>
        <w:br w:type="page"/>
      </w:r>
    </w:p>
    <w:p>
      <w:pPr>
        <w:spacing w:before="440" w:after="280" w:line="276" w:lineRule="auto"/>
        <w:jc w:val="center"/>
      </w:pPr>
      <w:r>
        <w:rPr>
          <w:rFonts w:ascii="Times New Roman" w:hAnsi="Times New Roman"/>
          <w:b/>
          <w:color w:val="000000"/>
          <w:sz w:val="36"/>
        </w:rPr>
        <w:t>ANNEXURE A: LIST OF PUBLICATIONS &amp; RESEARCH PAPER DRAFT</w:t>
      </w:r>
    </w:p>
    <w:p>
      <w:pPr>
        <w:spacing w:before="320" w:after="120" w:line="276" w:lineRule="auto"/>
        <w:jc w:val="left"/>
      </w:pPr>
      <w:r>
        <w:rPr>
          <w:rFonts w:ascii="Times New Roman" w:hAnsi="Times New Roman"/>
          <w:b/>
          <w:color w:val="000000"/>
          <w:sz w:val="24"/>
        </w:rPr>
        <w:t>RESEARCH PAPER DRAFT MANUSCRIPT</w:t>
      </w:r>
    </w:p>
    <w:p>
      <w:pPr>
        <w:spacing w:before="240" w:after="120" w:line="276" w:lineRule="auto"/>
        <w:jc w:val="center"/>
      </w:pPr>
      <w:r>
        <w:rPr>
          <w:rFonts w:ascii="Times New Roman" w:hAnsi="Times New Roman"/>
          <w:b/>
          <w:color w:val="000000"/>
          <w:sz w:val="28"/>
        </w:rPr>
        <w:t>Explainable Machine Learning Decision-Support Architecture for Small Enterprise Credit Risk Modeling</w:t>
      </w:r>
    </w:p>
    <w:p>
      <w:pPr>
        <w:spacing w:line="288" w:lineRule="auto"/>
        <w:jc w:val="center"/>
      </w:pPr>
      <w:r>
        <w:rPr>
          <w:rFonts w:ascii="Times New Roman" w:hAnsi="Times New Roman"/>
          <w:i/>
          <w:sz w:val="22"/>
        </w:rPr>
        <w:t>Dhairya Punihani, Avinash Sharma, Vinay Pratap Singh, Prof. Ruchira Tare</w:t>
        <w:br/>
        <w:t>Department of Computer Engineering, Bharati Vidyapeeth (Deemed to be University) College of Engineering, Pune</w:t>
        <w:br/>
        <w:t>Target: IEEE International Conference on Advanced Computing and Communication Systems (ICACCS 2026)</w:t>
      </w:r>
    </w:p>
    <w:p>
      <w:pPr>
        <w:spacing w:line="360" w:lineRule="auto" w:after="120"/>
        <w:ind w:firstLine="360"/>
        <w:jc w:val="both"/>
      </w:pPr>
      <w:r>
        <w:rPr>
          <w:rFonts w:ascii="Times New Roman" w:hAnsi="Times New Roman"/>
          <w:sz w:val="24"/>
        </w:rPr>
        <w:t>ABSTRACT: Commercial credit appraisal for Micro, Small, and Medium Enterprises (MSMEs) faces severe operational friction due to documentation informality, severe default class imbalance, and the black-box opacity of modern credit scoring algorithms. This paper proposes an explainable machine learning architecture integrating domain financial ratio engineering, leakage-free resampling inside stratified cross-validation, and cooperative game-theoretic Shapley Additive explanations (SHAP). Candidate classifiers were benchmarked across Stratified 5-Fold Cross-Validation. The selected champion regularized Logistic Regression pipeline attained a Cross-Validation F1-Macro of 0.8671 and demonstrated superior generalization on an untouched 300-sample test set with 86.33% Test Accuracy, 0.8344 F1-Macro, and 0.9680 ROC-AUC, with zero High Risk applicants misclassified into the Low Risk tier. The architecture couples empirical ML predictions with an independent 5-Pillar Financial Health Index (0-100) and an interactive counterfactual What-If simulation engine, satisfying banking supervisory explainability mandates.</w:t>
      </w:r>
    </w:p>
    <w:p>
      <w:pPr>
        <w:spacing w:before="240" w:after="80" w:line="276" w:lineRule="auto"/>
        <w:jc w:val="left"/>
      </w:pPr>
      <w:r>
        <w:rPr>
          <w:rFonts w:ascii="Times New Roman" w:hAnsi="Times New Roman"/>
          <w:b/>
          <w:color w:val="000000"/>
          <w:sz w:val="24"/>
        </w:rPr>
        <w:t>1. INTRODUCTION &amp; DOMAIN BACKGROUND</w:t>
      </w:r>
    </w:p>
    <w:p>
      <w:pPr>
        <w:spacing w:line="360" w:lineRule="auto" w:after="120"/>
        <w:ind w:firstLine="360"/>
        <w:jc w:val="both"/>
      </w:pPr>
      <w:r>
        <w:rPr>
          <w:rFonts w:ascii="Times New Roman" w:hAnsi="Times New Roman"/>
          <w:sz w:val="24"/>
        </w:rPr>
        <w:t>Micro, Small, and Medium Enterprises (MSMEs) represent the cornerstone of socioeconomic industrial development in emerging economies, contributing roughly 30% of India's GDP and employing upwards of 110 million individuals. Despite their vital role, more than 70% of credit-seeking MSMEs encounter severe credit access bottlenecks, resulting in a ₹25.8 Trillion formal credit gap. Traditional banking credit appraisal protocols rely predominantly on audited financial statements, multi-year asset histories, and rigid credit bureau cutoffs—collateral requirements that informal or nascent enterprises often cannot satisfy. Conversely, contemporary automated credit scoring algorithms operate largely as black-box models, obscuring the reasoning behind loan rejections and failing to comply with evolving financial explainability mandates (e.g., RBI Guidelines, Basel II/III).</w:t>
      </w:r>
    </w:p>
    <w:p>
      <w:pPr>
        <w:spacing w:before="240" w:after="80" w:line="276" w:lineRule="auto"/>
        <w:jc w:val="left"/>
      </w:pPr>
      <w:r>
        <w:rPr>
          <w:rFonts w:ascii="Times New Roman" w:hAnsi="Times New Roman"/>
          <w:b/>
          <w:color w:val="000000"/>
          <w:sz w:val="24"/>
        </w:rPr>
        <w:t>2. PROPOSED CLOSED-LOOP ARCHITECTURE</w:t>
      </w:r>
    </w:p>
    <w:p>
      <w:pPr>
        <w:spacing w:line="360" w:lineRule="auto" w:after="120"/>
        <w:ind w:firstLine="360"/>
        <w:jc w:val="both"/>
      </w:pPr>
      <w:r>
        <w:rPr>
          <w:rFonts w:ascii="Times New Roman" w:hAnsi="Times New Roman"/>
          <w:sz w:val="24"/>
        </w:rPr>
        <w:t>To overcome these challenges, we operationalize the PREDICT → EXPLAIN → SIMULATE → IMPROVE framework:</w:t>
      </w:r>
    </w:p>
    <w:p>
      <w:pPr>
        <w:pStyle w:val="ListBullet"/>
        <w:spacing w:line="312" w:lineRule="auto" w:after="80"/>
        <w:jc w:val="both"/>
      </w:pPr>
      <w:r>
        <w:rPr>
          <w:rFonts w:ascii="Times New Roman" w:hAnsi="Times New Roman"/>
          <w:b/>
          <w:sz w:val="24"/>
        </w:rPr>
        <w:t xml:space="preserve">• Predict: </w:t>
      </w:r>
      <w:r>
        <w:rPr>
          <w:rFonts w:ascii="Times New Roman" w:hAnsi="Times New Roman"/>
          <w:sz w:val="24"/>
        </w:rPr>
        <w:t>Ingests operational parameters, derives 7 standardized financial ratios with zero-division clamps, and outputs calibrated multi-class risk probabilities (LOW, MEDIUM, HIGH).</w:t>
      </w:r>
    </w:p>
    <w:p>
      <w:pPr>
        <w:pStyle w:val="ListBullet"/>
        <w:spacing w:line="312" w:lineRule="auto" w:after="80"/>
        <w:jc w:val="both"/>
      </w:pPr>
      <w:r>
        <w:rPr>
          <w:rFonts w:ascii="Times New Roman" w:hAnsi="Times New Roman"/>
          <w:b/>
          <w:sz w:val="24"/>
        </w:rPr>
        <w:t xml:space="preserve">• Explain: </w:t>
      </w:r>
      <w:r>
        <w:rPr>
          <w:rFonts w:ascii="Times New Roman" w:hAnsi="Times New Roman"/>
          <w:sz w:val="24"/>
        </w:rPr>
        <w:t>Employs game-theoretic SHAP attributions to decompose predictions into signed risk amplifiers and mitigators, establishing complete mathematical transparency.</w:t>
      </w:r>
    </w:p>
    <w:p>
      <w:pPr>
        <w:pStyle w:val="ListBullet"/>
        <w:spacing w:line="312" w:lineRule="auto" w:after="80"/>
        <w:jc w:val="both"/>
      </w:pPr>
      <w:r>
        <w:rPr>
          <w:rFonts w:ascii="Times New Roman" w:hAnsi="Times New Roman"/>
          <w:b/>
          <w:sz w:val="24"/>
        </w:rPr>
        <w:t xml:space="preserve">• Simulate: </w:t>
      </w:r>
      <w:r>
        <w:rPr>
          <w:rFonts w:ascii="Times New Roman" w:hAnsi="Times New Roman"/>
          <w:sz w:val="24"/>
        </w:rPr>
        <w:t>Implements a counterfactual What-If simulation engine allowing underwriters and borrowers to interactively adjust operational levers and observe instantaneous probability deltas without model retraining.</w:t>
      </w:r>
    </w:p>
    <w:p>
      <w:pPr>
        <w:pStyle w:val="ListBullet"/>
        <w:spacing w:line="312" w:lineRule="auto" w:after="80"/>
        <w:jc w:val="both"/>
      </w:pPr>
      <w:r>
        <w:rPr>
          <w:rFonts w:ascii="Times New Roman" w:hAnsi="Times New Roman"/>
          <w:b/>
          <w:sz w:val="24"/>
        </w:rPr>
        <w:t xml:space="preserve">• Improve: </w:t>
      </w:r>
      <w:r>
        <w:rPr>
          <w:rFonts w:ascii="Times New Roman" w:hAnsi="Times New Roman"/>
          <w:sz w:val="24"/>
        </w:rPr>
        <w:t>Couples risk predictions with an independent, deterministic 5-Pillar Financial Health Index (0-100) across Debt, Liquidity, Margins, Repayment, and Stability pillars, generating concrete turnaround guidance.</w:t>
      </w:r>
    </w:p>
    <w:p>
      <w:pPr>
        <w:spacing w:before="240" w:after="80" w:line="276" w:lineRule="auto"/>
        <w:jc w:val="left"/>
      </w:pPr>
      <w:r>
        <w:rPr>
          <w:rFonts w:ascii="Times New Roman" w:hAnsi="Times New Roman"/>
          <w:b/>
          <w:color w:val="000000"/>
          <w:sz w:val="24"/>
        </w:rPr>
        <w:t>3. EMPIRICAL RESULTS &amp; BENCHMARKING</w:t>
      </w:r>
    </w:p>
    <w:p>
      <w:pPr>
        <w:spacing w:line="360" w:lineRule="auto" w:after="120"/>
        <w:ind w:firstLine="360"/>
        <w:jc w:val="both"/>
      </w:pPr>
      <w:r>
        <w:rPr>
          <w:rFonts w:ascii="Times New Roman" w:hAnsi="Times New Roman"/>
          <w:sz w:val="24"/>
        </w:rPr>
        <w:t>Rigorous cross-validation benchmarking across 1,200 training instances demonstrated that regularized Logistic Regression outperformed complex decision trees and random forest ensembles. On the untouched 300-sample test set, the champion model achieved 86.33% Accuracy, 0.8344 F1-Macro, 0.8468 Precision-Macro, 0.8236 Recall-Macro, and 0.9680 ROC-AUC. Crucially, the model achieved 80.0% recall on the critical HIGH risk class with zero false negatives into the LOW risk category, guaranteeing robust default protection.</w:t>
      </w:r>
    </w:p>
    <w:p>
      <w:pPr>
        <w:spacing w:before="240" w:after="80" w:line="276" w:lineRule="auto"/>
        <w:jc w:val="left"/>
      </w:pPr>
      <w:r>
        <w:rPr>
          <w:rFonts w:ascii="Times New Roman" w:hAnsi="Times New Roman"/>
          <w:b/>
          <w:color w:val="000000"/>
          <w:sz w:val="24"/>
        </w:rPr>
        <w:t>4. CONCLUSION</w:t>
      </w:r>
    </w:p>
    <w:p>
      <w:pPr>
        <w:spacing w:line="360" w:lineRule="auto" w:after="120"/>
        <w:ind w:firstLine="360"/>
        <w:jc w:val="both"/>
      </w:pPr>
      <w:r>
        <w:rPr>
          <w:rFonts w:ascii="Times New Roman" w:hAnsi="Times New Roman"/>
          <w:sz w:val="24"/>
        </w:rPr>
        <w:t>The proposed architecture demonstrates that combining domain financial ratio engineering with regularized linear classifiers and game-theoretic explainability delivers state-of-the-art predictive performance while satisfying statutory banking transparency mandates.</w:t>
      </w:r>
    </w:p>
    <w:p>
      <w:r>
        <w:br w:type="page"/>
      </w:r>
    </w:p>
    <w:p>
      <w:pPr>
        <w:spacing w:before="440" w:after="280" w:line="276" w:lineRule="auto"/>
        <w:jc w:val="center"/>
      </w:pPr>
      <w:r>
        <w:rPr>
          <w:rFonts w:ascii="Times New Roman" w:hAnsi="Times New Roman"/>
          <w:b/>
          <w:color w:val="000000"/>
          <w:sz w:val="36"/>
        </w:rPr>
        <w:t>ANNEXURE B: PLAGIARISM &amp; ORIGINALITY STATEMENT</w:t>
      </w:r>
    </w:p>
    <w:p>
      <w:pPr>
        <w:spacing w:line="360" w:lineRule="auto" w:after="120"/>
        <w:ind w:firstLine="360"/>
        <w:jc w:val="both"/>
      </w:pPr>
      <w:r>
        <w:rPr>
          <w:rFonts w:ascii="Times New Roman" w:hAnsi="Times New Roman"/>
          <w:sz w:val="24"/>
        </w:rPr>
        <w:t>We certify that this dissertation report entitled 'AI-BASED MSME CREDIT RISK ASSISTANT' has been screened using institutional plagiarism detection software (Turnitin / DrillBit) in accordance with the statutory academic mandates of the Department of Computer Engineering, Bharati Vidyapeeth (Deemed to be University) College of Engineering, Pune.</w:t>
      </w:r>
    </w:p>
    <w:p>
      <w:pPr>
        <w:spacing w:line="360" w:lineRule="auto" w:after="120"/>
        <w:ind w:firstLine="360"/>
        <w:jc w:val="both"/>
      </w:pPr>
      <w:r>
        <w:rPr>
          <w:rFonts w:ascii="Times New Roman" w:hAnsi="Times New Roman"/>
          <w:sz w:val="24"/>
        </w:rPr>
        <w:t>• Project Title: AI-BASED MSME CREDIT RISK ASSISTANT</w:t>
        <w:br/>
        <w:t>• Candidate Authors: Dhairya Punihani (2314110171), Avinash Sharma (2314110182), Vinay Pratap Singh (2314110217)</w:t>
        <w:br/>
        <w:t>• Project Guide: Prof. Ruchira Tare</w:t>
        <w:br/>
        <w:t>• Department: Department of Computer Engineering, BV(DU)COE, Pune</w:t>
        <w:br/>
        <w:t>• Screening Software: iThenticate / Turnitin Integrity Suite (Page 2 of 51 - Integrity Overview)</w:t>
        <w:br/>
        <w:t>• Submission ID: trn:oid:::3117342624807</w:t>
        <w:br/>
        <w:t>• Overall Similarity Index: 7% (Permissible University Ceiling: &lt; 15%)</w:t>
        <w:br/>
        <w:t>• Top Source Distribution: 1% Internet Sources, 11% Publications, 0% Submitted Works (Student Papers)</w:t>
        <w:br/>
        <w:t>• Match Groups: 2 Not Cited or Quoted (12%), 0 Missing Quotations (1%), 1 Missing Citation (1%), 0 Cited and Quoted (0%)</w:t>
        <w:br/>
        <w:t>• Integrity Flags: 0 Integrity Flags for Review (No suspicious text manipulations found)</w:t>
        <w:br/>
        <w:t>• Verification Status: VERIFIED &amp; APPROVED - Strictly within permissible university guidelines.</w:t>
        <w:br/>
        <w:t>• Official Verification Certificate: Appended as the final page of this report.</w:t>
      </w:r>
    </w:p>
    <w:p>
      <w:r>
        <w:br w:type="page"/>
      </w:r>
    </w:p>
    <w:p>
      <w:pPr>
        <w:spacing w:before="440" w:after="280" w:line="276" w:lineRule="auto"/>
        <w:jc w:val="center"/>
      </w:pPr>
      <w:r>
        <w:rPr>
          <w:rFonts w:ascii="Times New Roman" w:hAnsi="Times New Roman"/>
          <w:b/>
          <w:color w:val="000000"/>
          <w:sz w:val="36"/>
        </w:rPr>
        <w:t>ANNEXURE C: DESIGN THINKING EMPATHY CHART &amp; SOLUTION DOCUMENT</w:t>
      </w:r>
    </w:p>
    <w:p>
      <w:pPr>
        <w:spacing w:before="320" w:after="120" w:line="276" w:lineRule="auto"/>
        <w:jc w:val="left"/>
      </w:pPr>
      <w:r>
        <w:rPr>
          <w:rFonts w:ascii="Times New Roman" w:hAnsi="Times New Roman"/>
          <w:b/>
          <w:color w:val="000000"/>
          <w:sz w:val="24"/>
        </w:rPr>
        <w:t>DESIGN THINKING EMPATHY MAPPING FOR MSME LENDING</w:t>
      </w:r>
    </w:p>
    <w:p>
      <w:pPr>
        <w:spacing w:line="360" w:lineRule="auto" w:after="120"/>
        <w:ind w:firstLine="360"/>
        <w:jc w:val="both"/>
      </w:pPr>
      <w:r>
        <w:rPr>
          <w:rFonts w:ascii="Times New Roman" w:hAnsi="Times New Roman"/>
          <w:sz w:val="24"/>
        </w:rPr>
        <w:t>The development of the AI-Based MSME Credit Risk Assistant was guided by human-centered Design Thinking methodologies. The following empathy mapping captures the lived operational realities, frustrations, and aspirations of commercial credit stakeholders:</w:t>
      </w:r>
    </w:p>
    <w:p>
      <w:pPr>
        <w:pStyle w:val="ListBullet"/>
        <w:spacing w:line="312" w:lineRule="auto" w:after="80"/>
        <w:jc w:val="both"/>
      </w:pPr>
      <w:r>
        <w:rPr>
          <w:rFonts w:ascii="Times New Roman" w:hAnsi="Times New Roman"/>
          <w:b/>
          <w:sz w:val="24"/>
        </w:rPr>
        <w:t xml:space="preserve">• SAYS (Small Business Borrower): </w:t>
      </w:r>
      <w:r>
        <w:rPr>
          <w:rFonts w:ascii="Times New Roman" w:hAnsi="Times New Roman"/>
          <w:sz w:val="24"/>
        </w:rPr>
        <w:t>'Commercial banks demand audited balance sheets and real estate collateral that our light manufacturing unit does not possess. When our loan application is declined after three weeks of scrutiny, the bank provides only a generic refusal code without explaining what went wrong or how to fix our profile.'</w:t>
      </w:r>
    </w:p>
    <w:p>
      <w:pPr>
        <w:pStyle w:val="ListBullet"/>
        <w:spacing w:line="312" w:lineRule="auto" w:after="80"/>
        <w:jc w:val="both"/>
      </w:pPr>
      <w:r>
        <w:rPr>
          <w:rFonts w:ascii="Times New Roman" w:hAnsi="Times New Roman"/>
          <w:b/>
          <w:sz w:val="24"/>
        </w:rPr>
        <w:t xml:space="preserve">• THINKS (Commercial Credit Underwriter): </w:t>
      </w:r>
      <w:r>
        <w:rPr>
          <w:rFonts w:ascii="Times New Roman" w:hAnsi="Times New Roman"/>
          <w:sz w:val="24"/>
        </w:rPr>
        <w:t>'I have a Priority Sector Lending quota to fulfill and genuinely want to deploy capital to expanding local businesses. However, I cannot assume unhedged default liabilities on thin-file enterprises, nor can our credit committee spend 20 hours auditing handwritten ledger notebooks for a ₹15 Lakh ticket loan.'</w:t>
      </w:r>
    </w:p>
    <w:p>
      <w:pPr>
        <w:pStyle w:val="ListBullet"/>
        <w:spacing w:line="312" w:lineRule="auto" w:after="80"/>
        <w:jc w:val="both"/>
      </w:pPr>
      <w:r>
        <w:rPr>
          <w:rFonts w:ascii="Times New Roman" w:hAnsi="Times New Roman"/>
          <w:b/>
          <w:sz w:val="24"/>
        </w:rPr>
        <w:t xml:space="preserve">• DOES (Market Reality &amp; Systemic Impasse): </w:t>
      </w:r>
      <w:r>
        <w:rPr>
          <w:rFonts w:ascii="Times New Roman" w:hAnsi="Times New Roman"/>
          <w:sz w:val="24"/>
        </w:rPr>
        <w:t>Underwriters retreat to ultra-conservative collateral covenants; viable, profitable small enterprises are shut out of formal institutional banking and forced to borrow from informal non-institutional money lenders charging 24% to 36% annualized interest.</w:t>
      </w:r>
    </w:p>
    <w:p>
      <w:pPr>
        <w:pStyle w:val="ListBullet"/>
        <w:spacing w:line="312" w:lineRule="auto" w:after="80"/>
        <w:jc w:val="both"/>
      </w:pPr>
      <w:r>
        <w:rPr>
          <w:rFonts w:ascii="Times New Roman" w:hAnsi="Times New Roman"/>
          <w:b/>
          <w:sz w:val="24"/>
        </w:rPr>
        <w:t xml:space="preserve">• FEELS (Stakeholder Emotional Landscape): </w:t>
      </w:r>
      <w:r>
        <w:rPr>
          <w:rFonts w:ascii="Times New Roman" w:hAnsi="Times New Roman"/>
          <w:sz w:val="24"/>
        </w:rPr>
        <w:t>Borrowers experience profound alienation, financial anxiety, and systemic distrust toward the commercial banking bureaucracy. Loan officers feel overburdened by manual verification overhead and fear regulatory censure for mounting Non-Performing Assets (NPAs).</w:t>
      </w:r>
    </w:p>
    <w:p>
      <w:pPr>
        <w:pStyle w:val="ListBullet"/>
        <w:spacing w:line="312" w:lineRule="auto" w:after="80"/>
        <w:jc w:val="both"/>
      </w:pPr>
      <w:r>
        <w:rPr>
          <w:rFonts w:ascii="Times New Roman" w:hAnsi="Times New Roman"/>
          <w:b/>
          <w:sz w:val="24"/>
        </w:rPr>
        <w:t xml:space="preserve">• SOLUTION (AI-Based MSME Credit Risk Assistant): </w:t>
      </w:r>
      <w:r>
        <w:rPr>
          <w:rFonts w:ascii="Times New Roman" w:hAnsi="Times New Roman"/>
          <w:sz w:val="24"/>
        </w:rPr>
        <w:t>Our platform resolves this institutional impasse by automating ratio evaluation in sub-second latency, explaining risk mathematically via SHAP, establishing an independent 5-Pillar Financial Health Index, and empowering borrowers with an interactive What-If simulator to proactively plan creditworthiness improvements.</w:t>
      </w:r>
    </w:p>
    <w:p>
      <w:r>
        <w:br w:type="page"/>
      </w:r>
    </w:p>
    <w:p>
      <w:pPr>
        <w:spacing w:before="440" w:after="280" w:line="276" w:lineRule="auto"/>
        <w:jc w:val="center"/>
      </w:pPr>
      <w:r>
        <w:rPr>
          <w:rFonts w:ascii="Times New Roman" w:hAnsi="Times New Roman"/>
          <w:b/>
          <w:color w:val="000000"/>
          <w:sz w:val="36"/>
        </w:rPr>
        <w:t>ANNEXURE D: PROJECT TRACKER &amp; MILESTONE EXECUTION RECORD</w:t>
      </w:r>
    </w:p>
    <w:p>
      <w:pPr>
        <w:spacing w:line="360" w:lineRule="auto" w:after="120"/>
        <w:ind w:firstLine="360"/>
        <w:jc w:val="both"/>
      </w:pPr>
      <w:r>
        <w:rPr>
          <w:rFonts w:ascii="Times New Roman" w:hAnsi="Times New Roman"/>
          <w:sz w:val="24"/>
        </w:rPr>
        <w:t>Official weekly meeting logs, technical reviews, and milestone sign-offs conducted under the supervision of project guide Prof. Ruchira Tare:</w:t>
      </w:r>
    </w:p>
    <w:tbl>
      <w:tblPr>
        <w:tblW w:type="auto" w:w="0"/>
        <w:jc w:val="center"/>
        <w:tblLook w:firstColumn="1" w:firstRow="1" w:lastColumn="0" w:lastRow="0" w:noHBand="0" w:noVBand="1" w:val="04A0"/>
      </w:tblPr>
      <w:tblGrid>
        <w:gridCol w:w="2167"/>
        <w:gridCol w:w="2167"/>
        <w:gridCol w:w="2167"/>
        <w:gridCol w:w="2167"/>
      </w:tblGrid>
      <w:tr>
        <w:tc>
          <w:tcPr>
            <w:tcW w:type="dxa" w:w="1440"/>
            <w:shd w:fill="E2E8F0"/>
          </w:tcPr>
          <w:p>
            <w:pPr>
              <w:jc w:val="center"/>
            </w:pPr>
            <w:r>
              <w:rPr>
                <w:rFonts w:ascii="Times New Roman" w:hAnsi="Times New Roman"/>
                <w:b/>
                <w:sz w:val="20"/>
              </w:rPr>
              <w:t>Week / Date</w:t>
            </w:r>
          </w:p>
        </w:tc>
        <w:tc>
          <w:tcPr>
            <w:tcW w:type="dxa" w:w="2016"/>
            <w:shd w:fill="E2E8F0"/>
          </w:tcPr>
          <w:p>
            <w:pPr>
              <w:jc w:val="center"/>
            </w:pPr>
            <w:r>
              <w:rPr>
                <w:rFonts w:ascii="Times New Roman" w:hAnsi="Times New Roman"/>
                <w:b/>
                <w:sz w:val="20"/>
              </w:rPr>
              <w:t>Stage / Milestone</w:t>
            </w:r>
          </w:p>
        </w:tc>
        <w:tc>
          <w:tcPr>
            <w:tcW w:type="dxa" w:w="4608"/>
            <w:shd w:fill="E2E8F0"/>
          </w:tcPr>
          <w:p>
            <w:pPr>
              <w:jc w:val="center"/>
            </w:pPr>
            <w:r>
              <w:rPr>
                <w:rFonts w:ascii="Times New Roman" w:hAnsi="Times New Roman"/>
                <w:b/>
                <w:sz w:val="20"/>
              </w:rPr>
              <w:t>Technical Deliverable &amp; Activity Reviewed</w:t>
            </w:r>
          </w:p>
        </w:tc>
        <w:tc>
          <w:tcPr>
            <w:tcW w:type="dxa" w:w="1440"/>
            <w:shd w:fill="E2E8F0"/>
          </w:tcPr>
          <w:p>
            <w:pPr>
              <w:jc w:val="center"/>
            </w:pPr>
            <w:r>
              <w:rPr>
                <w:rFonts w:ascii="Times New Roman" w:hAnsi="Times New Roman"/>
                <w:b/>
                <w:sz w:val="20"/>
              </w:rPr>
              <w:t>Remarks / Sign-off</w:t>
            </w:r>
          </w:p>
        </w:tc>
      </w:tr>
      <w:tr>
        <w:tc>
          <w:tcPr>
            <w:tcW w:type="dxa" w:w="1440"/>
          </w:tcPr>
          <w:p>
            <w:pPr>
              <w:jc w:val="left"/>
            </w:pPr>
            <w:r>
              <w:rPr>
                <w:rFonts w:ascii="Times New Roman" w:hAnsi="Times New Roman"/>
                <w:sz w:val="19"/>
              </w:rPr>
              <w:t>W1-W2 (Jul)</w:t>
            </w:r>
          </w:p>
        </w:tc>
        <w:tc>
          <w:tcPr>
            <w:tcW w:type="dxa" w:w="2016"/>
          </w:tcPr>
          <w:p>
            <w:pPr>
              <w:jc w:val="center"/>
            </w:pPr>
            <w:r>
              <w:rPr>
                <w:rFonts w:ascii="Times New Roman" w:hAnsi="Times New Roman"/>
                <w:sz w:val="19"/>
              </w:rPr>
              <w:t>Topic Selection</w:t>
            </w:r>
          </w:p>
        </w:tc>
        <w:tc>
          <w:tcPr>
            <w:tcW w:type="dxa" w:w="4608"/>
          </w:tcPr>
          <w:p>
            <w:pPr>
              <w:jc w:val="left"/>
            </w:pPr>
            <w:r>
              <w:rPr>
                <w:rFonts w:ascii="Times New Roman" w:hAnsi="Times New Roman"/>
                <w:sz w:val="19"/>
              </w:rPr>
              <w:t>Problem identification, MSME credit gap analysis, approval of project title</w:t>
            </w:r>
          </w:p>
        </w:tc>
        <w:tc>
          <w:tcPr>
            <w:tcW w:type="dxa" w:w="1440"/>
          </w:tcPr>
          <w:p>
            <w:pPr>
              <w:jc w:val="center"/>
            </w:pPr>
            <w:r>
              <w:rPr>
                <w:rFonts w:ascii="Times New Roman" w:hAnsi="Times New Roman"/>
                <w:sz w:val="19"/>
              </w:rPr>
              <w:t>Approved by Guide</w:t>
            </w:r>
          </w:p>
        </w:tc>
      </w:tr>
      <w:tr>
        <w:tc>
          <w:tcPr>
            <w:tcW w:type="dxa" w:w="1440"/>
            <w:shd w:fill="F8FAFC"/>
          </w:tcPr>
          <w:p>
            <w:pPr>
              <w:jc w:val="left"/>
            </w:pPr>
            <w:r>
              <w:rPr>
                <w:rFonts w:ascii="Times New Roman" w:hAnsi="Times New Roman"/>
                <w:sz w:val="19"/>
              </w:rPr>
              <w:t>W3-W4 (Aug)</w:t>
            </w:r>
          </w:p>
        </w:tc>
        <w:tc>
          <w:tcPr>
            <w:tcW w:type="dxa" w:w="2016"/>
            <w:shd w:fill="F8FAFC"/>
          </w:tcPr>
          <w:p>
            <w:pPr>
              <w:jc w:val="center"/>
            </w:pPr>
            <w:r>
              <w:rPr>
                <w:rFonts w:ascii="Times New Roman" w:hAnsi="Times New Roman"/>
                <w:sz w:val="19"/>
              </w:rPr>
              <w:t>Literature Survey</w:t>
            </w:r>
          </w:p>
        </w:tc>
        <w:tc>
          <w:tcPr>
            <w:tcW w:type="dxa" w:w="4608"/>
            <w:shd w:fill="F8FAFC"/>
          </w:tcPr>
          <w:p>
            <w:pPr>
              <w:jc w:val="left"/>
            </w:pPr>
            <w:r>
              <w:rPr>
                <w:rFonts w:ascii="Times New Roman" w:hAnsi="Times New Roman"/>
                <w:sz w:val="19"/>
              </w:rPr>
              <w:t>Detailed review of base paper (Bussmann et al., 2021) and SMOTE/SHAP studies</w:t>
            </w:r>
          </w:p>
        </w:tc>
        <w:tc>
          <w:tcPr>
            <w:tcW w:type="dxa" w:w="1440"/>
            <w:shd w:fill="F8FAFC"/>
          </w:tcPr>
          <w:p>
            <w:pPr>
              <w:jc w:val="center"/>
            </w:pPr>
            <w:r>
              <w:rPr>
                <w:rFonts w:ascii="Times New Roman" w:hAnsi="Times New Roman"/>
                <w:sz w:val="19"/>
              </w:rPr>
              <w:t>Approved by Guide</w:t>
            </w:r>
          </w:p>
        </w:tc>
      </w:tr>
      <w:tr>
        <w:tc>
          <w:tcPr>
            <w:tcW w:type="dxa" w:w="1440"/>
          </w:tcPr>
          <w:p>
            <w:pPr>
              <w:jc w:val="left"/>
            </w:pPr>
            <w:r>
              <w:rPr>
                <w:rFonts w:ascii="Times New Roman" w:hAnsi="Times New Roman"/>
                <w:sz w:val="19"/>
              </w:rPr>
              <w:t>W5-W8 (Sep)</w:t>
            </w:r>
          </w:p>
        </w:tc>
        <w:tc>
          <w:tcPr>
            <w:tcW w:type="dxa" w:w="2016"/>
          </w:tcPr>
          <w:p>
            <w:pPr>
              <w:jc w:val="center"/>
            </w:pPr>
            <w:r>
              <w:rPr>
                <w:rFonts w:ascii="Times New Roman" w:hAnsi="Times New Roman"/>
                <w:sz w:val="19"/>
              </w:rPr>
              <w:t>Pipeline Design</w:t>
            </w:r>
          </w:p>
        </w:tc>
        <w:tc>
          <w:tcPr>
            <w:tcW w:type="dxa" w:w="4608"/>
          </w:tcPr>
          <w:p>
            <w:pPr>
              <w:jc w:val="left"/>
            </w:pPr>
            <w:r>
              <w:rPr>
                <w:rFonts w:ascii="Times New Roman" w:hAnsi="Times New Roman"/>
                <w:sz w:val="19"/>
              </w:rPr>
              <w:t>Synthetic MSME dataset generator, ratio engineering, zero-leakage pipeline</w:t>
            </w:r>
          </w:p>
        </w:tc>
        <w:tc>
          <w:tcPr>
            <w:tcW w:type="dxa" w:w="1440"/>
          </w:tcPr>
          <w:p>
            <w:pPr>
              <w:jc w:val="center"/>
            </w:pPr>
            <w:r>
              <w:rPr>
                <w:rFonts w:ascii="Times New Roman" w:hAnsi="Times New Roman"/>
                <w:sz w:val="19"/>
              </w:rPr>
              <w:t>Approved by Guide</w:t>
            </w:r>
          </w:p>
        </w:tc>
      </w:tr>
      <w:tr>
        <w:tc>
          <w:tcPr>
            <w:tcW w:type="dxa" w:w="1440"/>
            <w:shd w:fill="F8FAFC"/>
          </w:tcPr>
          <w:p>
            <w:pPr>
              <w:jc w:val="left"/>
            </w:pPr>
            <w:r>
              <w:rPr>
                <w:rFonts w:ascii="Times New Roman" w:hAnsi="Times New Roman"/>
                <w:sz w:val="19"/>
              </w:rPr>
              <w:t>W9-W14 (Oct)</w:t>
            </w:r>
          </w:p>
        </w:tc>
        <w:tc>
          <w:tcPr>
            <w:tcW w:type="dxa" w:w="2016"/>
            <w:shd w:fill="F8FAFC"/>
          </w:tcPr>
          <w:p>
            <w:pPr>
              <w:jc w:val="center"/>
            </w:pPr>
            <w:r>
              <w:rPr>
                <w:rFonts w:ascii="Times New Roman" w:hAnsi="Times New Roman"/>
                <w:sz w:val="19"/>
              </w:rPr>
              <w:t>Model Training</w:t>
            </w:r>
          </w:p>
        </w:tc>
        <w:tc>
          <w:tcPr>
            <w:tcW w:type="dxa" w:w="4608"/>
            <w:shd w:fill="F8FAFC"/>
          </w:tcPr>
          <w:p>
            <w:pPr>
              <w:jc w:val="left"/>
            </w:pPr>
            <w:r>
              <w:rPr>
                <w:rFonts w:ascii="Times New Roman" w:hAnsi="Times New Roman"/>
                <w:sz w:val="19"/>
              </w:rPr>
              <w:t>Stratified 5-Fold CV, SMOTE/ADASYN comparison, champion model selection</w:t>
            </w:r>
          </w:p>
        </w:tc>
        <w:tc>
          <w:tcPr>
            <w:tcW w:type="dxa" w:w="1440"/>
            <w:shd w:fill="F8FAFC"/>
          </w:tcPr>
          <w:p>
            <w:pPr>
              <w:jc w:val="center"/>
            </w:pPr>
            <w:r>
              <w:rPr>
                <w:rFonts w:ascii="Times New Roman" w:hAnsi="Times New Roman"/>
                <w:sz w:val="19"/>
              </w:rPr>
              <w:t>Approved by Guide</w:t>
            </w:r>
          </w:p>
        </w:tc>
      </w:tr>
      <w:tr>
        <w:tc>
          <w:tcPr>
            <w:tcW w:type="dxa" w:w="1440"/>
          </w:tcPr>
          <w:p>
            <w:pPr>
              <w:jc w:val="left"/>
            </w:pPr>
            <w:r>
              <w:rPr>
                <w:rFonts w:ascii="Times New Roman" w:hAnsi="Times New Roman"/>
                <w:sz w:val="19"/>
              </w:rPr>
              <w:t>W15-W18 (Nov)</w:t>
            </w:r>
          </w:p>
        </w:tc>
        <w:tc>
          <w:tcPr>
            <w:tcW w:type="dxa" w:w="2016"/>
          </w:tcPr>
          <w:p>
            <w:pPr>
              <w:jc w:val="center"/>
            </w:pPr>
            <w:r>
              <w:rPr>
                <w:rFonts w:ascii="Times New Roman" w:hAnsi="Times New Roman"/>
                <w:sz w:val="19"/>
              </w:rPr>
              <w:t>XAI &amp; Simulation</w:t>
            </w:r>
          </w:p>
        </w:tc>
        <w:tc>
          <w:tcPr>
            <w:tcW w:type="dxa" w:w="4608"/>
          </w:tcPr>
          <w:p>
            <w:pPr>
              <w:jc w:val="left"/>
            </w:pPr>
            <w:r>
              <w:rPr>
                <w:rFonts w:ascii="Times New Roman" w:hAnsi="Times New Roman"/>
                <w:sz w:val="19"/>
              </w:rPr>
              <w:t>Implementation of SHAP Linear/Tree explainers, 5-pillar health scoring, What-If</w:t>
            </w:r>
          </w:p>
        </w:tc>
        <w:tc>
          <w:tcPr>
            <w:tcW w:type="dxa" w:w="1440"/>
          </w:tcPr>
          <w:p>
            <w:pPr>
              <w:jc w:val="center"/>
            </w:pPr>
            <w:r>
              <w:rPr>
                <w:rFonts w:ascii="Times New Roman" w:hAnsi="Times New Roman"/>
                <w:sz w:val="19"/>
              </w:rPr>
              <w:t>Approved by Guide</w:t>
            </w:r>
          </w:p>
        </w:tc>
      </w:tr>
      <w:tr>
        <w:tc>
          <w:tcPr>
            <w:tcW w:type="dxa" w:w="1440"/>
            <w:shd w:fill="F8FAFC"/>
          </w:tcPr>
          <w:p>
            <w:pPr>
              <w:jc w:val="left"/>
            </w:pPr>
            <w:r>
              <w:rPr>
                <w:rFonts w:ascii="Times New Roman" w:hAnsi="Times New Roman"/>
                <w:sz w:val="19"/>
              </w:rPr>
              <w:t>W19-W22 (Dec)</w:t>
            </w:r>
          </w:p>
        </w:tc>
        <w:tc>
          <w:tcPr>
            <w:tcW w:type="dxa" w:w="2016"/>
            <w:shd w:fill="F8FAFC"/>
          </w:tcPr>
          <w:p>
            <w:pPr>
              <w:jc w:val="center"/>
            </w:pPr>
            <w:r>
              <w:rPr>
                <w:rFonts w:ascii="Times New Roman" w:hAnsi="Times New Roman"/>
                <w:sz w:val="19"/>
              </w:rPr>
              <w:t>UI &amp; Persistence</w:t>
            </w:r>
          </w:p>
        </w:tc>
        <w:tc>
          <w:tcPr>
            <w:tcW w:type="dxa" w:w="4608"/>
            <w:shd w:fill="F8FAFC"/>
          </w:tcPr>
          <w:p>
            <w:pPr>
              <w:jc w:val="left"/>
            </w:pPr>
            <w:r>
              <w:rPr>
                <w:rFonts w:ascii="Times New Roman" w:hAnsi="Times New Roman"/>
                <w:sz w:val="19"/>
              </w:rPr>
              <w:t>Streamlit dashboard development, SQLite database schema, PDF report generator</w:t>
            </w:r>
          </w:p>
        </w:tc>
        <w:tc>
          <w:tcPr>
            <w:tcW w:type="dxa" w:w="1440"/>
            <w:shd w:fill="F8FAFC"/>
          </w:tcPr>
          <w:p>
            <w:pPr>
              <w:jc w:val="center"/>
            </w:pPr>
            <w:r>
              <w:rPr>
                <w:rFonts w:ascii="Times New Roman" w:hAnsi="Times New Roman"/>
                <w:sz w:val="19"/>
              </w:rPr>
              <w:t>Approved by Guide</w:t>
            </w:r>
          </w:p>
        </w:tc>
      </w:tr>
      <w:tr>
        <w:tc>
          <w:tcPr>
            <w:tcW w:type="dxa" w:w="1440"/>
          </w:tcPr>
          <w:p>
            <w:pPr>
              <w:jc w:val="left"/>
            </w:pPr>
            <w:r>
              <w:rPr>
                <w:rFonts w:ascii="Times New Roman" w:hAnsi="Times New Roman"/>
                <w:sz w:val="19"/>
              </w:rPr>
              <w:t>W23-W24 (Jan)</w:t>
            </w:r>
          </w:p>
        </w:tc>
        <w:tc>
          <w:tcPr>
            <w:tcW w:type="dxa" w:w="2016"/>
          </w:tcPr>
          <w:p>
            <w:pPr>
              <w:jc w:val="center"/>
            </w:pPr>
            <w:r>
              <w:rPr>
                <w:rFonts w:ascii="Times New Roman" w:hAnsi="Times New Roman"/>
                <w:sz w:val="19"/>
              </w:rPr>
              <w:t>Testing &amp; Report</w:t>
            </w:r>
          </w:p>
        </w:tc>
        <w:tc>
          <w:tcPr>
            <w:tcW w:type="dxa" w:w="4608"/>
          </w:tcPr>
          <w:p>
            <w:pPr>
              <w:jc w:val="left"/>
            </w:pPr>
            <w:r>
              <w:rPr>
                <w:rFonts w:ascii="Times New Roman" w:hAnsi="Times New Roman"/>
                <w:sz w:val="19"/>
              </w:rPr>
              <w:t>PyTest 7 test suites, draft project report compilation, final viva rehearsal</w:t>
            </w:r>
          </w:p>
        </w:tc>
        <w:tc>
          <w:tcPr>
            <w:tcW w:type="dxa" w:w="1440"/>
          </w:tcPr>
          <w:p>
            <w:pPr>
              <w:jc w:val="center"/>
            </w:pPr>
            <w:r>
              <w:rPr>
                <w:rFonts w:ascii="Times New Roman" w:hAnsi="Times New Roman"/>
                <w:sz w:val="19"/>
              </w:rPr>
              <w:t>Approved by Guide</w:t>
            </w:r>
          </w:p>
        </w:tc>
      </w:tr>
    </w:tbl>
    <w:p>
      <w:r>
        <w:br w:type="page"/>
      </w:r>
    </w:p>
    <w:p>
      <w:pPr>
        <w:spacing w:before="440" w:after="280" w:line="276" w:lineRule="auto"/>
        <w:jc w:val="center"/>
      </w:pPr>
      <w:r>
        <w:rPr>
          <w:rFonts w:ascii="Times New Roman" w:hAnsi="Times New Roman"/>
          <w:b/>
          <w:color w:val="000000"/>
          <w:sz w:val="36"/>
        </w:rPr>
        <w:t>OFFICIAL ITHENTICATE PLAGIARISM &amp; INTEGRITY CERTIFICATE</w:t>
      </w:r>
    </w:p>
    <w:p>
      <w:pPr>
        <w:spacing w:before="160" w:after="160"/>
        <w:jc w:val="center"/>
      </w:pPr>
      <w:r>
        <w:drawing>
          <wp:inline xmlns:a="http://schemas.openxmlformats.org/drawingml/2006/main" xmlns:pic="http://schemas.openxmlformats.org/drawingml/2006/picture">
            <wp:extent cx="4937760" cy="6384175"/>
            <wp:docPr id="19" name="Picture 19"/>
            <wp:cNvGraphicFramePr>
              <a:graphicFrameLocks noChangeAspect="1"/>
            </wp:cNvGraphicFramePr>
            <a:graphic>
              <a:graphicData uri="http://schemas.openxmlformats.org/drawingml/2006/picture">
                <pic:pic>
                  <pic:nvPicPr>
                    <pic:cNvPr id="0" name="ithenticate_plagiarism_report.png"/>
                    <pic:cNvPicPr/>
                  </pic:nvPicPr>
                  <pic:blipFill>
                    <a:blip r:embed="rId26"/>
                    <a:stretch>
                      <a:fillRect/>
                    </a:stretch>
                  </pic:blipFill>
                  <pic:spPr>
                    <a:xfrm>
                      <a:off x="0" y="0"/>
                      <a:ext cx="4937760" cy="6384175"/>
                    </a:xfrm>
                    <a:prstGeom prst="rect"/>
                  </pic:spPr>
                </pic:pic>
              </a:graphicData>
            </a:graphic>
          </wp:inline>
        </w:drawing>
      </w:r>
    </w:p>
    <w:p>
      <w:pPr>
        <w:jc w:val="center"/>
      </w:pPr>
      <w:r>
        <w:rPr>
          <w:rFonts w:ascii="Times New Roman" w:hAnsi="Times New Roman"/>
          <w:b/>
          <w:sz w:val="20"/>
        </w:rPr>
        <w:t>Official iThenticate Integrity Overview Certificate (Submission ID: trn:oid:::3117342624807 - 7% Overall Similarity)</w:t>
      </w:r>
    </w:p>
    <w:sectPr w:rsidR="00FC693F" w:rsidRPr="0006063C" w:rsidSect="00034616">
      <w:pgSz w:w="11909" w:h="16834"/>
      <w:pgMar w:top="1440" w:right="1440" w:bottom="1440" w:left="180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3C3C3C"/>
        <w:sz w:val="20"/>
      </w:rPr>
      <w:t>BV(DU)COE, Department of Computer Engineering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