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PARAGRAPH-WISE REPLY TO LEGAL NOTICE (ENGLISH)</w:t>
      </w:r>
    </w:p>
    <w:p>
      <w:pPr>
        <w:jc w:val="center"/>
      </w:pPr>
      <w:r>
        <w:rPr>
          <w:i/>
          <w:sz w:val="20"/>
        </w:rPr>
        <w:t>Based on Legal Notice dated 11 March 2026</w:t>
      </w:r>
    </w:p>
    <w:p/>
    <w:p>
      <w:pPr>
        <w:pStyle w:val="Heading1"/>
      </w:pPr>
      <w:r>
        <w:t>WITHOUT PREJUDICE</w:t>
      </w:r>
    </w:p>
    <w:p>
      <w:r>
        <w:t>Date: ____________</w:t>
      </w:r>
    </w:p>
    <w:p>
      <w:r>
        <w:t>To,</w:t>
        <w:br/>
        <w:t>Ms. Anita Parmar</w:t>
        <w:br/>
        <w:t>Through Advocate</w:t>
      </w:r>
    </w:p>
    <w:p>
      <w:pPr>
        <w:pStyle w:val="Heading1"/>
      </w:pPr>
      <w:r>
        <w:t>Subject: Paragraph-wise Reply to Legal Notice dated 11 March 2026</w:t>
      </w:r>
    </w:p>
    <w:p>
      <w:r>
        <w:t>Under instructions from and on behalf of our client, Mr. Avinash Rijhwani, Founder &amp; Group Managing Director, THE HNI WORLD GROUP OF COMPANIES, Ahmedabad, we hereby issue this paragraph-wise reply. Save and except what is specifically admitted herein, all allegations, claims, inferences and averments made in your notice are denied.</w:t>
      </w:r>
    </w:p>
    <w:p>
      <w:pPr>
        <w:pStyle w:val="Heading1"/>
      </w:pPr>
      <w:r>
        <w:t>Preliminary Objections</w:t>
      </w:r>
    </w:p>
    <w:p>
      <w:pPr>
        <w:pStyle w:val="ListBullet"/>
      </w:pPr>
      <w:r>
        <w:t>Your notice is based on incomplete, selective and self-serving facts and suppresses material facts relating to misconduct, discipline, performance, office decorum, handover and conditional employment continuation.</w:t>
      </w:r>
    </w:p>
    <w:p>
      <w:pPr>
        <w:pStyle w:val="ListBullet"/>
      </w:pPr>
      <w:r>
        <w:t>Your client is put to strict proof of every allegation, claim, calculation, performance assertion and legal conclusion made in the notice.</w:t>
      </w:r>
    </w:p>
    <w:p>
      <w:pPr>
        <w:pStyle w:val="ListBullet"/>
      </w:pPr>
      <w:r>
        <w:t>No automatic right to incentive, embellished service certificate or false character endorsement ever accrued to your client.</w:t>
      </w:r>
    </w:p>
    <w:p>
      <w:pPr>
        <w:pStyle w:val="Heading1"/>
      </w:pPr>
      <w:r>
        <w:t>Reply to Para 1</w:t>
      </w:r>
    </w:p>
    <w:p>
      <w:pPr>
        <w:pStyle w:val="ListBullet"/>
      </w:pPr>
      <w:r>
        <w:t>It is admitted that your client was initially appointed and that a revised appointment letter was later issued. However, it is specifically denied that such revision was on account of any ‘excellent performance’.</w:t>
      </w:r>
    </w:p>
    <w:p>
      <w:pPr>
        <w:pStyle w:val="ListBullet"/>
      </w:pPr>
      <w:r>
        <w:t>The revised / second appointment was part of a stricter disciplinary and conditional continuation arrangement after prior concerns had already arisen regarding conduct, office behaviour, discipline and work standards.</w:t>
      </w:r>
    </w:p>
    <w:p>
      <w:pPr>
        <w:pStyle w:val="ListBullet"/>
      </w:pPr>
      <w:r>
        <w:t>The mere revision of remuneration cannot be misrepresented as a clean certificate of satisfactory conduct or uninterrupted performance.</w:t>
      </w:r>
    </w:p>
    <w:p>
      <w:pPr>
        <w:pStyle w:val="Heading1"/>
      </w:pPr>
      <w:r>
        <w:t>Reply to Para 2</w:t>
      </w:r>
    </w:p>
    <w:p>
      <w:pPr>
        <w:pStyle w:val="ListBullet"/>
      </w:pPr>
      <w:r>
        <w:t>The contents of para 2 are emphatically denied.</w:t>
      </w:r>
    </w:p>
    <w:p>
      <w:pPr>
        <w:pStyle w:val="ListBullet"/>
      </w:pPr>
      <w:r>
        <w:t>Your client did not discharge her duties with the level of sincerity, diligence and professionalism now claimed. On the contrary, repeated concerns arose regarding poor follow-up, work discipline, operational inconsistency, quotation handling, team guidance and office conduct.</w:t>
      </w:r>
    </w:p>
    <w:p>
      <w:pPr>
        <w:pStyle w:val="ListBullet"/>
      </w:pPr>
      <w:r>
        <w:t>Your client is put to strict proof of alleged ‘substantial business opportunities’, ‘profitable closures’ and ‘revenue generation’, including documentary proof of target achievement and attributable profitability.</w:t>
      </w:r>
    </w:p>
    <w:p>
      <w:pPr>
        <w:pStyle w:val="Heading1"/>
      </w:pPr>
      <w:r>
        <w:t>Reply to Para 3</w:t>
      </w:r>
    </w:p>
    <w:p>
      <w:pPr>
        <w:pStyle w:val="ListBullet"/>
      </w:pPr>
      <w:r>
        <w:t>It is admitted that your client sent a resignation communication dated 26/06/2025. However, the narrative now attempted to be built around that resignation is misleading and incomplete.</w:t>
      </w:r>
    </w:p>
    <w:p>
      <w:pPr>
        <w:pStyle w:val="ListBullet"/>
      </w:pPr>
      <w:r>
        <w:t>Any continuation after such resignation communication was at the discretion of management and subject to work, conduct, discipline, operational requirement and satisfactory transition.</w:t>
      </w:r>
    </w:p>
    <w:p>
      <w:pPr>
        <w:pStyle w:val="ListBullet"/>
      </w:pPr>
      <w:r>
        <w:t>Your client cannot selectively rely on resignation while suppressing the subsequent misconduct / non-performance issues and the employer’s right to discontinue services based on actual conduct and business considerations.</w:t>
      </w:r>
    </w:p>
    <w:p>
      <w:pPr>
        <w:pStyle w:val="Heading1"/>
      </w:pPr>
      <w:r>
        <w:t>Reply to Para 4</w:t>
      </w:r>
    </w:p>
    <w:p>
      <w:pPr>
        <w:pStyle w:val="ListBullet"/>
      </w:pPr>
      <w:r>
        <w:t>It is denied that your client completed a full, clean and satisfactory handover in the manner alleged.</w:t>
      </w:r>
    </w:p>
    <w:p>
      <w:pPr>
        <w:pStyle w:val="ListBullet"/>
      </w:pPr>
      <w:r>
        <w:t>The company’s case is that serious concerns remained regarding adequacy of handover, continuity of work, business follow-up, operational transition and handling / continuity of company-related information and records.</w:t>
      </w:r>
    </w:p>
    <w:p>
      <w:pPr>
        <w:pStyle w:val="ListBullet"/>
      </w:pPr>
      <w:r>
        <w:t>Your client is put to strict proof regarding the claim that all company properties, access and responsibilities were duly and properly handed over in complete form.</w:t>
      </w:r>
    </w:p>
    <w:p>
      <w:pPr>
        <w:pStyle w:val="Heading1"/>
      </w:pPr>
      <w:r>
        <w:t>Reply to Para 5</w:t>
      </w:r>
    </w:p>
    <w:p>
      <w:pPr>
        <w:pStyle w:val="ListBullet"/>
      </w:pPr>
      <w:r>
        <w:t>The contents of para 5 are denied. The termination / discontinuation communication was neither fabricated nor malicious.</w:t>
      </w:r>
    </w:p>
    <w:p>
      <w:pPr>
        <w:pStyle w:val="ListBullet"/>
      </w:pPr>
      <w:r>
        <w:t>The said communication was issued to formally place on record the management’s position in view of your client’s conduct, performance concerns, work irregularities and operational issues already existing before and around the exit phase.</w:t>
      </w:r>
    </w:p>
    <w:p>
      <w:pPr>
        <w:pStyle w:val="ListBullet"/>
      </w:pPr>
      <w:r>
        <w:t>The allegations mentioned in the communication were not concocted afterthoughts but reflected the company’s actual grievances and experience with your client’s service conduct.</w:t>
      </w:r>
    </w:p>
    <w:p>
      <w:pPr>
        <w:pStyle w:val="Heading1"/>
      </w:pPr>
      <w:r>
        <w:t>Reply to Para 6</w:t>
      </w:r>
    </w:p>
    <w:p>
      <w:pPr>
        <w:pStyle w:val="ListBullet"/>
      </w:pPr>
      <w:r>
        <w:t>The legal conclusions drawn in para 6 are denied as misconceived, exaggerated and inapplicable in the manner presented.</w:t>
      </w:r>
    </w:p>
    <w:p>
      <w:pPr>
        <w:pStyle w:val="ListBullet"/>
      </w:pPr>
      <w:r>
        <w:t>This is not a case that can be simplistically projected as a clean accepted resignation followed by an arbitrary retrospective action. The factual matrix involves serious issues of performance, conduct, discipline, management dissatisfaction and service discontinuation.</w:t>
      </w:r>
    </w:p>
    <w:p>
      <w:pPr>
        <w:pStyle w:val="ListBullet"/>
      </w:pPr>
      <w:r>
        <w:t>Your client is not entitled to mischaracterize every employer-side adverse communication as ‘illegal retrenchment’ or ‘unfair labour practice’ merely because the company disputes her service record and incentive entitlement.</w:t>
      </w:r>
    </w:p>
    <w:p>
      <w:pPr>
        <w:pStyle w:val="Heading1"/>
      </w:pPr>
      <w:r>
        <w:t>Reply to Para 7</w:t>
      </w:r>
    </w:p>
    <w:p>
      <w:pPr>
        <w:pStyle w:val="ListBullet"/>
      </w:pPr>
      <w:r>
        <w:t>The contents of para 7 are denied. There was no unlawful withholding of any automatically payable amount.</w:t>
      </w:r>
    </w:p>
    <w:p>
      <w:pPr>
        <w:pStyle w:val="ListBullet"/>
      </w:pPr>
      <w:r>
        <w:t>Salary payable as per company records and applicable service position has already been addressed by the company. Incentive was never fixed, automatic or unconditional.</w:t>
      </w:r>
    </w:p>
    <w:p>
      <w:pPr>
        <w:pStyle w:val="ListBullet"/>
      </w:pPr>
      <w:r>
        <w:t>Any incentive, if at all, was performance-linked, target-linked, profitability-linked and subject to management review / approval. Your client failed to meet the required benchmark and therefore no incentive became payable.</w:t>
      </w:r>
    </w:p>
    <w:p>
      <w:pPr>
        <w:pStyle w:val="Heading1"/>
      </w:pPr>
      <w:r>
        <w:t>Reply to Para 8</w:t>
      </w:r>
    </w:p>
    <w:p>
      <w:pPr>
        <w:pStyle w:val="ListBullet"/>
      </w:pPr>
      <w:r>
        <w:t>The contents of para 8 are denied to the extent they suggest unlawful evasion of liability.</w:t>
      </w:r>
    </w:p>
    <w:p>
      <w:pPr>
        <w:pStyle w:val="ListBullet"/>
      </w:pPr>
      <w:r>
        <w:t>Your client’s repeated follow-up does not create a legal entitlement where none exists. The company was entitled to examine the service record, dues position, document position and related disputes before responding.</w:t>
      </w:r>
    </w:p>
    <w:p>
      <w:pPr>
        <w:pStyle w:val="ListBullet"/>
      </w:pPr>
      <w:r>
        <w:t>The reference to subsequent email communication is being selectively used and is denied in the interpretation sought to be imposed by your client.</w:t>
      </w:r>
    </w:p>
    <w:p>
      <w:pPr>
        <w:pStyle w:val="Heading1"/>
      </w:pPr>
      <w:r>
        <w:t>Reply to Para 9</w:t>
      </w:r>
    </w:p>
    <w:p>
      <w:pPr>
        <w:pStyle w:val="ListBullet"/>
      </w:pPr>
      <w:r>
        <w:t>The contents of para 9 are denied. No actionable defamation is made out merely because the employer has placed its service-related concerns on record.</w:t>
      </w:r>
    </w:p>
    <w:p>
      <w:pPr>
        <w:pStyle w:val="ListBullet"/>
      </w:pPr>
      <w:r>
        <w:t>Where an employer communicates work-related dissatisfaction, misconduct concerns, handover concerns or internal service issues in the course of employment administration and exit documentation, the same cannot be casually labelled as defamation.</w:t>
      </w:r>
    </w:p>
    <w:p>
      <w:pPr>
        <w:pStyle w:val="ListBullet"/>
      </w:pPr>
      <w:r>
        <w:t>Your client is put to strict proof of alleged reputational loss, professional detriment and mental agony.</w:t>
      </w:r>
    </w:p>
    <w:p>
      <w:pPr>
        <w:pStyle w:val="Heading1"/>
      </w:pPr>
      <w:r>
        <w:t>Reply to Demands A to D</w:t>
      </w:r>
    </w:p>
    <w:p>
      <w:pPr>
        <w:pStyle w:val="ListBullet"/>
      </w:pPr>
      <w:r>
        <w:t>Demand A is denied except to the extent of any lawful and actually payable amount already addressed by the company. Pending incentive is specifically denied.</w:t>
      </w:r>
    </w:p>
    <w:p>
      <w:pPr>
        <w:pStyle w:val="ListBullet"/>
      </w:pPr>
      <w:r>
        <w:t>Demand B is partly accepted only to the limited extent that the company is willing, without prejudice, to issue neutral and factual relieving / experience documentation strictly in accordance with company records. The company is under no legal obligation to issue embellished or misleading praise-based documents.</w:t>
      </w:r>
    </w:p>
    <w:p>
      <w:pPr>
        <w:pStyle w:val="ListBullet"/>
      </w:pPr>
      <w:r>
        <w:t>Demand C is rejected. The company is not required to withdraw factual employer-side service concerns merely because the employee disputes them.</w:t>
      </w:r>
    </w:p>
    <w:p>
      <w:pPr>
        <w:pStyle w:val="ListBullet"/>
      </w:pPr>
      <w:r>
        <w:t>Demand D for legal notice charges is denied.</w:t>
      </w:r>
    </w:p>
    <w:p>
      <w:pPr>
        <w:pStyle w:val="Heading1"/>
      </w:pPr>
      <w:r>
        <w:t>Additional Reservation of Rights</w:t>
      </w:r>
    </w:p>
    <w:p>
      <w:pPr>
        <w:pStyle w:val="ListBullet"/>
      </w:pPr>
      <w:r>
        <w:t>Without prejudice to the above, our client is also aware that your client is associated with / working with TRAVELCLUES INDIA PRIVATE LIMITED, which operates in the same competing business vertical.</w:t>
      </w:r>
    </w:p>
    <w:p>
      <w:pPr>
        <w:pStyle w:val="ListBullet"/>
      </w:pPr>
      <w:r>
        <w:t>While our client does not seek to unlawfully restrain lawful livelihood, your client remains bound by confidentiality, business protection, conflict-related and non-solicitation style obligations arising from her service terms and business exposure.</w:t>
      </w:r>
    </w:p>
    <w:p>
      <w:pPr>
        <w:pStyle w:val="ListBullet"/>
      </w:pPr>
      <w:r>
        <w:t>Any use, transfer, disclosure, solicitation, diversion or exploitation of confidential business information, customer/vendor relationships, quotation logic, pricing structure, internal know-how, company records or sensitive business material shall invite appropriate legal proceedings, civil and/or criminal, as advised.</w:t>
      </w:r>
    </w:p>
    <w:p>
      <w:pPr>
        <w:pStyle w:val="Heading1"/>
      </w:pPr>
      <w:r>
        <w:t>Final Position</w:t>
      </w:r>
    </w:p>
    <w:p>
      <w:pPr>
        <w:pStyle w:val="ListBullet"/>
      </w:pPr>
      <w:r>
        <w:t>Accordingly, the allegations and claims raised in the legal notice are denied save and except what is specifically admitted herein.</w:t>
      </w:r>
    </w:p>
    <w:p>
      <w:pPr>
        <w:pStyle w:val="ListBullet"/>
      </w:pPr>
      <w:r>
        <w:t>Your client’s claim for incentive is rejected. The company reserves all rights and remedies in law and equity.</w:t>
      </w:r>
    </w:p>
    <w:p>
      <w:pPr>
        <w:pStyle w:val="ListBullet"/>
      </w:pPr>
      <w:r>
        <w:t>This reply is issued without prejudice to all legal rights and contentions.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