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428E1C" w:rsidP="4B7F2AA9" w:rsidRDefault="73428E1C" w14:paraId="26A05789" w14:textId="3312C227">
      <w:pPr>
        <w:jc w:val="center"/>
        <w:rPr>
          <w:rFonts w:ascii="Calibri" w:hAnsi="Calibri" w:eastAsia="Calibri" w:cs="Calibri"/>
          <w:b/>
          <w:bCs/>
          <w:sz w:val="22"/>
          <w:szCs w:val="22"/>
        </w:rPr>
      </w:pPr>
      <w:r w:rsidRPr="4B7F2AA9">
        <w:rPr>
          <w:rFonts w:ascii="Calibri" w:hAnsi="Calibri" w:eastAsia="Calibri" w:cs="Calibri"/>
          <w:b/>
          <w:bCs/>
          <w:sz w:val="22"/>
          <w:szCs w:val="22"/>
        </w:rPr>
        <w:t>ISMG 6820 GROUP-8 Executive Summary</w:t>
      </w:r>
    </w:p>
    <w:p w:rsidR="68ACB0E0" w:rsidP="61BD04F5" w:rsidRDefault="68ACB0E0" w14:paraId="3EA2E057" w14:textId="464FABD1">
      <w:pPr>
        <w:rPr>
          <w:rFonts w:ascii="Calibri" w:hAnsi="Calibri" w:eastAsia="Calibri" w:cs="Calibri"/>
          <w:sz w:val="22"/>
          <w:szCs w:val="22"/>
        </w:rPr>
      </w:pPr>
      <w:r w:rsidRPr="4B7F2AA9">
        <w:rPr>
          <w:rFonts w:ascii="Calibri" w:hAnsi="Calibri" w:eastAsia="Calibri" w:cs="Calibri"/>
          <w:sz w:val="22"/>
          <w:szCs w:val="22"/>
        </w:rPr>
        <w:t>Big Store Company's (BSC) budget strategy is centered on maximizing revenue growth in the face of shifting market dynamics and strategic decisions. We seek to offer a roadmap in accordance with BSC's goals by thorough analysis and forecasting, considering both baseline estimates and stretch possibilities.</w:t>
      </w:r>
      <w:r>
        <w:br/>
      </w:r>
    </w:p>
    <w:p w:rsidR="4F0579A0" w:rsidP="4B7F2AA9" w:rsidRDefault="4F0579A0" w14:paraId="11A732F0" w14:textId="5212C8DA">
      <w:pPr>
        <w:spacing w:line="259" w:lineRule="auto"/>
        <w:rPr>
          <w:rFonts w:ascii="Calibri" w:hAnsi="Calibri" w:eastAsia="Calibri" w:cs="Calibri"/>
          <w:b w:val="1"/>
          <w:bCs w:val="1"/>
          <w:sz w:val="22"/>
          <w:szCs w:val="22"/>
        </w:rPr>
      </w:pPr>
      <w:r w:rsidRPr="255B4B9F" w:rsidR="4AF341D8">
        <w:rPr>
          <w:rFonts w:ascii="Calibri" w:hAnsi="Calibri" w:eastAsia="Calibri" w:cs="Calibri"/>
          <w:b w:val="1"/>
          <w:bCs w:val="1"/>
          <w:sz w:val="22"/>
          <w:szCs w:val="22"/>
        </w:rPr>
        <w:t>Variance Analysis</w:t>
      </w:r>
      <w:r w:rsidRPr="255B4B9F" w:rsidR="734B612E">
        <w:rPr>
          <w:rFonts w:ascii="Calibri" w:hAnsi="Calibri" w:eastAsia="Calibri" w:cs="Calibri"/>
          <w:b w:val="1"/>
          <w:bCs w:val="1"/>
          <w:sz w:val="22"/>
          <w:szCs w:val="22"/>
        </w:rPr>
        <w:t xml:space="preserve"> Summary</w:t>
      </w:r>
      <w:r w:rsidRPr="255B4B9F" w:rsidR="4AF341D8">
        <w:rPr>
          <w:rFonts w:ascii="Calibri" w:hAnsi="Calibri" w:eastAsia="Calibri" w:cs="Calibri"/>
          <w:b w:val="1"/>
          <w:bCs w:val="1"/>
          <w:sz w:val="22"/>
          <w:szCs w:val="22"/>
        </w:rPr>
        <w:t>:</w:t>
      </w:r>
    </w:p>
    <w:p w:rsidR="5BFFC9EE" w:rsidP="4B7F2AA9" w:rsidRDefault="5BFFC9EE" w14:paraId="7704B846" w14:textId="3D39FD16">
      <w:pPr>
        <w:rPr>
          <w:rFonts w:ascii="Calibri" w:hAnsi="Calibri" w:eastAsia="Calibri" w:cs="Calibri"/>
          <w:sz w:val="22"/>
          <w:szCs w:val="22"/>
        </w:rPr>
      </w:pPr>
      <w:r w:rsidRPr="4B7F2AA9">
        <w:rPr>
          <w:rFonts w:ascii="Calibri" w:hAnsi="Calibri" w:eastAsia="Calibri" w:cs="Calibri"/>
          <w:sz w:val="22"/>
          <w:szCs w:val="22"/>
        </w:rPr>
        <w:t>Variance analysis shows that across product categories and geographies, there are a combination of positive and negative trends.</w:t>
      </w:r>
      <w:r w:rsidRPr="4B7F2AA9" w:rsidR="709F6BBD">
        <w:rPr>
          <w:rFonts w:ascii="Calibri" w:hAnsi="Calibri" w:eastAsia="Calibri" w:cs="Calibri"/>
          <w:sz w:val="22"/>
          <w:szCs w:val="22"/>
        </w:rPr>
        <w:t xml:space="preserve"> At the company level, variance was 5.1% across the three years, but was highest in 2017 (5.4%), driven by strong variances in the </w:t>
      </w:r>
      <w:r w:rsidRPr="4B7F2AA9" w:rsidR="7EABA134">
        <w:rPr>
          <w:rFonts w:ascii="Calibri" w:hAnsi="Calibri" w:eastAsia="Calibri" w:cs="Calibri"/>
          <w:sz w:val="22"/>
          <w:szCs w:val="22"/>
        </w:rPr>
        <w:t xml:space="preserve">Northwest, </w:t>
      </w:r>
      <w:r w:rsidRPr="4B7F2AA9" w:rsidR="709F6BBD">
        <w:rPr>
          <w:rFonts w:ascii="Calibri" w:hAnsi="Calibri" w:eastAsia="Calibri" w:cs="Calibri"/>
          <w:sz w:val="22"/>
          <w:szCs w:val="22"/>
        </w:rPr>
        <w:t xml:space="preserve">Central, </w:t>
      </w:r>
      <w:proofErr w:type="gramStart"/>
      <w:r w:rsidRPr="4B7F2AA9" w:rsidR="709F6BBD">
        <w:rPr>
          <w:rFonts w:ascii="Calibri" w:hAnsi="Calibri" w:eastAsia="Calibri" w:cs="Calibri"/>
          <w:sz w:val="22"/>
          <w:szCs w:val="22"/>
        </w:rPr>
        <w:t>Northeast</w:t>
      </w:r>
      <w:proofErr w:type="gramEnd"/>
      <w:r w:rsidRPr="4B7F2AA9" w:rsidR="709F6BBD">
        <w:rPr>
          <w:rFonts w:ascii="Calibri" w:hAnsi="Calibri" w:eastAsia="Calibri" w:cs="Calibri"/>
          <w:sz w:val="22"/>
          <w:szCs w:val="22"/>
        </w:rPr>
        <w:t xml:space="preserve"> and Mid-Atlantic regions. Variance declined each of the next two years, but the most in 2018, due to</w:t>
      </w:r>
      <w:r w:rsidRPr="4B7F2AA9" w:rsidR="6A38D559">
        <w:rPr>
          <w:rFonts w:ascii="Calibri" w:hAnsi="Calibri" w:eastAsia="Calibri" w:cs="Calibri"/>
          <w:sz w:val="22"/>
          <w:szCs w:val="22"/>
        </w:rPr>
        <w:t xml:space="preserve"> increases in average discounts on increased units, particularly in Memphis, and multiple Regions</w:t>
      </w:r>
      <w:r w:rsidRPr="4B7F2AA9" w:rsidR="252D59C4">
        <w:rPr>
          <w:rFonts w:ascii="Calibri" w:hAnsi="Calibri" w:eastAsia="Calibri" w:cs="Calibri"/>
          <w:sz w:val="22"/>
          <w:szCs w:val="22"/>
        </w:rPr>
        <w:t xml:space="preserve"> and Call Centers</w:t>
      </w:r>
      <w:r w:rsidRPr="4B7F2AA9" w:rsidR="6A38D559">
        <w:rPr>
          <w:rFonts w:ascii="Calibri" w:hAnsi="Calibri" w:eastAsia="Calibri" w:cs="Calibri"/>
          <w:sz w:val="22"/>
          <w:szCs w:val="22"/>
        </w:rPr>
        <w:t xml:space="preserve"> experiencing declines acros</w:t>
      </w:r>
      <w:r w:rsidRPr="4B7F2AA9" w:rsidR="54E147CC">
        <w:rPr>
          <w:rFonts w:ascii="Calibri" w:hAnsi="Calibri" w:eastAsia="Calibri" w:cs="Calibri"/>
          <w:sz w:val="22"/>
          <w:szCs w:val="22"/>
        </w:rPr>
        <w:t xml:space="preserve">s multiple </w:t>
      </w:r>
      <w:r w:rsidR="00813175">
        <w:rPr>
          <w:rFonts w:ascii="Calibri" w:hAnsi="Calibri" w:eastAsia="Calibri" w:cs="Calibri"/>
          <w:sz w:val="22"/>
          <w:szCs w:val="22"/>
        </w:rPr>
        <w:t>Products and Subcategories</w:t>
      </w:r>
      <w:r w:rsidRPr="4B7F2AA9" w:rsidR="54E147CC">
        <w:rPr>
          <w:rFonts w:ascii="Calibri" w:hAnsi="Calibri" w:eastAsia="Calibri" w:cs="Calibri"/>
          <w:sz w:val="22"/>
          <w:szCs w:val="22"/>
        </w:rPr>
        <w:t xml:space="preserve"> (e.g. Electronics &amp; Music in Seattle and Electronics in Web). Many of these ended up at least somewhat recovering </w:t>
      </w:r>
      <w:r w:rsidRPr="4B7F2AA9" w:rsidR="126D9EEE">
        <w:rPr>
          <w:rFonts w:ascii="Calibri" w:hAnsi="Calibri" w:eastAsia="Calibri" w:cs="Calibri"/>
          <w:sz w:val="22"/>
          <w:szCs w:val="22"/>
        </w:rPr>
        <w:t>in 2019, and certain Call Centers</w:t>
      </w:r>
      <w:r w:rsidRPr="4B7F2AA9" w:rsidR="60A61050">
        <w:rPr>
          <w:rFonts w:ascii="Calibri" w:hAnsi="Calibri" w:eastAsia="Calibri" w:cs="Calibri"/>
          <w:sz w:val="22"/>
          <w:szCs w:val="22"/>
        </w:rPr>
        <w:t xml:space="preserve"> (e.g. Memphis and Salt Lake City)</w:t>
      </w:r>
      <w:r w:rsidRPr="4B7F2AA9" w:rsidR="126D9EEE">
        <w:rPr>
          <w:rFonts w:ascii="Calibri" w:hAnsi="Calibri" w:eastAsia="Calibri" w:cs="Calibri"/>
          <w:sz w:val="22"/>
          <w:szCs w:val="22"/>
        </w:rPr>
        <w:t xml:space="preserve"> </w:t>
      </w:r>
      <w:r w:rsidRPr="4B7F2AA9" w:rsidR="62CE224A">
        <w:rPr>
          <w:rFonts w:ascii="Calibri" w:hAnsi="Calibri" w:eastAsia="Calibri" w:cs="Calibri"/>
          <w:sz w:val="22"/>
          <w:szCs w:val="22"/>
        </w:rPr>
        <w:t xml:space="preserve">showed strong growth. </w:t>
      </w:r>
      <w:r w:rsidRPr="4B7F2AA9" w:rsidR="105C3252">
        <w:rPr>
          <w:rFonts w:ascii="Calibri" w:hAnsi="Calibri" w:eastAsia="Calibri" w:cs="Calibri"/>
          <w:sz w:val="22"/>
          <w:szCs w:val="22"/>
        </w:rPr>
        <w:t>At the Region level, the Northwest has had the highest variance across years</w:t>
      </w:r>
      <w:r w:rsidRPr="4B7F2AA9" w:rsidR="6C0824F6">
        <w:rPr>
          <w:rFonts w:ascii="Calibri" w:hAnsi="Calibri" w:eastAsia="Calibri" w:cs="Calibri"/>
          <w:sz w:val="22"/>
          <w:szCs w:val="22"/>
        </w:rPr>
        <w:t xml:space="preserve"> (5.6%)</w:t>
      </w:r>
      <w:r w:rsidRPr="4B7F2AA9" w:rsidR="105C3252">
        <w:rPr>
          <w:rFonts w:ascii="Calibri" w:hAnsi="Calibri" w:eastAsia="Calibri" w:cs="Calibri"/>
          <w:sz w:val="22"/>
          <w:szCs w:val="22"/>
        </w:rPr>
        <w:t xml:space="preserve">, driven by strong and complementary returns between the two Call Centers in this Region (San Francisco and Seattle). And at the </w:t>
      </w:r>
      <w:r w:rsidR="00813175">
        <w:rPr>
          <w:rFonts w:ascii="Calibri" w:hAnsi="Calibri" w:eastAsia="Calibri" w:cs="Calibri"/>
          <w:sz w:val="22"/>
          <w:szCs w:val="22"/>
        </w:rPr>
        <w:t>Product</w:t>
      </w:r>
      <w:r w:rsidRPr="4B7F2AA9" w:rsidR="105C3252">
        <w:rPr>
          <w:rFonts w:ascii="Calibri" w:hAnsi="Calibri" w:eastAsia="Calibri" w:cs="Calibri"/>
          <w:sz w:val="22"/>
          <w:szCs w:val="22"/>
        </w:rPr>
        <w:t xml:space="preserve"> level, </w:t>
      </w:r>
      <w:r w:rsidR="00813175">
        <w:rPr>
          <w:rFonts w:ascii="Calibri" w:hAnsi="Calibri" w:eastAsia="Calibri" w:cs="Calibri"/>
          <w:sz w:val="22"/>
          <w:szCs w:val="22"/>
        </w:rPr>
        <w:t>M</w:t>
      </w:r>
      <w:r w:rsidRPr="4B7F2AA9" w:rsidR="105C3252">
        <w:rPr>
          <w:rFonts w:ascii="Calibri" w:hAnsi="Calibri" w:eastAsia="Calibri" w:cs="Calibri"/>
          <w:sz w:val="22"/>
          <w:szCs w:val="22"/>
        </w:rPr>
        <w:t>usic has had the strongest variance percentage wise (</w:t>
      </w:r>
      <w:r w:rsidRPr="4B7F2AA9" w:rsidR="78450AD0">
        <w:rPr>
          <w:rFonts w:ascii="Calibri" w:hAnsi="Calibri" w:eastAsia="Calibri" w:cs="Calibri"/>
          <w:sz w:val="22"/>
          <w:szCs w:val="22"/>
        </w:rPr>
        <w:t xml:space="preserve">5.4%) and has been increasing each year. </w:t>
      </w:r>
      <w:r w:rsidRPr="4B7F2AA9" w:rsidR="67026307">
        <w:rPr>
          <w:rFonts w:ascii="Calibri" w:hAnsi="Calibri" w:eastAsia="Calibri" w:cs="Calibri"/>
          <w:sz w:val="22"/>
          <w:szCs w:val="22"/>
        </w:rPr>
        <w:t xml:space="preserve">Electronics has the highest dollar variance </w:t>
      </w:r>
      <w:r w:rsidRPr="4B7F2AA9" w:rsidR="234252A8">
        <w:rPr>
          <w:rFonts w:ascii="Calibri" w:hAnsi="Calibri" w:eastAsia="Calibri" w:cs="Calibri"/>
          <w:sz w:val="22"/>
          <w:szCs w:val="22"/>
        </w:rPr>
        <w:t xml:space="preserve">($1.2mm) </w:t>
      </w:r>
      <w:r w:rsidRPr="4B7F2AA9" w:rsidR="67026307">
        <w:rPr>
          <w:rFonts w:ascii="Calibri" w:hAnsi="Calibri" w:eastAsia="Calibri" w:cs="Calibri"/>
          <w:sz w:val="22"/>
          <w:szCs w:val="22"/>
        </w:rPr>
        <w:t xml:space="preserve">and notable is that </w:t>
      </w:r>
      <w:r w:rsidR="00813175">
        <w:rPr>
          <w:rFonts w:ascii="Calibri" w:hAnsi="Calibri" w:eastAsia="Calibri" w:cs="Calibri"/>
          <w:sz w:val="22"/>
          <w:szCs w:val="22"/>
        </w:rPr>
        <w:t>some Subcategories show seasonal patterns</w:t>
      </w:r>
      <w:r w:rsidRPr="4B7F2AA9" w:rsidR="0161D6D2">
        <w:rPr>
          <w:rFonts w:ascii="Calibri" w:hAnsi="Calibri" w:eastAsia="Calibri" w:cs="Calibri"/>
          <w:sz w:val="22"/>
          <w:szCs w:val="22"/>
        </w:rPr>
        <w:t>.</w:t>
      </w:r>
    </w:p>
    <w:p w:rsidR="4B7F2AA9" w:rsidP="4B7F2AA9" w:rsidRDefault="4B7F2AA9" w14:paraId="2FE6DD29" w14:textId="6B5703D9">
      <w:pPr>
        <w:rPr>
          <w:rFonts w:ascii="Calibri" w:hAnsi="Calibri" w:eastAsia="Calibri" w:cs="Calibri"/>
          <w:sz w:val="22"/>
          <w:szCs w:val="22"/>
        </w:rPr>
      </w:pPr>
    </w:p>
    <w:p w:rsidR="2DC6DC76" w:rsidP="4B7F2AA9" w:rsidRDefault="2DC6DC76" w14:paraId="5EF57EF5" w14:textId="63E57965">
      <w:pPr>
        <w:rPr>
          <w:rFonts w:ascii="Calibri" w:hAnsi="Calibri" w:eastAsia="Calibri" w:cs="Calibri"/>
          <w:b w:val="1"/>
          <w:bCs w:val="1"/>
          <w:sz w:val="22"/>
          <w:szCs w:val="22"/>
        </w:rPr>
      </w:pPr>
      <w:r w:rsidRPr="255B4B9F" w:rsidR="29E14866">
        <w:rPr>
          <w:rFonts w:ascii="Calibri" w:hAnsi="Calibri" w:eastAsia="Calibri" w:cs="Calibri"/>
          <w:b w:val="1"/>
          <w:bCs w:val="1"/>
          <w:sz w:val="22"/>
          <w:szCs w:val="22"/>
        </w:rPr>
        <w:t>Baseline Budget</w:t>
      </w:r>
      <w:r w:rsidRPr="255B4B9F" w:rsidR="138F9D03">
        <w:rPr>
          <w:rFonts w:ascii="Calibri" w:hAnsi="Calibri" w:eastAsia="Calibri" w:cs="Calibri"/>
          <w:b w:val="1"/>
          <w:bCs w:val="1"/>
          <w:sz w:val="22"/>
          <w:szCs w:val="22"/>
        </w:rPr>
        <w:t xml:space="preserve"> Forecast</w:t>
      </w:r>
      <w:r w:rsidRPr="255B4B9F" w:rsidR="29E14866">
        <w:rPr>
          <w:rFonts w:ascii="Calibri" w:hAnsi="Calibri" w:eastAsia="Calibri" w:cs="Calibri"/>
          <w:b w:val="1"/>
          <w:bCs w:val="1"/>
          <w:sz w:val="22"/>
          <w:szCs w:val="22"/>
        </w:rPr>
        <w:t>:</w:t>
      </w:r>
    </w:p>
    <w:p w:rsidR="00813175" w:rsidP="61BD04F5" w:rsidRDefault="2DC6DC76" w14:paraId="1E6DA7C6" w14:textId="10F37DC7">
      <w:pPr>
        <w:rPr>
          <w:rFonts w:ascii="Calibri" w:hAnsi="Calibri" w:eastAsia="Calibri" w:cs="Calibri"/>
          <w:sz w:val="22"/>
          <w:szCs w:val="22"/>
        </w:rPr>
      </w:pPr>
      <w:r w:rsidRPr="4B7F2AA9">
        <w:rPr>
          <w:rFonts w:ascii="Calibri" w:hAnsi="Calibri" w:eastAsia="Calibri" w:cs="Calibri"/>
          <w:sz w:val="22"/>
          <w:szCs w:val="22"/>
        </w:rPr>
        <w:t>Over three years, from 2020 to 2022, the baseline budget reveals a clear trajectory of growth for the business. Starting with a total revenue of $18,400,217.96 in 2020, the subsequent years saw steady increases, reaching $22,141,691.27 in 2021 and $25,460,714.47 in 2022</w:t>
      </w:r>
      <w:r w:rsidR="00813175">
        <w:rPr>
          <w:rFonts w:ascii="Calibri" w:hAnsi="Calibri" w:eastAsia="Calibri" w:cs="Calibri"/>
          <w:sz w:val="22"/>
          <w:szCs w:val="22"/>
        </w:rPr>
        <w:t xml:space="preserve"> (Tables 1-2)</w:t>
      </w:r>
      <w:r w:rsidRPr="4B7F2AA9">
        <w:rPr>
          <w:rFonts w:ascii="Calibri" w:hAnsi="Calibri" w:eastAsia="Calibri" w:cs="Calibri"/>
          <w:sz w:val="22"/>
          <w:szCs w:val="22"/>
        </w:rPr>
        <w:t xml:space="preserve">. </w:t>
      </w:r>
      <w:r w:rsidR="005B2024">
        <w:rPr>
          <w:rFonts w:ascii="Calibri" w:hAnsi="Calibri" w:eastAsia="Calibri" w:cs="Calibri"/>
          <w:sz w:val="22"/>
          <w:szCs w:val="22"/>
        </w:rPr>
        <w:t>See Tables 3 and 4 for detailed monthly projections for 2021 and 2022.</w:t>
      </w:r>
    </w:p>
    <w:p w:rsidRPr="00813175" w:rsidR="00813175" w:rsidP="00A71CAB" w:rsidRDefault="00813175" w14:paraId="361B5DC7" w14:textId="1182E2D2">
      <w:pPr>
        <w:pStyle w:val="Caption"/>
        <w:keepNext/>
        <w:spacing w:after="0"/>
        <w:ind w:left="-720"/>
        <w:rPr>
          <w:i w:val="0"/>
          <w:iCs w:val="0"/>
          <w:color w:val="auto"/>
        </w:rPr>
      </w:pPr>
      <w:r w:rsidRPr="00813175">
        <w:rPr>
          <w:b/>
          <w:bCs/>
          <w:color w:val="auto"/>
        </w:rPr>
        <w:t xml:space="preserve">Table </w:t>
      </w:r>
      <w:r w:rsidRPr="00813175">
        <w:rPr>
          <w:b/>
          <w:bCs/>
          <w:color w:val="auto"/>
        </w:rPr>
        <w:fldChar w:fldCharType="begin"/>
      </w:r>
      <w:r w:rsidRPr="00813175">
        <w:rPr>
          <w:b/>
          <w:bCs/>
          <w:color w:val="auto"/>
        </w:rPr>
        <w:instrText xml:space="preserve"> SEQ Table \* ARABIC </w:instrText>
      </w:r>
      <w:r w:rsidRPr="00813175">
        <w:rPr>
          <w:b/>
          <w:bCs/>
          <w:color w:val="auto"/>
        </w:rPr>
        <w:fldChar w:fldCharType="separate"/>
      </w:r>
      <w:r w:rsidR="005B2024">
        <w:rPr>
          <w:b/>
          <w:bCs/>
          <w:noProof/>
          <w:color w:val="auto"/>
        </w:rPr>
        <w:t>1</w:t>
      </w:r>
      <w:r w:rsidRPr="00813175">
        <w:rPr>
          <w:b/>
          <w:bCs/>
          <w:color w:val="auto"/>
        </w:rPr>
        <w:fldChar w:fldCharType="end"/>
      </w:r>
      <w:r>
        <w:rPr>
          <w:b/>
          <w:bCs/>
          <w:color w:val="auto"/>
        </w:rPr>
        <w:t xml:space="preserve">: </w:t>
      </w:r>
      <w:r>
        <w:rPr>
          <w:i w:val="0"/>
          <w:iCs w:val="0"/>
          <w:color w:val="auto"/>
        </w:rPr>
        <w:t>Monthly Forecasted Revenues at the Company, Product and Region levels by month for 2020</w:t>
      </w:r>
    </w:p>
    <w:p w:rsidR="00813175" w:rsidP="00813175" w:rsidRDefault="00813175" w14:paraId="38370456" w14:textId="4C79F8BF">
      <w:pPr>
        <w:ind w:left="-1350"/>
        <w:rPr>
          <w:rFonts w:ascii="Calibri" w:hAnsi="Calibri" w:eastAsia="Calibri" w:cs="Calibri"/>
          <w:sz w:val="22"/>
          <w:szCs w:val="22"/>
        </w:rPr>
      </w:pPr>
      <w:r w:rsidRPr="00813175">
        <w:drawing>
          <wp:inline distT="0" distB="0" distL="0" distR="0" wp14:anchorId="2FB393AD" wp14:editId="5408178A">
            <wp:extent cx="7626985" cy="1905000"/>
            <wp:effectExtent l="0" t="0" r="0" b="0"/>
            <wp:docPr id="1353063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9631" cy="1905661"/>
                    </a:xfrm>
                    <a:prstGeom prst="rect">
                      <a:avLst/>
                    </a:prstGeom>
                    <a:noFill/>
                    <a:ln>
                      <a:noFill/>
                    </a:ln>
                  </pic:spPr>
                </pic:pic>
              </a:graphicData>
            </a:graphic>
          </wp:inline>
        </w:drawing>
      </w:r>
    </w:p>
    <w:p w:rsidRPr="00813175" w:rsidR="00A71CAB" w:rsidP="00A71CAB" w:rsidRDefault="00A71CAB" w14:paraId="1D66A129" w14:textId="384ECE95">
      <w:pPr>
        <w:pStyle w:val="Caption"/>
        <w:keepNext/>
        <w:spacing w:after="0"/>
        <w:ind w:left="-720"/>
        <w:rPr>
          <w:i w:val="0"/>
          <w:iCs w:val="0"/>
          <w:color w:val="auto"/>
        </w:rPr>
      </w:pPr>
      <w:r w:rsidRPr="00813175">
        <w:rPr>
          <w:b/>
          <w:bCs/>
          <w:color w:val="auto"/>
        </w:rPr>
        <w:t>Table</w:t>
      </w:r>
      <w:r>
        <w:rPr>
          <w:b/>
          <w:bCs/>
          <w:color w:val="auto"/>
        </w:rPr>
        <w:t xml:space="preserve"> 2</w:t>
      </w:r>
      <w:r>
        <w:rPr>
          <w:b/>
          <w:bCs/>
          <w:color w:val="auto"/>
        </w:rPr>
        <w:t xml:space="preserve">: </w:t>
      </w:r>
      <w:r>
        <w:rPr>
          <w:i w:val="0"/>
          <w:iCs w:val="0"/>
          <w:color w:val="auto"/>
        </w:rPr>
        <w:t>Yearly</w:t>
      </w:r>
      <w:r>
        <w:rPr>
          <w:i w:val="0"/>
          <w:iCs w:val="0"/>
          <w:color w:val="auto"/>
        </w:rPr>
        <w:t xml:space="preserve"> Forecasted Revenues at the Company, Product and Region levels</w:t>
      </w:r>
      <w:r>
        <w:rPr>
          <w:i w:val="0"/>
          <w:iCs w:val="0"/>
          <w:color w:val="auto"/>
        </w:rPr>
        <w:t xml:space="preserve"> </w:t>
      </w:r>
      <w:r>
        <w:rPr>
          <w:i w:val="0"/>
          <w:iCs w:val="0"/>
          <w:color w:val="auto"/>
        </w:rPr>
        <w:t>for 202</w:t>
      </w:r>
      <w:r>
        <w:rPr>
          <w:i w:val="0"/>
          <w:iCs w:val="0"/>
          <w:color w:val="auto"/>
        </w:rPr>
        <w:t>1-2022</w:t>
      </w:r>
    </w:p>
    <w:p w:rsidR="00813175" w:rsidP="00A71CAB" w:rsidRDefault="00A71CAB" w14:paraId="0EEA9D5C" w14:textId="73D102D6" w14:noSpellErr="1">
      <w:pPr>
        <w:ind w:left="-1350"/>
        <w:rPr>
          <w:rFonts w:ascii="Calibri" w:hAnsi="Calibri" w:eastAsia="Calibri" w:cs="Calibri"/>
          <w:sz w:val="22"/>
          <w:szCs w:val="22"/>
        </w:rPr>
      </w:pPr>
      <w:r w:rsidRPr="00A71CAB">
        <w:drawing>
          <wp:inline distT="0" distB="0" distL="0" distR="0" wp14:anchorId="37471BAD" wp14:editId="5AECEEED">
            <wp:extent cx="7621322" cy="495300"/>
            <wp:effectExtent l="0" t="0" r="0" b="0"/>
            <wp:docPr id="1185278072"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7621322" cy="4953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2DC6DC76" w:rsidP="61BD04F5" w:rsidRDefault="2DC6DC76" w14:paraId="638212A8" w14:textId="4A5D88FF">
      <w:pPr>
        <w:rPr>
          <w:rFonts w:ascii="Calibri" w:hAnsi="Calibri" w:eastAsia="Calibri" w:cs="Calibri"/>
          <w:sz w:val="22"/>
          <w:szCs w:val="22"/>
        </w:rPr>
      </w:pPr>
      <w:r w:rsidRPr="6A6546C7" w:rsidR="2DC6DC76">
        <w:rPr>
          <w:rFonts w:ascii="Calibri" w:hAnsi="Calibri" w:eastAsia="Calibri" w:cs="Calibri"/>
          <w:sz w:val="22"/>
          <w:szCs w:val="22"/>
        </w:rPr>
        <w:t xml:space="preserve">Electronics consistently </w:t>
      </w:r>
      <w:r w:rsidRPr="6A6546C7" w:rsidR="00813175">
        <w:rPr>
          <w:rFonts w:ascii="Calibri" w:hAnsi="Calibri" w:eastAsia="Calibri" w:cs="Calibri"/>
          <w:sz w:val="22"/>
          <w:szCs w:val="22"/>
        </w:rPr>
        <w:t>contributes</w:t>
      </w:r>
      <w:r w:rsidRPr="6A6546C7" w:rsidR="2DC6DC76">
        <w:rPr>
          <w:rFonts w:ascii="Calibri" w:hAnsi="Calibri" w:eastAsia="Calibri" w:cs="Calibri"/>
          <w:sz w:val="22"/>
          <w:szCs w:val="22"/>
        </w:rPr>
        <w:t xml:space="preserve"> the most to the total revenue</w:t>
      </w:r>
      <w:r w:rsidRPr="6A6546C7" w:rsidR="5DD60FB1">
        <w:rPr>
          <w:rFonts w:ascii="Calibri" w:hAnsi="Calibri" w:eastAsia="Calibri" w:cs="Calibri"/>
          <w:sz w:val="22"/>
          <w:szCs w:val="22"/>
        </w:rPr>
        <w:t xml:space="preserve"> and this trend will need to continue in order to meet growth projections as shown above</w:t>
      </w:r>
      <w:r w:rsidRPr="6A6546C7" w:rsidR="2DC6DC76">
        <w:rPr>
          <w:rFonts w:ascii="Calibri" w:hAnsi="Calibri" w:eastAsia="Calibri" w:cs="Calibri"/>
          <w:sz w:val="22"/>
          <w:szCs w:val="22"/>
        </w:rPr>
        <w:t xml:space="preserve">. </w:t>
      </w:r>
      <w:r w:rsidRPr="6A6546C7" w:rsidR="6F8D2DE0">
        <w:rPr>
          <w:rFonts w:ascii="Calibri" w:hAnsi="Calibri" w:eastAsia="Calibri" w:cs="Calibri"/>
          <w:sz w:val="22"/>
          <w:szCs w:val="22"/>
        </w:rPr>
        <w:t>By</w:t>
      </w:r>
      <w:r w:rsidRPr="6A6546C7" w:rsidR="6F8D2DE0">
        <w:rPr>
          <w:rFonts w:ascii="Calibri" w:hAnsi="Calibri" w:eastAsia="Calibri" w:cs="Calibri"/>
          <w:sz w:val="22"/>
          <w:szCs w:val="22"/>
        </w:rPr>
        <w:t xml:space="preserve"> our projections, Electronics will need to grow by between 16-24% per year</w:t>
      </w:r>
      <w:r w:rsidRPr="6A6546C7" w:rsidR="0014AEA4">
        <w:rPr>
          <w:rFonts w:ascii="Calibri" w:hAnsi="Calibri" w:eastAsia="Calibri" w:cs="Calibri"/>
          <w:sz w:val="22"/>
          <w:szCs w:val="22"/>
        </w:rPr>
        <w:t>.</w:t>
      </w:r>
      <w:r w:rsidRPr="6A6546C7" w:rsidR="46AF110F">
        <w:rPr>
          <w:rFonts w:ascii="Calibri" w:hAnsi="Calibri" w:eastAsia="Calibri" w:cs="Calibri"/>
          <w:sz w:val="22"/>
          <w:szCs w:val="22"/>
        </w:rPr>
        <w:t xml:space="preserve"> Movies and Music have also been increasing in revenue each year, and while they </w:t>
      </w:r>
      <w:r w:rsidRPr="6A6546C7" w:rsidR="46AF110F">
        <w:rPr>
          <w:rFonts w:ascii="Calibri" w:hAnsi="Calibri" w:eastAsia="Calibri" w:cs="Calibri"/>
          <w:sz w:val="22"/>
          <w:szCs w:val="22"/>
        </w:rPr>
        <w:t>don’t</w:t>
      </w:r>
      <w:r w:rsidRPr="6A6546C7" w:rsidR="46AF110F">
        <w:rPr>
          <w:rFonts w:ascii="Calibri" w:hAnsi="Calibri" w:eastAsia="Calibri" w:cs="Calibri"/>
          <w:sz w:val="22"/>
          <w:szCs w:val="22"/>
        </w:rPr>
        <w:t xml:space="preserve"> account for as much of total revenue, they have contributed more to the overall variance numbers, </w:t>
      </w:r>
      <w:r w:rsidRPr="6A6546C7" w:rsidR="46AF110F">
        <w:rPr>
          <w:rFonts w:ascii="Calibri" w:hAnsi="Calibri" w:eastAsia="Calibri" w:cs="Calibri"/>
          <w:sz w:val="22"/>
          <w:szCs w:val="22"/>
        </w:rPr>
        <w:t>indicating</w:t>
      </w:r>
      <w:r w:rsidRPr="6A6546C7" w:rsidR="46AF110F">
        <w:rPr>
          <w:rFonts w:ascii="Calibri" w:hAnsi="Calibri" w:eastAsia="Calibri" w:cs="Calibri"/>
          <w:sz w:val="22"/>
          <w:szCs w:val="22"/>
        </w:rPr>
        <w:t xml:space="preserve"> strong demand for these products compared to forecasts.</w:t>
      </w:r>
      <w:r w:rsidRPr="6A6546C7" w:rsidR="0014AEA4">
        <w:rPr>
          <w:rFonts w:ascii="Calibri" w:hAnsi="Calibri" w:eastAsia="Calibri" w:cs="Calibri"/>
          <w:sz w:val="22"/>
          <w:szCs w:val="22"/>
        </w:rPr>
        <w:t xml:space="preserve"> </w:t>
      </w:r>
      <w:r w:rsidRPr="6A6546C7" w:rsidR="3FA6AC6E">
        <w:rPr>
          <w:rFonts w:ascii="Calibri" w:hAnsi="Calibri" w:eastAsia="Calibri" w:cs="Calibri"/>
          <w:sz w:val="22"/>
          <w:szCs w:val="22"/>
        </w:rPr>
        <w:t xml:space="preserve">These categories have historically been growing </w:t>
      </w:r>
      <w:r w:rsidRPr="6A6546C7" w:rsidR="14B75128">
        <w:rPr>
          <w:rFonts w:ascii="Calibri" w:hAnsi="Calibri" w:eastAsia="Calibri" w:cs="Calibri"/>
          <w:sz w:val="22"/>
          <w:szCs w:val="22"/>
        </w:rPr>
        <w:t>33% and 29%</w:t>
      </w:r>
      <w:r w:rsidRPr="6A6546C7" w:rsidR="762FF984">
        <w:rPr>
          <w:rFonts w:ascii="Calibri" w:hAnsi="Calibri" w:eastAsia="Calibri" w:cs="Calibri"/>
          <w:sz w:val="22"/>
          <w:szCs w:val="22"/>
        </w:rPr>
        <w:t xml:space="preserve"> on average</w:t>
      </w:r>
      <w:r w:rsidRPr="6A6546C7" w:rsidR="14B75128">
        <w:rPr>
          <w:rFonts w:ascii="Calibri" w:hAnsi="Calibri" w:eastAsia="Calibri" w:cs="Calibri"/>
          <w:sz w:val="22"/>
          <w:szCs w:val="22"/>
        </w:rPr>
        <w:t xml:space="preserve">, respectively, and based on our forecasts, would need to grow at least 20% on average per year. </w:t>
      </w:r>
      <w:r w:rsidRPr="6A6546C7" w:rsidR="3812213F">
        <w:rPr>
          <w:rFonts w:ascii="Calibri" w:hAnsi="Calibri" w:eastAsia="Calibri" w:cs="Calibri"/>
          <w:sz w:val="22"/>
          <w:szCs w:val="22"/>
        </w:rPr>
        <w:t>R</w:t>
      </w:r>
      <w:r w:rsidRPr="6A6546C7" w:rsidR="2DC6DC76">
        <w:rPr>
          <w:rFonts w:ascii="Calibri" w:hAnsi="Calibri" w:eastAsia="Calibri" w:cs="Calibri"/>
          <w:sz w:val="22"/>
          <w:szCs w:val="22"/>
        </w:rPr>
        <w:t xml:space="preserve">egional revenue analysis </w:t>
      </w:r>
      <w:r w:rsidRPr="6A6546C7" w:rsidR="2DC6DC76">
        <w:rPr>
          <w:rFonts w:ascii="Calibri" w:hAnsi="Calibri" w:eastAsia="Calibri" w:cs="Calibri"/>
          <w:sz w:val="22"/>
          <w:szCs w:val="22"/>
        </w:rPr>
        <w:t>indicates</w:t>
      </w:r>
      <w:r w:rsidRPr="6A6546C7" w:rsidR="2DC6DC76">
        <w:rPr>
          <w:rFonts w:ascii="Calibri" w:hAnsi="Calibri" w:eastAsia="Calibri" w:cs="Calibri"/>
          <w:sz w:val="22"/>
          <w:szCs w:val="22"/>
        </w:rPr>
        <w:t xml:space="preserve"> that the Northeast and Web regions consistently generate the highest revenue streams, </w:t>
      </w:r>
      <w:r w:rsidRPr="6A6546C7" w:rsidR="2DC6DC76">
        <w:rPr>
          <w:rFonts w:ascii="Calibri" w:hAnsi="Calibri" w:eastAsia="Calibri" w:cs="Calibri"/>
          <w:sz w:val="22"/>
          <w:szCs w:val="22"/>
        </w:rPr>
        <w:t>showcasing</w:t>
      </w:r>
      <w:r w:rsidRPr="6A6546C7" w:rsidR="2DC6DC76">
        <w:rPr>
          <w:rFonts w:ascii="Calibri" w:hAnsi="Calibri" w:eastAsia="Calibri" w:cs="Calibri"/>
          <w:sz w:val="22"/>
          <w:szCs w:val="22"/>
        </w:rPr>
        <w:t xml:space="preserve"> their importance in the business's overall success. </w:t>
      </w:r>
      <w:bookmarkStart w:name="_Int_D4EokV0V" w:id="724735986"/>
      <w:r w:rsidRPr="6A6546C7" w:rsidR="2DC6DC76">
        <w:rPr>
          <w:rFonts w:ascii="Calibri" w:hAnsi="Calibri" w:eastAsia="Calibri" w:cs="Calibri"/>
          <w:sz w:val="22"/>
          <w:szCs w:val="22"/>
        </w:rPr>
        <w:t xml:space="preserve">This sustained growth </w:t>
      </w:r>
      <w:r w:rsidRPr="6A6546C7" w:rsidR="7822C51B">
        <w:rPr>
          <w:rFonts w:ascii="Calibri" w:hAnsi="Calibri" w:eastAsia="Calibri" w:cs="Calibri"/>
          <w:sz w:val="22"/>
          <w:szCs w:val="22"/>
        </w:rPr>
        <w:t>require</w:t>
      </w:r>
      <w:r w:rsidRPr="6A6546C7" w:rsidR="2DC6DC76">
        <w:rPr>
          <w:rFonts w:ascii="Calibri" w:hAnsi="Calibri" w:eastAsia="Calibri" w:cs="Calibri"/>
          <w:sz w:val="22"/>
          <w:szCs w:val="22"/>
        </w:rPr>
        <w:t>s effective management strategies and a</w:t>
      </w:r>
      <w:r w:rsidRPr="6A6546C7" w:rsidR="63DCCE51">
        <w:rPr>
          <w:rFonts w:ascii="Calibri" w:hAnsi="Calibri" w:eastAsia="Calibri" w:cs="Calibri"/>
          <w:sz w:val="22"/>
          <w:szCs w:val="22"/>
        </w:rPr>
        <w:t xml:space="preserve"> continued</w:t>
      </w:r>
      <w:r w:rsidRPr="6A6546C7" w:rsidR="2DC6DC76">
        <w:rPr>
          <w:rFonts w:ascii="Calibri" w:hAnsi="Calibri" w:eastAsia="Calibri" w:cs="Calibri"/>
          <w:sz w:val="22"/>
          <w:szCs w:val="22"/>
        </w:rPr>
        <w:t xml:space="preserve"> strong market demand for the products offered.</w:t>
      </w:r>
      <w:bookmarkEnd w:id="724735986"/>
      <w:r w:rsidRPr="6A6546C7" w:rsidR="2DC6DC76">
        <w:rPr>
          <w:rFonts w:ascii="Calibri" w:hAnsi="Calibri" w:eastAsia="Calibri" w:cs="Calibri"/>
          <w:sz w:val="22"/>
          <w:szCs w:val="22"/>
        </w:rPr>
        <w:t xml:space="preserve"> It also underscores the business's </w:t>
      </w:r>
      <w:r w:rsidRPr="6A6546C7" w:rsidR="72E3F491">
        <w:rPr>
          <w:rFonts w:ascii="Calibri" w:hAnsi="Calibri" w:eastAsia="Calibri" w:cs="Calibri"/>
          <w:sz w:val="22"/>
          <w:szCs w:val="22"/>
        </w:rPr>
        <w:t xml:space="preserve">need </w:t>
      </w:r>
      <w:r w:rsidRPr="6A6546C7" w:rsidR="2DC6DC76">
        <w:rPr>
          <w:rFonts w:ascii="Calibri" w:hAnsi="Calibri" w:eastAsia="Calibri" w:cs="Calibri"/>
          <w:sz w:val="22"/>
          <w:szCs w:val="22"/>
        </w:rPr>
        <w:t xml:space="preserve">to adapt and capitalize on opportunities in the </w:t>
      </w:r>
      <w:r w:rsidRPr="6A6546C7" w:rsidR="2DC6DC76">
        <w:rPr>
          <w:rFonts w:ascii="Calibri" w:hAnsi="Calibri" w:eastAsia="Calibri" w:cs="Calibri"/>
          <w:sz w:val="22"/>
          <w:szCs w:val="22"/>
        </w:rPr>
        <w:t>ever-evolving consumer landscape.</w:t>
      </w:r>
    </w:p>
    <w:p w:rsidR="6A6546C7" w:rsidP="6A6546C7" w:rsidRDefault="6A6546C7" w14:paraId="33927462" w14:textId="5BF4544C">
      <w:pPr>
        <w:pStyle w:val="Normal"/>
        <w:rPr>
          <w:rFonts w:ascii="Calibri" w:hAnsi="Calibri" w:eastAsia="Calibri" w:cs="Calibri"/>
          <w:sz w:val="22"/>
          <w:szCs w:val="22"/>
        </w:rPr>
      </w:pPr>
    </w:p>
    <w:p w:rsidR="77E0FEBD" w:rsidP="4B7F2AA9" w:rsidRDefault="77E0FEBD" w14:paraId="3A9C4FBF" w14:textId="22AE3254">
      <w:pPr>
        <w:rPr>
          <w:rFonts w:ascii="Calibri" w:hAnsi="Calibri" w:eastAsia="Calibri" w:cs="Calibri"/>
          <w:b/>
          <w:bCs/>
          <w:color w:val="000000" w:themeColor="text1"/>
          <w:sz w:val="22"/>
          <w:szCs w:val="22"/>
        </w:rPr>
      </w:pPr>
      <w:r w:rsidRPr="4B7F2AA9">
        <w:rPr>
          <w:rFonts w:ascii="Calibri" w:hAnsi="Calibri" w:eastAsia="Calibri" w:cs="Calibri"/>
          <w:b/>
          <w:bCs/>
          <w:color w:val="000000" w:themeColor="text1"/>
          <w:sz w:val="22"/>
          <w:szCs w:val="22"/>
        </w:rPr>
        <w:t>Stretch Budget Scenarios:</w:t>
      </w:r>
    </w:p>
    <w:p w:rsidR="77E0FEBD" w:rsidP="4B7F2AA9" w:rsidRDefault="77E0FEBD" w14:paraId="15425EB1" w14:textId="2412D7A6">
      <w:pPr>
        <w:rPr>
          <w:rFonts w:ascii="Calibri" w:hAnsi="Calibri" w:eastAsia="Calibri" w:cs="Calibri"/>
          <w:color w:val="000000" w:themeColor="text1"/>
          <w:sz w:val="22"/>
          <w:szCs w:val="22"/>
        </w:rPr>
      </w:pPr>
      <w:r w:rsidRPr="255B4B9F" w:rsidR="46EDD6FD">
        <w:rPr>
          <w:rFonts w:ascii="Calibri" w:hAnsi="Calibri" w:eastAsia="Calibri" w:cs="Calibri"/>
          <w:color w:val="000000" w:themeColor="text1" w:themeTint="FF" w:themeShade="FF"/>
          <w:sz w:val="22"/>
          <w:szCs w:val="22"/>
        </w:rPr>
        <w:t>The stretch budget projections for 2020, 2021, and 2022 show incremental revenue growth scenarios of 5%, 10%, and 15% above the baseline forecast across regions, product categories, and months.</w:t>
      </w:r>
      <w:r w:rsidRPr="255B4B9F" w:rsidR="46EDD6FD">
        <w:rPr>
          <w:rFonts w:ascii="Calibri" w:hAnsi="Calibri" w:eastAsia="Calibri" w:cs="Calibri"/>
          <w:color w:val="000000" w:themeColor="text1" w:themeTint="FF" w:themeShade="FF"/>
          <w:sz w:val="22"/>
          <w:szCs w:val="22"/>
        </w:rPr>
        <w:t xml:space="preserve"> </w:t>
      </w:r>
      <w:r w:rsidRPr="255B4B9F" w:rsidR="04424E5B">
        <w:rPr>
          <w:rFonts w:ascii="Calibri" w:hAnsi="Calibri" w:eastAsia="Calibri" w:cs="Calibri"/>
          <w:color w:val="000000" w:themeColor="text1" w:themeTint="FF" w:themeShade="FF"/>
          <w:sz w:val="22"/>
          <w:szCs w:val="22"/>
        </w:rPr>
        <w:t xml:space="preserve">To </w:t>
      </w:r>
      <w:r w:rsidRPr="255B4B9F" w:rsidR="04424E5B">
        <w:rPr>
          <w:rFonts w:ascii="Calibri" w:hAnsi="Calibri" w:eastAsia="Calibri" w:cs="Calibri"/>
          <w:color w:val="000000" w:themeColor="text1" w:themeTint="FF" w:themeShade="FF"/>
          <w:sz w:val="22"/>
          <w:szCs w:val="22"/>
        </w:rPr>
        <w:t>attain</w:t>
      </w:r>
      <w:r w:rsidRPr="255B4B9F" w:rsidR="04424E5B">
        <w:rPr>
          <w:rFonts w:ascii="Calibri" w:hAnsi="Calibri" w:eastAsia="Calibri" w:cs="Calibri"/>
          <w:color w:val="000000" w:themeColor="text1" w:themeTint="FF" w:themeShade="FF"/>
          <w:sz w:val="22"/>
          <w:szCs w:val="22"/>
        </w:rPr>
        <w:t xml:space="preserve"> these targets,</w:t>
      </w:r>
      <w:r w:rsidRPr="255B4B9F" w:rsidR="76697D11">
        <w:rPr>
          <w:rFonts w:ascii="Calibri" w:hAnsi="Calibri" w:eastAsia="Calibri" w:cs="Calibri"/>
          <w:color w:val="000000" w:themeColor="text1" w:themeTint="FF" w:themeShade="FF"/>
          <w:sz w:val="22"/>
          <w:szCs w:val="22"/>
        </w:rPr>
        <w:t xml:space="preserve"> all</w:t>
      </w:r>
      <w:r w:rsidRPr="255B4B9F" w:rsidR="3F1F65F2">
        <w:rPr>
          <w:rFonts w:ascii="Calibri" w:hAnsi="Calibri" w:eastAsia="Calibri" w:cs="Calibri"/>
          <w:color w:val="000000" w:themeColor="text1" w:themeTint="FF" w:themeShade="FF"/>
          <w:sz w:val="22"/>
          <w:szCs w:val="22"/>
        </w:rPr>
        <w:t xml:space="preserve"> Product categories would need to grow by </w:t>
      </w:r>
      <w:r w:rsidRPr="255B4B9F" w:rsidR="3F1F65F2">
        <w:rPr>
          <w:rFonts w:ascii="Calibri" w:hAnsi="Calibri" w:eastAsia="Calibri" w:cs="Calibri"/>
          <w:color w:val="000000" w:themeColor="text1" w:themeTint="FF" w:themeShade="FF"/>
          <w:sz w:val="22"/>
          <w:szCs w:val="22"/>
        </w:rPr>
        <w:t>roughly 26%</w:t>
      </w:r>
      <w:r w:rsidRPr="255B4B9F" w:rsidR="3F1F65F2">
        <w:rPr>
          <w:rFonts w:ascii="Calibri" w:hAnsi="Calibri" w:eastAsia="Calibri" w:cs="Calibri"/>
          <w:color w:val="000000" w:themeColor="text1" w:themeTint="FF" w:themeShade="FF"/>
          <w:sz w:val="22"/>
          <w:szCs w:val="22"/>
        </w:rPr>
        <w:t xml:space="preserve"> per year for the 5% stretch goal, 32% per year for the 10% goal, and at least 38% per year, on average, for the 15% goal.</w:t>
      </w:r>
      <w:r w:rsidRPr="255B4B9F" w:rsidR="04424E5B">
        <w:rPr>
          <w:rFonts w:ascii="Calibri" w:hAnsi="Calibri" w:eastAsia="Calibri" w:cs="Calibri"/>
          <w:color w:val="000000" w:themeColor="text1" w:themeTint="FF" w:themeShade="FF"/>
          <w:sz w:val="22"/>
          <w:szCs w:val="22"/>
        </w:rPr>
        <w:t xml:space="preserve"> </w:t>
      </w:r>
      <w:r w:rsidRPr="255B4B9F" w:rsidR="5C2943EC">
        <w:rPr>
          <w:rFonts w:ascii="Calibri" w:hAnsi="Calibri" w:eastAsia="Calibri" w:cs="Calibri"/>
          <w:color w:val="000000" w:themeColor="text1" w:themeTint="FF" w:themeShade="FF"/>
          <w:sz w:val="22"/>
          <w:szCs w:val="22"/>
        </w:rPr>
        <w:t>This would require strong demand from consumer</w:t>
      </w:r>
      <w:r w:rsidRPr="255B4B9F" w:rsidR="393D54C6">
        <w:rPr>
          <w:rFonts w:ascii="Calibri" w:hAnsi="Calibri" w:eastAsia="Calibri" w:cs="Calibri"/>
          <w:color w:val="000000" w:themeColor="text1" w:themeTint="FF" w:themeShade="FF"/>
          <w:sz w:val="22"/>
          <w:szCs w:val="22"/>
        </w:rPr>
        <w:t xml:space="preserve">s, similar (or lower) average discounts, no supply chain disruptions, and a strong economy with low inflation (so that consumers are confident and have discretionary income). </w:t>
      </w:r>
      <w:r w:rsidRPr="255B4B9F" w:rsidR="0069DFAB">
        <w:rPr>
          <w:rFonts w:ascii="Calibri" w:hAnsi="Calibri" w:eastAsia="Calibri" w:cs="Calibri"/>
          <w:color w:val="000000" w:themeColor="text1" w:themeTint="FF" w:themeShade="FF"/>
          <w:sz w:val="22"/>
          <w:szCs w:val="22"/>
        </w:rPr>
        <w:t xml:space="preserve">Based on these forecasts, </w:t>
      </w:r>
      <w:r w:rsidRPr="255B4B9F" w:rsidR="1ACC0CFD">
        <w:rPr>
          <w:rFonts w:ascii="Calibri" w:hAnsi="Calibri" w:eastAsia="Calibri" w:cs="Calibri"/>
          <w:color w:val="000000" w:themeColor="text1" w:themeTint="FF" w:themeShade="FF"/>
          <w:sz w:val="22"/>
          <w:szCs w:val="22"/>
        </w:rPr>
        <w:t>i</w:t>
      </w:r>
      <w:r w:rsidRPr="255B4B9F" w:rsidR="46EDD6FD">
        <w:rPr>
          <w:rFonts w:ascii="Calibri" w:hAnsi="Calibri" w:eastAsia="Calibri" w:cs="Calibri"/>
          <w:color w:val="000000" w:themeColor="text1" w:themeTint="FF" w:themeShade="FF"/>
          <w:sz w:val="22"/>
          <w:szCs w:val="22"/>
        </w:rPr>
        <w:t>n</w:t>
      </w:r>
      <w:r w:rsidRPr="255B4B9F" w:rsidR="46EDD6FD">
        <w:rPr>
          <w:rFonts w:ascii="Calibri" w:hAnsi="Calibri" w:eastAsia="Calibri" w:cs="Calibri"/>
          <w:color w:val="000000" w:themeColor="text1" w:themeTint="FF" w:themeShade="FF"/>
          <w:sz w:val="22"/>
          <w:szCs w:val="22"/>
        </w:rPr>
        <w:t xml:space="preserve"> 2020, the Northeast region </w:t>
      </w:r>
      <w:r w:rsidRPr="255B4B9F" w:rsidR="46EDD6FD">
        <w:rPr>
          <w:rFonts w:ascii="Calibri" w:hAnsi="Calibri" w:eastAsia="Calibri" w:cs="Calibri"/>
          <w:color w:val="000000" w:themeColor="text1" w:themeTint="FF" w:themeShade="FF"/>
          <w:sz w:val="22"/>
          <w:szCs w:val="22"/>
        </w:rPr>
        <w:t>anticipates</w:t>
      </w:r>
      <w:r w:rsidRPr="255B4B9F" w:rsidR="46EDD6FD">
        <w:rPr>
          <w:rFonts w:ascii="Calibri" w:hAnsi="Calibri" w:eastAsia="Calibri" w:cs="Calibri"/>
          <w:color w:val="000000" w:themeColor="text1" w:themeTint="FF" w:themeShade="FF"/>
          <w:sz w:val="22"/>
          <w:szCs w:val="22"/>
        </w:rPr>
        <w:t xml:space="preserve"> a total revenue increase from $4,129,676.66 to $4,749,128.16 in the 15% growth scenario. Similarly, the Web category projects growth from $3,471,548.41 to $3,992,280.68. Among product categories, Electronics </w:t>
      </w:r>
      <w:r w:rsidRPr="255B4B9F" w:rsidR="46EDD6FD">
        <w:rPr>
          <w:rFonts w:ascii="Calibri" w:hAnsi="Calibri" w:eastAsia="Calibri" w:cs="Calibri"/>
          <w:color w:val="000000" w:themeColor="text1" w:themeTint="FF" w:themeShade="FF"/>
          <w:sz w:val="22"/>
          <w:szCs w:val="22"/>
        </w:rPr>
        <w:t>exhibit</w:t>
      </w:r>
      <w:r w:rsidRPr="255B4B9F" w:rsidR="46EDD6FD">
        <w:rPr>
          <w:rFonts w:ascii="Calibri" w:hAnsi="Calibri" w:eastAsia="Calibri" w:cs="Calibri"/>
          <w:color w:val="000000" w:themeColor="text1" w:themeTint="FF" w:themeShade="FF"/>
          <w:sz w:val="22"/>
          <w:szCs w:val="22"/>
        </w:rPr>
        <w:t xml:space="preserve"> the highest growth potential, with total revenue potentially reaching $14,738,270.74 in the 15% growth scenario.</w:t>
      </w:r>
      <w:r w:rsidRPr="255B4B9F" w:rsidR="5982926C">
        <w:rPr>
          <w:rFonts w:ascii="Calibri" w:hAnsi="Calibri" w:eastAsia="Calibri" w:cs="Calibri"/>
          <w:color w:val="000000" w:themeColor="text1" w:themeTint="FF" w:themeShade="FF"/>
          <w:sz w:val="22"/>
          <w:szCs w:val="22"/>
        </w:rPr>
        <w:t xml:space="preserve"> </w:t>
      </w:r>
      <w:r w:rsidRPr="255B4B9F" w:rsidR="46EDD6FD">
        <w:rPr>
          <w:rFonts w:ascii="Calibri" w:hAnsi="Calibri" w:eastAsia="Calibri" w:cs="Calibri"/>
          <w:color w:val="000000" w:themeColor="text1" w:themeTint="FF" w:themeShade="FF"/>
          <w:sz w:val="22"/>
          <w:szCs w:val="22"/>
        </w:rPr>
        <w:t xml:space="preserve">For 2021, revenue forecasts </w:t>
      </w:r>
      <w:r w:rsidRPr="255B4B9F" w:rsidR="46EDD6FD">
        <w:rPr>
          <w:rFonts w:ascii="Calibri" w:hAnsi="Calibri" w:eastAsia="Calibri" w:cs="Calibri"/>
          <w:color w:val="000000" w:themeColor="text1" w:themeTint="FF" w:themeShade="FF"/>
          <w:sz w:val="22"/>
          <w:szCs w:val="22"/>
        </w:rPr>
        <w:t>indicate</w:t>
      </w:r>
      <w:r w:rsidRPr="255B4B9F" w:rsidR="46EDD6FD">
        <w:rPr>
          <w:rFonts w:ascii="Calibri" w:hAnsi="Calibri" w:eastAsia="Calibri" w:cs="Calibri"/>
          <w:color w:val="000000" w:themeColor="text1" w:themeTint="FF" w:themeShade="FF"/>
          <w:sz w:val="22"/>
          <w:szCs w:val="22"/>
        </w:rPr>
        <w:t xml:space="preserve"> substantial growth across regions and categories. The Northeast region's revenue may increase to $5,543,754.32 in the 15% growth scenario, with Electronics leading the growth trajectory, potentially reaching $17,740,693.46 in revenue.</w:t>
      </w:r>
      <w:r w:rsidRPr="255B4B9F" w:rsidR="5982926C">
        <w:rPr>
          <w:rFonts w:ascii="Calibri" w:hAnsi="Calibri" w:eastAsia="Calibri" w:cs="Calibri"/>
          <w:color w:val="000000" w:themeColor="text1" w:themeTint="FF" w:themeShade="FF"/>
          <w:sz w:val="22"/>
          <w:szCs w:val="22"/>
        </w:rPr>
        <w:t xml:space="preserve"> </w:t>
      </w:r>
      <w:r w:rsidRPr="255B4B9F" w:rsidR="46EDD6FD">
        <w:rPr>
          <w:rFonts w:ascii="Calibri" w:hAnsi="Calibri" w:eastAsia="Calibri" w:cs="Calibri"/>
          <w:color w:val="000000" w:themeColor="text1" w:themeTint="FF" w:themeShade="FF"/>
          <w:sz w:val="22"/>
          <w:szCs w:val="22"/>
        </w:rPr>
        <w:t>Looking ahead to 2022, the stretch budget forecasts predict continued growth, with total revenue potentially reaching $29,279,821.64 in the 15% growth scenario.</w:t>
      </w:r>
    </w:p>
    <w:p w:rsidR="61BD04F5" w:rsidP="4B7F2AA9" w:rsidRDefault="61BD04F5" w14:paraId="50D84E22" w14:textId="705B4863">
      <w:pPr>
        <w:rPr>
          <w:rFonts w:ascii="Calibri" w:hAnsi="Calibri" w:eastAsia="Calibri" w:cs="Calibri"/>
          <w:color w:val="000000" w:themeColor="text1"/>
          <w:sz w:val="22"/>
          <w:szCs w:val="22"/>
        </w:rPr>
      </w:pPr>
    </w:p>
    <w:p w:rsidR="551507BD" w:rsidP="4B7F2AA9" w:rsidRDefault="551507BD" w14:paraId="61FE54DE" w14:textId="69D67E6E">
      <w:pPr>
        <w:rPr>
          <w:rFonts w:ascii="Calibri" w:hAnsi="Calibri" w:eastAsia="Calibri" w:cs="Calibri"/>
          <w:b w:val="1"/>
          <w:bCs w:val="1"/>
          <w:color w:val="000000" w:themeColor="text1"/>
          <w:sz w:val="22"/>
          <w:szCs w:val="22"/>
        </w:rPr>
      </w:pPr>
      <w:r w:rsidRPr="255B4B9F" w:rsidR="3A0DD57E">
        <w:rPr>
          <w:rFonts w:ascii="Calibri" w:hAnsi="Calibri" w:eastAsia="Calibri" w:cs="Calibri"/>
          <w:b w:val="1"/>
          <w:bCs w:val="1"/>
          <w:color w:val="000000" w:themeColor="text1" w:themeTint="FF" w:themeShade="FF"/>
          <w:sz w:val="22"/>
          <w:szCs w:val="22"/>
        </w:rPr>
        <w:t>New Product Suggestions</w:t>
      </w:r>
      <w:r w:rsidRPr="255B4B9F" w:rsidR="20F993ED">
        <w:rPr>
          <w:rFonts w:ascii="Calibri" w:hAnsi="Calibri" w:eastAsia="Calibri" w:cs="Calibri"/>
          <w:b w:val="1"/>
          <w:bCs w:val="1"/>
          <w:color w:val="000000" w:themeColor="text1" w:themeTint="FF" w:themeShade="FF"/>
          <w:sz w:val="22"/>
          <w:szCs w:val="22"/>
        </w:rPr>
        <w:t xml:space="preserve"> and Opportunities</w:t>
      </w:r>
      <w:r w:rsidRPr="255B4B9F" w:rsidR="3A0DD57E">
        <w:rPr>
          <w:rFonts w:ascii="Calibri" w:hAnsi="Calibri" w:eastAsia="Calibri" w:cs="Calibri"/>
          <w:b w:val="1"/>
          <w:bCs w:val="1"/>
          <w:color w:val="000000" w:themeColor="text1" w:themeTint="FF" w:themeShade="FF"/>
          <w:sz w:val="22"/>
          <w:szCs w:val="22"/>
        </w:rPr>
        <w:t>:</w:t>
      </w:r>
    </w:p>
    <w:p w:rsidR="551507BD" w:rsidP="4B7F2AA9" w:rsidRDefault="551507BD" w14:paraId="1522FCB8" w14:textId="09869B3B">
      <w:pPr>
        <w:rPr>
          <w:rFonts w:ascii="Calibri" w:hAnsi="Calibri" w:eastAsia="Calibri" w:cs="Calibri"/>
          <w:b w:val="1"/>
          <w:bCs w:val="1"/>
          <w:color w:val="000000" w:themeColor="text1"/>
          <w:sz w:val="22"/>
          <w:szCs w:val="22"/>
        </w:rPr>
      </w:pPr>
      <w:r w:rsidRPr="6A6546C7" w:rsidR="551507BD">
        <w:rPr>
          <w:rFonts w:ascii="Calibri" w:hAnsi="Calibri" w:eastAsia="Calibri" w:cs="Calibri"/>
          <w:color w:val="000000" w:themeColor="text1" w:themeTint="FF" w:themeShade="FF"/>
          <w:sz w:val="22"/>
          <w:szCs w:val="22"/>
        </w:rPr>
        <w:t xml:space="preserve">The revenue data </w:t>
      </w:r>
      <w:r w:rsidRPr="6A6546C7" w:rsidR="551507BD">
        <w:rPr>
          <w:rFonts w:ascii="Calibri" w:hAnsi="Calibri" w:eastAsia="Calibri" w:cs="Calibri"/>
          <w:color w:val="000000" w:themeColor="text1" w:themeTint="FF" w:themeShade="FF"/>
          <w:sz w:val="22"/>
          <w:szCs w:val="22"/>
        </w:rPr>
        <w:t>indicates</w:t>
      </w:r>
      <w:r w:rsidRPr="6A6546C7" w:rsidR="551507BD">
        <w:rPr>
          <w:rFonts w:ascii="Calibri" w:hAnsi="Calibri" w:eastAsia="Calibri" w:cs="Calibri"/>
          <w:color w:val="000000" w:themeColor="text1" w:themeTint="FF" w:themeShade="FF"/>
          <w:sz w:val="22"/>
          <w:szCs w:val="22"/>
        </w:rPr>
        <w:t xml:space="preserve"> that there are multiple opportunities for new product introduction to spur growth. First, growing into tech accessories like phone cases, laptop sleeves, or wireless chargers might capitalize on the current customer interest in electronic gadgets, especially given the sizeable earnings from the Electronics </w:t>
      </w:r>
      <w:r w:rsidRPr="6A6546C7" w:rsidR="1C1B1D1F">
        <w:rPr>
          <w:rFonts w:ascii="Calibri" w:hAnsi="Calibri" w:eastAsia="Calibri" w:cs="Calibri"/>
          <w:color w:val="000000" w:themeColor="text1" w:themeTint="FF" w:themeShade="FF"/>
          <w:sz w:val="22"/>
          <w:szCs w:val="22"/>
        </w:rPr>
        <w:t>Product line</w:t>
      </w:r>
      <w:r w:rsidRPr="6A6546C7" w:rsidR="551507BD">
        <w:rPr>
          <w:rFonts w:ascii="Calibri" w:hAnsi="Calibri" w:eastAsia="Calibri" w:cs="Calibri"/>
          <w:color w:val="000000" w:themeColor="text1" w:themeTint="FF" w:themeShade="FF"/>
          <w:sz w:val="22"/>
          <w:szCs w:val="22"/>
        </w:rPr>
        <w:t>. Offering subscription services for digital material like e-books, music streaming, or exclusive movie streaming could also create a steady source of income and improve client retention if monthly revenue increases consistently.</w:t>
      </w:r>
    </w:p>
    <w:p w:rsidR="551507BD" w:rsidP="4B7F2AA9" w:rsidRDefault="551507BD" w14:paraId="2DE1FBCF" w14:textId="4FB87B29">
      <w:pPr>
        <w:rPr>
          <w:rFonts w:ascii="Calibri" w:hAnsi="Calibri" w:eastAsia="Calibri" w:cs="Calibri"/>
          <w:b w:val="1"/>
          <w:bCs w:val="1"/>
          <w:color w:val="000000" w:themeColor="text1"/>
          <w:sz w:val="22"/>
          <w:szCs w:val="22"/>
        </w:rPr>
      </w:pPr>
      <w:r w:rsidRPr="6A6546C7" w:rsidR="551507BD">
        <w:rPr>
          <w:rFonts w:ascii="Calibri" w:hAnsi="Calibri" w:eastAsia="Calibri" w:cs="Calibri"/>
          <w:color w:val="000000" w:themeColor="text1" w:themeTint="FF" w:themeShade="FF"/>
          <w:sz w:val="22"/>
          <w:szCs w:val="22"/>
        </w:rPr>
        <w:t xml:space="preserve">Additionally, considering how much money </w:t>
      </w:r>
      <w:r w:rsidRPr="6A6546C7" w:rsidR="0ACD1AD5">
        <w:rPr>
          <w:rFonts w:ascii="Calibri" w:hAnsi="Calibri" w:eastAsia="Calibri" w:cs="Calibri"/>
          <w:color w:val="000000" w:themeColor="text1" w:themeTint="FF" w:themeShade="FF"/>
          <w:sz w:val="22"/>
          <w:szCs w:val="22"/>
        </w:rPr>
        <w:t>M</w:t>
      </w:r>
      <w:r w:rsidRPr="6A6546C7" w:rsidR="551507BD">
        <w:rPr>
          <w:rFonts w:ascii="Calibri" w:hAnsi="Calibri" w:eastAsia="Calibri" w:cs="Calibri"/>
          <w:color w:val="000000" w:themeColor="text1" w:themeTint="FF" w:themeShade="FF"/>
          <w:sz w:val="22"/>
          <w:szCs w:val="22"/>
        </w:rPr>
        <w:t xml:space="preserve">ovies </w:t>
      </w:r>
      <w:r w:rsidRPr="6A6546C7" w:rsidR="27FD506F">
        <w:rPr>
          <w:rFonts w:ascii="Calibri" w:hAnsi="Calibri" w:eastAsia="Calibri" w:cs="Calibri"/>
          <w:color w:val="000000" w:themeColor="text1" w:themeTint="FF" w:themeShade="FF"/>
          <w:sz w:val="22"/>
          <w:szCs w:val="22"/>
        </w:rPr>
        <w:t xml:space="preserve">also </w:t>
      </w:r>
      <w:r w:rsidRPr="6A6546C7" w:rsidR="551507BD">
        <w:rPr>
          <w:rFonts w:ascii="Calibri" w:hAnsi="Calibri" w:eastAsia="Calibri" w:cs="Calibri"/>
          <w:color w:val="000000" w:themeColor="text1" w:themeTint="FF" w:themeShade="FF"/>
          <w:sz w:val="22"/>
          <w:szCs w:val="22"/>
        </w:rPr>
        <w:t xml:space="preserve">bring in, expanding into home entertainment products like sound systems, smart TVs, or streaming devices could satisfy consumers who want better viewing experiences. </w:t>
      </w:r>
      <w:r w:rsidRPr="6A6546C7" w:rsidR="6F1A164D">
        <w:rPr>
          <w:rFonts w:ascii="Calibri" w:hAnsi="Calibri" w:eastAsia="Calibri" w:cs="Calibri"/>
          <w:color w:val="000000" w:themeColor="text1" w:themeTint="FF" w:themeShade="FF"/>
          <w:sz w:val="22"/>
          <w:szCs w:val="22"/>
        </w:rPr>
        <w:t>And l</w:t>
      </w:r>
      <w:r w:rsidRPr="6A6546C7" w:rsidR="551507BD">
        <w:rPr>
          <w:rFonts w:ascii="Calibri" w:hAnsi="Calibri" w:eastAsia="Calibri" w:cs="Calibri"/>
          <w:color w:val="000000" w:themeColor="text1" w:themeTint="FF" w:themeShade="FF"/>
          <w:sz w:val="22"/>
          <w:szCs w:val="22"/>
        </w:rPr>
        <w:t xml:space="preserve">everaging the Web region's </w:t>
      </w:r>
      <w:r w:rsidRPr="6A6546C7" w:rsidR="551507BD">
        <w:rPr>
          <w:rFonts w:ascii="Calibri" w:hAnsi="Calibri" w:eastAsia="Calibri" w:cs="Calibri"/>
          <w:color w:val="000000" w:themeColor="text1" w:themeTint="FF" w:themeShade="FF"/>
          <w:sz w:val="22"/>
          <w:szCs w:val="22"/>
        </w:rPr>
        <w:t>good performance</w:t>
      </w:r>
      <w:r w:rsidRPr="6A6546C7" w:rsidR="551507BD">
        <w:rPr>
          <w:rFonts w:ascii="Calibri" w:hAnsi="Calibri" w:eastAsia="Calibri" w:cs="Calibri"/>
          <w:color w:val="000000" w:themeColor="text1" w:themeTint="FF" w:themeShade="FF"/>
          <w:sz w:val="22"/>
          <w:szCs w:val="22"/>
        </w:rPr>
        <w:t xml:space="preserve"> by providing digital services like cloud storage options, virtual events, or online courses could draw in the technologically astute clientele and profit from the rising demand for online content.</w:t>
      </w:r>
    </w:p>
    <w:p w:rsidR="551507BD" w:rsidP="4B7F2AA9" w:rsidRDefault="551507BD" w14:paraId="6A00544D" w14:textId="7EDEE99A">
      <w:pPr>
        <w:rPr>
          <w:rFonts w:ascii="Calibri" w:hAnsi="Calibri" w:eastAsia="Calibri" w:cs="Calibri"/>
          <w:b/>
          <w:bCs/>
          <w:color w:val="000000" w:themeColor="text1"/>
          <w:sz w:val="22"/>
          <w:szCs w:val="22"/>
        </w:rPr>
      </w:pPr>
      <w:r w:rsidRPr="4B7F2AA9">
        <w:rPr>
          <w:rFonts w:ascii="Calibri" w:hAnsi="Calibri" w:eastAsia="Calibri" w:cs="Calibri"/>
          <w:color w:val="000000" w:themeColor="text1"/>
          <w:sz w:val="22"/>
          <w:szCs w:val="22"/>
        </w:rPr>
        <w:t>Brand loyalty can be fostered by offering personalized items, such as curated movie collections or engraved e-readers, to clients who are looking for distinctive experiences. Furthermore, the product line may be further diversified and appeal to a wider client base by targeting future trends like health and wellness with wearable fitness trackers or sustainable technology solutions. This would eventually drive continuous development and market expansion.</w:t>
      </w:r>
    </w:p>
    <w:p w:rsidR="005B2024" w:rsidP="255B4B9F" w:rsidRDefault="005B2024" w14:paraId="7178C37D" w14:textId="3E44FB1B">
      <w:pPr>
        <w:pStyle w:val="Normal"/>
        <w:rPr>
          <w:rFonts w:ascii="Calibri" w:hAnsi="Calibri" w:eastAsia="Calibri" w:cs="Calibri"/>
          <w:b w:val="1"/>
          <w:bCs w:val="1"/>
          <w:color w:val="000000" w:themeColor="text1"/>
          <w:sz w:val="22"/>
          <w:szCs w:val="22"/>
        </w:rPr>
      </w:pPr>
      <w:r w:rsidRPr="255B4B9F">
        <w:rPr>
          <w:rFonts w:ascii="Calibri" w:hAnsi="Calibri" w:eastAsia="Calibri" w:cs="Calibri"/>
          <w:b w:val="1"/>
          <w:bCs w:val="1"/>
          <w:color w:val="000000" w:themeColor="text1" w:themeTint="FF" w:themeShade="FF"/>
          <w:sz w:val="22"/>
          <w:szCs w:val="22"/>
        </w:rPr>
        <w:br w:type="page"/>
      </w:r>
    </w:p>
    <w:p w:rsidRPr="00813175" w:rsidR="005B2024" w:rsidP="005B2024" w:rsidRDefault="005B2024" w14:paraId="51E66D3B" w14:textId="5303D484">
      <w:pPr>
        <w:pStyle w:val="Caption"/>
        <w:keepNext/>
        <w:spacing w:after="0"/>
        <w:ind w:left="-720"/>
        <w:rPr>
          <w:i w:val="0"/>
          <w:iCs w:val="0"/>
          <w:color w:val="auto"/>
        </w:rPr>
      </w:pPr>
      <w:r w:rsidRPr="00813175">
        <w:rPr>
          <w:b/>
          <w:bCs/>
          <w:color w:val="auto"/>
        </w:rPr>
        <w:lastRenderedPageBreak/>
        <w:t xml:space="preserve">Table </w:t>
      </w:r>
      <w:r>
        <w:rPr>
          <w:b/>
          <w:bCs/>
          <w:color w:val="auto"/>
        </w:rPr>
        <w:t>3</w:t>
      </w:r>
      <w:r>
        <w:rPr>
          <w:b/>
          <w:bCs/>
          <w:color w:val="auto"/>
        </w:rPr>
        <w:t xml:space="preserve">: </w:t>
      </w:r>
      <w:r>
        <w:rPr>
          <w:i w:val="0"/>
          <w:iCs w:val="0"/>
          <w:color w:val="auto"/>
        </w:rPr>
        <w:t>Monthly Forecasted Revenues at the Company, Product and Region levels by month for 202</w:t>
      </w:r>
      <w:r>
        <w:rPr>
          <w:i w:val="0"/>
          <w:iCs w:val="0"/>
          <w:color w:val="auto"/>
        </w:rPr>
        <w:t>1</w:t>
      </w:r>
    </w:p>
    <w:p w:rsidR="005B2024" w:rsidP="005B2024" w:rsidRDefault="005B2024" w14:paraId="7C4BA496" w14:textId="77777777">
      <w:pPr>
        <w:ind w:left="-1260"/>
        <w:rPr/>
      </w:pPr>
      <w:r w:rsidRPr="005B2024">
        <w:drawing>
          <wp:inline distT="0" distB="0" distL="0" distR="0" wp14:anchorId="0A908BC3" wp14:editId="1BEE9617">
            <wp:extent cx="7537071" cy="1724025"/>
            <wp:effectExtent l="0" t="0" r="6985" b="0"/>
            <wp:docPr id="787293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867" cy="1729468"/>
                    </a:xfrm>
                    <a:prstGeom prst="rect">
                      <a:avLst/>
                    </a:prstGeom>
                    <a:noFill/>
                    <a:ln>
                      <a:noFill/>
                    </a:ln>
                  </pic:spPr>
                </pic:pic>
              </a:graphicData>
            </a:graphic>
          </wp:inline>
        </w:drawing>
      </w:r>
    </w:p>
    <w:p w:rsidRPr="00813175" w:rsidR="005B2024" w:rsidP="005B2024" w:rsidRDefault="005B2024" w14:paraId="7CF607F3" w14:textId="43A087FD">
      <w:pPr>
        <w:pStyle w:val="Caption"/>
        <w:keepNext/>
        <w:spacing w:after="0"/>
        <w:ind w:left="-720"/>
        <w:rPr>
          <w:i w:val="0"/>
          <w:iCs w:val="0"/>
          <w:color w:val="auto"/>
        </w:rPr>
      </w:pPr>
      <w:r w:rsidRPr="00813175">
        <w:rPr>
          <w:b/>
          <w:bCs/>
          <w:color w:val="auto"/>
        </w:rPr>
        <w:t xml:space="preserve">Table </w:t>
      </w:r>
      <w:r>
        <w:rPr>
          <w:b/>
          <w:bCs/>
          <w:color w:val="auto"/>
        </w:rPr>
        <w:t>4</w:t>
      </w:r>
      <w:r>
        <w:rPr>
          <w:b/>
          <w:bCs/>
          <w:color w:val="auto"/>
        </w:rPr>
        <w:t xml:space="preserve">: </w:t>
      </w:r>
      <w:r>
        <w:rPr>
          <w:i w:val="0"/>
          <w:iCs w:val="0"/>
          <w:color w:val="auto"/>
        </w:rPr>
        <w:t>Monthly Forecasted Revenues at the Company, Product and Region levels by month for 202</w:t>
      </w:r>
      <w:r>
        <w:rPr>
          <w:i w:val="0"/>
          <w:iCs w:val="0"/>
          <w:color w:val="auto"/>
        </w:rPr>
        <w:t>2</w:t>
      </w:r>
    </w:p>
    <w:p w:rsidR="43329599" w:rsidP="005B2024" w:rsidRDefault="005B2024" w14:paraId="01078CFA" w14:textId="04E7E9CA">
      <w:pPr>
        <w:ind w:left="-1260"/>
        <w:rPr>
          <w:rFonts w:ascii="Calibri" w:hAnsi="Calibri" w:eastAsia="Calibri" w:cs="Calibri"/>
          <w:b/>
          <w:bCs/>
          <w:color w:val="000000" w:themeColor="text1"/>
          <w:sz w:val="22"/>
          <w:szCs w:val="22"/>
        </w:rPr>
      </w:pPr>
      <w:r w:rsidRPr="005B2024">
        <w:drawing>
          <wp:inline distT="0" distB="0" distL="0" distR="0" wp14:anchorId="041D3F1D" wp14:editId="60B3C907">
            <wp:extent cx="7536815" cy="1723966"/>
            <wp:effectExtent l="0" t="0" r="6985" b="0"/>
            <wp:docPr id="396128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0263" cy="1727042"/>
                    </a:xfrm>
                    <a:prstGeom prst="rect">
                      <a:avLst/>
                    </a:prstGeom>
                    <a:noFill/>
                    <a:ln>
                      <a:noFill/>
                    </a:ln>
                  </pic:spPr>
                </pic:pic>
              </a:graphicData>
            </a:graphic>
          </wp:inline>
        </w:drawing>
      </w:r>
      <w:r w:rsidR="43329599">
        <w:br/>
      </w:r>
    </w:p>
    <w:p w:rsidR="61BD04F5" w:rsidP="4B7F2AA9" w:rsidRDefault="61BD04F5" w14:paraId="1BB0F2DA" w14:textId="12AAD161">
      <w:pPr>
        <w:rPr>
          <w:rFonts w:ascii="Calibri" w:hAnsi="Calibri" w:eastAsia="Calibri" w:cs="Calibri"/>
          <w:color w:val="000000" w:themeColor="text1"/>
          <w:sz w:val="22"/>
          <w:szCs w:val="22"/>
        </w:rPr>
      </w:pPr>
    </w:p>
    <w:p w:rsidR="61BD04F5" w:rsidP="61BD04F5" w:rsidRDefault="61BD04F5" w14:paraId="53B79839" w14:textId="4D77FBA2">
      <w:pPr>
        <w:rPr>
          <w:rFonts w:ascii="Calibri" w:hAnsi="Calibri" w:eastAsia="Calibri" w:cs="Calibri"/>
          <w:sz w:val="22"/>
          <w:szCs w:val="22"/>
        </w:rPr>
      </w:pPr>
    </w:p>
    <w:sectPr w:rsidR="61BD04F5">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92E" w:rsidP="00080333" w:rsidRDefault="002E692E" w14:paraId="03E20F88" w14:textId="77777777">
      <w:r>
        <w:separator/>
      </w:r>
    </w:p>
  </w:endnote>
  <w:endnote w:type="continuationSeparator" w:id="0">
    <w:p w:rsidR="002E692E" w:rsidP="00080333" w:rsidRDefault="002E692E" w14:paraId="7FBEF1A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672063867"/>
      <w:docPartObj>
        <w:docPartGallery w:val="Page Numbers (Bottom of Page)"/>
        <w:docPartUnique/>
      </w:docPartObj>
    </w:sdtPr>
    <w:sdtEndPr>
      <w:rPr>
        <w:noProof/>
        <w:sz w:val="22"/>
        <w:szCs w:val="22"/>
      </w:rPr>
    </w:sdtEndPr>
    <w:sdtContent>
      <w:p w:rsidRPr="00080333" w:rsidR="00080333" w:rsidRDefault="00080333" w14:paraId="16D9A7A7" w14:textId="4D46FA75">
        <w:pPr>
          <w:pStyle w:val="Footer"/>
          <w:jc w:val="center"/>
          <w:rPr>
            <w:sz w:val="22"/>
            <w:szCs w:val="22"/>
          </w:rPr>
        </w:pPr>
        <w:r w:rsidRPr="00080333">
          <w:rPr>
            <w:sz w:val="22"/>
            <w:szCs w:val="22"/>
          </w:rPr>
          <w:fldChar w:fldCharType="begin"/>
        </w:r>
        <w:r w:rsidRPr="00080333">
          <w:rPr>
            <w:sz w:val="22"/>
            <w:szCs w:val="22"/>
          </w:rPr>
          <w:instrText xml:space="preserve"> PAGE   \* MERGEFORMAT </w:instrText>
        </w:r>
        <w:r w:rsidRPr="00080333">
          <w:rPr>
            <w:sz w:val="22"/>
            <w:szCs w:val="22"/>
          </w:rPr>
          <w:fldChar w:fldCharType="separate"/>
        </w:r>
        <w:r w:rsidRPr="00080333">
          <w:rPr>
            <w:noProof/>
            <w:sz w:val="22"/>
            <w:szCs w:val="22"/>
          </w:rPr>
          <w:t>2</w:t>
        </w:r>
        <w:r w:rsidRPr="00080333">
          <w:rPr>
            <w:noProof/>
            <w:sz w:val="22"/>
            <w:szCs w:val="22"/>
          </w:rPr>
          <w:fldChar w:fldCharType="end"/>
        </w:r>
      </w:p>
    </w:sdtContent>
  </w:sdt>
  <w:p w:rsidR="00080333" w:rsidRDefault="00080333" w14:paraId="23859C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92E" w:rsidP="00080333" w:rsidRDefault="002E692E" w14:paraId="66C8C813" w14:textId="77777777">
      <w:r>
        <w:separator/>
      </w:r>
    </w:p>
  </w:footnote>
  <w:footnote w:type="continuationSeparator" w:id="0">
    <w:p w:rsidR="002E692E" w:rsidP="00080333" w:rsidRDefault="002E692E" w14:paraId="6FE8AAE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80333" w:rsidR="00080333" w:rsidP="00080333" w:rsidRDefault="00080333" w14:paraId="0C4EB68D" w14:textId="77777777">
    <w:pPr>
      <w:pStyle w:val="Header"/>
      <w:rPr>
        <w:sz w:val="22"/>
        <w:szCs w:val="22"/>
      </w:rPr>
    </w:pPr>
    <w:r w:rsidRPr="00080333">
      <w:rPr>
        <w:sz w:val="22"/>
        <w:szCs w:val="22"/>
      </w:rPr>
      <w:t>BIFM Spring 2024 Group Project</w:t>
    </w:r>
  </w:p>
  <w:p w:rsidRPr="00080333" w:rsidR="00080333" w:rsidRDefault="00080333" w14:paraId="6CFF2A0D" w14:textId="7D5881D1">
    <w:pPr>
      <w:pStyle w:val="Header"/>
      <w:rPr>
        <w:sz w:val="22"/>
        <w:szCs w:val="22"/>
      </w:rPr>
    </w:pPr>
    <w:r w:rsidRPr="00080333">
      <w:rPr>
        <w:sz w:val="22"/>
        <w:szCs w:val="22"/>
      </w:rPr>
      <w:t xml:space="preserve">Group 8: Josh Albera-Hagerich, Sri Sai Charan Karnati, Jessica Nebelsick, Madhukiran Reddy Sunkara, Avinash Reddy Vinjamuri, </w:t>
    </w:r>
    <w:proofErr w:type="spellStart"/>
    <w:r w:rsidRPr="00080333">
      <w:rPr>
        <w:sz w:val="22"/>
        <w:szCs w:val="22"/>
      </w:rPr>
      <w:t>Srijareddy</w:t>
    </w:r>
    <w:proofErr w:type="spellEnd"/>
    <w:r w:rsidRPr="00080333">
      <w:rPr>
        <w:sz w:val="22"/>
        <w:szCs w:val="22"/>
      </w:rPr>
      <w:t xml:space="preserve"> </w:t>
    </w:r>
    <w:proofErr w:type="spellStart"/>
    <w:r w:rsidRPr="00080333">
      <w:rPr>
        <w:sz w:val="22"/>
        <w:szCs w:val="22"/>
      </w:rPr>
      <w:t>Yedulla</w:t>
    </w:r>
    <w:proofErr w:type="spellEnd"/>
  </w:p>
</w:hdr>
</file>

<file path=word/intelligence2.xml><?xml version="1.0" encoding="utf-8"?>
<int2:intelligence xmlns:int2="http://schemas.microsoft.com/office/intelligence/2020/intelligence">
  <int2:observations>
    <int2:bookmark int2:bookmarkName="_Int_D4EokV0V" int2:invalidationBookmarkName="" int2:hashCode="v4NHd+TPWuKgBZ" int2:id="cCYxE9AQ">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33"/>
    <w:rsid w:val="00080333"/>
    <w:rsid w:val="0014AEA4"/>
    <w:rsid w:val="00293FA0"/>
    <w:rsid w:val="002E692E"/>
    <w:rsid w:val="005B2024"/>
    <w:rsid w:val="0069DFAB"/>
    <w:rsid w:val="00813175"/>
    <w:rsid w:val="00A71CAB"/>
    <w:rsid w:val="00A76269"/>
    <w:rsid w:val="0161D6D2"/>
    <w:rsid w:val="04424E5B"/>
    <w:rsid w:val="07CDA89E"/>
    <w:rsid w:val="081B5FD3"/>
    <w:rsid w:val="0ACD1AD5"/>
    <w:rsid w:val="0B2129C2"/>
    <w:rsid w:val="0C415D11"/>
    <w:rsid w:val="0CBCFA23"/>
    <w:rsid w:val="0E58CA84"/>
    <w:rsid w:val="0F90824A"/>
    <w:rsid w:val="105C3252"/>
    <w:rsid w:val="10EC4E54"/>
    <w:rsid w:val="126D9EEE"/>
    <w:rsid w:val="136EBAE9"/>
    <w:rsid w:val="138F9D03"/>
    <w:rsid w:val="14B75128"/>
    <w:rsid w:val="1544564B"/>
    <w:rsid w:val="1822A5C1"/>
    <w:rsid w:val="185DB7D1"/>
    <w:rsid w:val="1A7C8725"/>
    <w:rsid w:val="1ACC0CFD"/>
    <w:rsid w:val="1B156F56"/>
    <w:rsid w:val="1B7111E5"/>
    <w:rsid w:val="1B964B10"/>
    <w:rsid w:val="1C1B1D1F"/>
    <w:rsid w:val="1F1B84AB"/>
    <w:rsid w:val="20F993ED"/>
    <w:rsid w:val="212ED923"/>
    <w:rsid w:val="215591A0"/>
    <w:rsid w:val="228129A6"/>
    <w:rsid w:val="234252A8"/>
    <w:rsid w:val="23A15CF5"/>
    <w:rsid w:val="252D59C4"/>
    <w:rsid w:val="255B4B9F"/>
    <w:rsid w:val="256E8731"/>
    <w:rsid w:val="26296F4D"/>
    <w:rsid w:val="27ABE835"/>
    <w:rsid w:val="27FD506F"/>
    <w:rsid w:val="281F0B0F"/>
    <w:rsid w:val="28A93E94"/>
    <w:rsid w:val="29E14866"/>
    <w:rsid w:val="2DC6DC76"/>
    <w:rsid w:val="2E3C022E"/>
    <w:rsid w:val="2F24D8EC"/>
    <w:rsid w:val="3399EE55"/>
    <w:rsid w:val="347142E0"/>
    <w:rsid w:val="37375C44"/>
    <w:rsid w:val="3756CB87"/>
    <w:rsid w:val="3812213F"/>
    <w:rsid w:val="388D312B"/>
    <w:rsid w:val="393D54C6"/>
    <w:rsid w:val="397F215F"/>
    <w:rsid w:val="3A0DD57E"/>
    <w:rsid w:val="3BF51FCC"/>
    <w:rsid w:val="3D4CDCA8"/>
    <w:rsid w:val="3EF9E2F9"/>
    <w:rsid w:val="3F1F65F2"/>
    <w:rsid w:val="3FA6AC6E"/>
    <w:rsid w:val="4006BC03"/>
    <w:rsid w:val="43329599"/>
    <w:rsid w:val="45454276"/>
    <w:rsid w:val="45E57687"/>
    <w:rsid w:val="45FC94C7"/>
    <w:rsid w:val="465AC513"/>
    <w:rsid w:val="46AF110F"/>
    <w:rsid w:val="46E112D7"/>
    <w:rsid w:val="46EDD6FD"/>
    <w:rsid w:val="47125283"/>
    <w:rsid w:val="4725644F"/>
    <w:rsid w:val="47E6DAEA"/>
    <w:rsid w:val="4910AD38"/>
    <w:rsid w:val="4982AB4B"/>
    <w:rsid w:val="4AF341D8"/>
    <w:rsid w:val="4B7F2AA9"/>
    <w:rsid w:val="4DA713F7"/>
    <w:rsid w:val="4F0579A0"/>
    <w:rsid w:val="4F28C97E"/>
    <w:rsid w:val="4FEC7841"/>
    <w:rsid w:val="523C2392"/>
    <w:rsid w:val="54E147CC"/>
    <w:rsid w:val="551507BD"/>
    <w:rsid w:val="57376DD4"/>
    <w:rsid w:val="57F6045C"/>
    <w:rsid w:val="58AC25D1"/>
    <w:rsid w:val="5982926C"/>
    <w:rsid w:val="5BFFC9EE"/>
    <w:rsid w:val="5C2943EC"/>
    <w:rsid w:val="5C3A3F50"/>
    <w:rsid w:val="5D5192ED"/>
    <w:rsid w:val="5D8B2475"/>
    <w:rsid w:val="5DBF770A"/>
    <w:rsid w:val="5DD60FB1"/>
    <w:rsid w:val="5FF04743"/>
    <w:rsid w:val="60A61050"/>
    <w:rsid w:val="60DC1CB0"/>
    <w:rsid w:val="61BD04F5"/>
    <w:rsid w:val="62CE224A"/>
    <w:rsid w:val="63A84DDE"/>
    <w:rsid w:val="63DCCE51"/>
    <w:rsid w:val="67026307"/>
    <w:rsid w:val="67173610"/>
    <w:rsid w:val="68ACB0E0"/>
    <w:rsid w:val="68C97666"/>
    <w:rsid w:val="68D58734"/>
    <w:rsid w:val="6A38D559"/>
    <w:rsid w:val="6A6546C7"/>
    <w:rsid w:val="6C0824F6"/>
    <w:rsid w:val="6C0D27F6"/>
    <w:rsid w:val="6E7A0833"/>
    <w:rsid w:val="6F1A164D"/>
    <w:rsid w:val="6F44C8B8"/>
    <w:rsid w:val="6F8D2DE0"/>
    <w:rsid w:val="709F6BBD"/>
    <w:rsid w:val="72E3F491"/>
    <w:rsid w:val="73428E1C"/>
    <w:rsid w:val="734B612E"/>
    <w:rsid w:val="734F53F8"/>
    <w:rsid w:val="7473F6C2"/>
    <w:rsid w:val="74DD56CB"/>
    <w:rsid w:val="75956B49"/>
    <w:rsid w:val="762FF984"/>
    <w:rsid w:val="76697D11"/>
    <w:rsid w:val="766A35F0"/>
    <w:rsid w:val="76C0F58C"/>
    <w:rsid w:val="77E0FEBD"/>
    <w:rsid w:val="7822C51B"/>
    <w:rsid w:val="78450AD0"/>
    <w:rsid w:val="7B2BEF88"/>
    <w:rsid w:val="7B916800"/>
    <w:rsid w:val="7C85E1DD"/>
    <w:rsid w:val="7CB62E30"/>
    <w:rsid w:val="7E8DA5E9"/>
    <w:rsid w:val="7EABA134"/>
    <w:rsid w:val="7EB2DF14"/>
    <w:rsid w:val="7F62D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4632"/>
  <w15:chartTrackingRefBased/>
  <w15:docId w15:val="{E4DB63CF-319E-494A-9325-C6E668F5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8033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33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3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3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3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33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8033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8033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8033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8033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8033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8033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8033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8033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80333"/>
    <w:rPr>
      <w:rFonts w:eastAsiaTheme="majorEastAsia" w:cstheme="majorBidi"/>
      <w:color w:val="272727" w:themeColor="text1" w:themeTint="D8"/>
    </w:rPr>
  </w:style>
  <w:style w:type="paragraph" w:styleId="Title">
    <w:name w:val="Title"/>
    <w:basedOn w:val="Normal"/>
    <w:next w:val="Normal"/>
    <w:link w:val="TitleChar"/>
    <w:uiPriority w:val="10"/>
    <w:qFormat/>
    <w:rsid w:val="0008033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033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8033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80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33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80333"/>
    <w:rPr>
      <w:i/>
      <w:iCs/>
      <w:color w:val="404040" w:themeColor="text1" w:themeTint="BF"/>
    </w:rPr>
  </w:style>
  <w:style w:type="paragraph" w:styleId="ListParagraph">
    <w:name w:val="List Paragraph"/>
    <w:basedOn w:val="Normal"/>
    <w:uiPriority w:val="34"/>
    <w:qFormat/>
    <w:rsid w:val="00080333"/>
    <w:pPr>
      <w:ind w:left="720"/>
      <w:contextualSpacing/>
    </w:pPr>
  </w:style>
  <w:style w:type="character" w:styleId="IntenseEmphasis">
    <w:name w:val="Intense Emphasis"/>
    <w:basedOn w:val="DefaultParagraphFont"/>
    <w:uiPriority w:val="21"/>
    <w:qFormat/>
    <w:rsid w:val="00080333"/>
    <w:rPr>
      <w:i/>
      <w:iCs/>
      <w:color w:val="0F4761" w:themeColor="accent1" w:themeShade="BF"/>
    </w:rPr>
  </w:style>
  <w:style w:type="paragraph" w:styleId="IntenseQuote">
    <w:name w:val="Intense Quote"/>
    <w:basedOn w:val="Normal"/>
    <w:next w:val="Normal"/>
    <w:link w:val="IntenseQuoteChar"/>
    <w:uiPriority w:val="30"/>
    <w:qFormat/>
    <w:rsid w:val="0008033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80333"/>
    <w:rPr>
      <w:i/>
      <w:iCs/>
      <w:color w:val="0F4761" w:themeColor="accent1" w:themeShade="BF"/>
    </w:rPr>
  </w:style>
  <w:style w:type="character" w:styleId="IntenseReference">
    <w:name w:val="Intense Reference"/>
    <w:basedOn w:val="DefaultParagraphFont"/>
    <w:uiPriority w:val="32"/>
    <w:qFormat/>
    <w:rsid w:val="00080333"/>
    <w:rPr>
      <w:b/>
      <w:bCs/>
      <w:smallCaps/>
      <w:color w:val="0F4761" w:themeColor="accent1" w:themeShade="BF"/>
      <w:spacing w:val="5"/>
    </w:rPr>
  </w:style>
  <w:style w:type="paragraph" w:styleId="Header">
    <w:name w:val="header"/>
    <w:basedOn w:val="Normal"/>
    <w:link w:val="HeaderChar"/>
    <w:uiPriority w:val="99"/>
    <w:unhideWhenUsed/>
    <w:rsid w:val="00080333"/>
    <w:pPr>
      <w:tabs>
        <w:tab w:val="center" w:pos="4680"/>
        <w:tab w:val="right" w:pos="9360"/>
      </w:tabs>
    </w:pPr>
  </w:style>
  <w:style w:type="character" w:styleId="HeaderChar" w:customStyle="1">
    <w:name w:val="Header Char"/>
    <w:basedOn w:val="DefaultParagraphFont"/>
    <w:link w:val="Header"/>
    <w:uiPriority w:val="99"/>
    <w:rsid w:val="00080333"/>
  </w:style>
  <w:style w:type="paragraph" w:styleId="Footer">
    <w:name w:val="footer"/>
    <w:basedOn w:val="Normal"/>
    <w:link w:val="FooterChar"/>
    <w:uiPriority w:val="99"/>
    <w:unhideWhenUsed/>
    <w:rsid w:val="00080333"/>
    <w:pPr>
      <w:tabs>
        <w:tab w:val="center" w:pos="4680"/>
        <w:tab w:val="right" w:pos="9360"/>
      </w:tabs>
    </w:pPr>
  </w:style>
  <w:style w:type="character" w:styleId="FooterChar" w:customStyle="1">
    <w:name w:val="Footer Char"/>
    <w:basedOn w:val="DefaultParagraphFont"/>
    <w:link w:val="Footer"/>
    <w:uiPriority w:val="99"/>
    <w:rsid w:val="00080333"/>
  </w:style>
  <w:style w:type="table" w:styleId="TableGrid">
    <w:name w:val="Table Grid"/>
    <w:basedOn w:val="TableNormal"/>
    <w:uiPriority w:val="39"/>
    <w:rsid w:val="008131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semiHidden/>
    <w:unhideWhenUsed/>
    <w:qFormat/>
    <w:rsid w:val="0081317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543">
      <w:bodyDiv w:val="1"/>
      <w:marLeft w:val="0"/>
      <w:marRight w:val="0"/>
      <w:marTop w:val="0"/>
      <w:marBottom w:val="0"/>
      <w:divBdr>
        <w:top w:val="none" w:sz="0" w:space="0" w:color="auto"/>
        <w:left w:val="none" w:sz="0" w:space="0" w:color="auto"/>
        <w:bottom w:val="none" w:sz="0" w:space="0" w:color="auto"/>
        <w:right w:val="none" w:sz="0" w:space="0" w:color="auto"/>
      </w:divBdr>
    </w:div>
    <w:div w:id="865797562">
      <w:bodyDiv w:val="1"/>
      <w:marLeft w:val="0"/>
      <w:marRight w:val="0"/>
      <w:marTop w:val="0"/>
      <w:marBottom w:val="0"/>
      <w:divBdr>
        <w:top w:val="none" w:sz="0" w:space="0" w:color="auto"/>
        <w:left w:val="none" w:sz="0" w:space="0" w:color="auto"/>
        <w:bottom w:val="none" w:sz="0" w:space="0" w:color="auto"/>
        <w:right w:val="none" w:sz="0" w:space="0" w:color="auto"/>
      </w:divBdr>
    </w:div>
    <w:div w:id="1716196670">
      <w:bodyDiv w:val="1"/>
      <w:marLeft w:val="0"/>
      <w:marRight w:val="0"/>
      <w:marTop w:val="0"/>
      <w:marBottom w:val="0"/>
      <w:divBdr>
        <w:top w:val="none" w:sz="0" w:space="0" w:color="auto"/>
        <w:left w:val="none" w:sz="0" w:space="0" w:color="auto"/>
        <w:bottom w:val="none" w:sz="0" w:space="0" w:color="auto"/>
        <w:right w:val="none" w:sz="0" w:space="0" w:color="auto"/>
      </w:divBdr>
    </w:div>
    <w:div w:id="17214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image" Target="media/image4.emf"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emf"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emf" Id="rId10" /><Relationship Type="http://schemas.openxmlformats.org/officeDocument/2006/relationships/styles" Target="styles.xml" Id="rId4" /><Relationship Type="http://schemas.openxmlformats.org/officeDocument/2006/relationships/image" Target="media/image1.emf" Id="rId9" /><Relationship Type="http://schemas.openxmlformats.org/officeDocument/2006/relationships/footer" Target="footer1.xml" Id="rId14" /><Relationship Type="http://schemas.microsoft.com/office/2020/10/relationships/intelligence" Target="intelligence2.xml" Id="Re5f05168e4fc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48E50A16C6E54B9DEA2BB32A9FAD2B" ma:contentTypeVersion="4" ma:contentTypeDescription="Create a new document." ma:contentTypeScope="" ma:versionID="be38ce3a023bd8d2b6ef521750f34a68">
  <xsd:schema xmlns:xsd="http://www.w3.org/2001/XMLSchema" xmlns:xs="http://www.w3.org/2001/XMLSchema" xmlns:p="http://schemas.microsoft.com/office/2006/metadata/properties" xmlns:ns2="5c8a6d1f-7487-42da-bd64-e636e45761fc" targetNamespace="http://schemas.microsoft.com/office/2006/metadata/properties" ma:root="true" ma:fieldsID="490de3676823179f7fd271e6c5413983" ns2:_="">
    <xsd:import namespace="5c8a6d1f-7487-42da-bd64-e636e45761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a6d1f-7487-42da-bd64-e636e4576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91D0B9-7CFA-4B16-BE33-F2857E4CE37C}">
  <ds:schemaRefs>
    <ds:schemaRef ds:uri="http://schemas.microsoft.com/sharepoint/v3/contenttype/forms"/>
  </ds:schemaRefs>
</ds:datastoreItem>
</file>

<file path=customXml/itemProps2.xml><?xml version="1.0" encoding="utf-8"?>
<ds:datastoreItem xmlns:ds="http://schemas.openxmlformats.org/officeDocument/2006/customXml" ds:itemID="{FAE16D48-D6EB-4824-99FE-113F83CE8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a6d1f-7487-42da-bd64-e636e4576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27A4E0-0003-4657-B4DA-934003B52C5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Nebelsick</dc:creator>
  <keywords/>
  <dc:description/>
  <lastModifiedBy>Nebelsick, Jessica</lastModifiedBy>
  <revision>7</revision>
  <dcterms:created xsi:type="dcterms:W3CDTF">2024-02-28T00:54:00.0000000Z</dcterms:created>
  <dcterms:modified xsi:type="dcterms:W3CDTF">2024-03-10T05:56:43.1683972Z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0x0101006748E50A16C6E54B9DEA2BB32A9FAD2B</vt:lpwstr>
  </property>
</Properties>
</file>