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3">
      <w:pPr>
        <w:pStyle w:val="4"/>
        <w:pBdr>
          <w:top w:val="none" w:color="auto" w:sz="0" w:space="0"/>
          <w:left w:val="none" w:color="auto" w:sz="0" w:space="0"/>
          <w:bottom w:val="none" w:color="auto" w:sz="0" w:space="0"/>
          <w:right w:val="none" w:color="auto" w:sz="0" w:space="0"/>
          <w:between w:val="none" w:color="auto" w:sz="0" w:space="0"/>
        </w:pBdr>
        <w:shd w:val="clear" w:fill="auto"/>
        <w:bidi/>
        <w:spacing w:before="0" w:line="275" w:lineRule="auto"/>
        <w:rPr>
          <w:rFonts w:ascii="Arial" w:hAnsi="Arial" w:eastAsia="Arial" w:cs="Arial"/>
          <w:color w:val="1F1F1F"/>
        </w:rPr>
      </w:pPr>
      <w:bookmarkStart w:id="0" w:name="_GoBack"/>
      <w:bookmarkEnd w:id="0"/>
      <w:r>
        <w:rPr>
          <w:rFonts w:ascii="Arial" w:hAnsi="Arial" w:eastAsia="Arial" w:cs="Arial"/>
          <w:color w:val="1F1F1F"/>
          <w:rtl/>
        </w:rPr>
        <w:t>1. מקטע 1: מפת הדרכים וה"מסלול הירוק" (</w:t>
      </w:r>
      <w:r>
        <w:rPr>
          <w:rFonts w:ascii="Arial" w:hAnsi="Arial" w:eastAsia="Arial" w:cs="Arial"/>
          <w:color w:val="1F1F1F"/>
          <w:rtl w:val="0"/>
        </w:rPr>
        <w:t>Roadmap &amp; The Green Track</w:t>
      </w:r>
      <w:r>
        <w:rPr>
          <w:rFonts w:ascii="Arial" w:hAnsi="Arial" w:eastAsia="Arial" w:cs="Arial"/>
          <w:color w:val="1F1F1F"/>
          <w:rtl/>
        </w:rPr>
        <w:t>)</w:t>
      </w:r>
    </w:p>
    <w:p w14:paraId="00000004">
      <w:pPr>
        <w:pStyle w:val="5"/>
        <w:pBdr>
          <w:top w:val="none" w:color="auto" w:sz="0" w:space="0"/>
          <w:left w:val="none" w:color="auto" w:sz="0" w:space="0"/>
          <w:bottom w:val="none" w:color="auto" w:sz="0" w:space="0"/>
          <w:right w:val="none" w:color="auto" w:sz="0" w:space="0"/>
          <w:between w:val="none" w:color="auto" w:sz="0" w:space="0"/>
        </w:pBdr>
        <w:shd w:val="clear" w:fill="auto"/>
        <w:bidi/>
        <w:spacing w:before="0" w:line="275" w:lineRule="auto"/>
        <w:rPr>
          <w:rFonts w:ascii="Arial" w:hAnsi="Arial" w:eastAsia="Arial" w:cs="Arial"/>
          <w:color w:val="1F1F1F"/>
        </w:rPr>
      </w:pPr>
      <w:r>
        <w:rPr>
          <w:rFonts w:ascii="Arial" w:hAnsi="Arial" w:eastAsia="Arial" w:cs="Arial"/>
          <w:color w:val="1F1F1F"/>
          <w:rtl/>
        </w:rPr>
        <w:t>א. העברת משימות ל"שלבים שהושלמו"</w:t>
      </w:r>
    </w:p>
    <w:p w14:paraId="00000005">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590" w:hanging="360"/>
      </w:pPr>
      <w:r>
        <w:rPr>
          <w:rFonts w:ascii="Arial" w:hAnsi="Arial" w:eastAsia="Arial" w:cs="Arial"/>
          <w:b/>
          <w:bCs/>
          <w:color w:val="1F1F1F"/>
          <w:rtl/>
        </w:rPr>
        <w:t>מצב קיים (עברית):</w:t>
      </w:r>
      <w:r>
        <w:rPr>
          <w:rFonts w:ascii="Arial" w:hAnsi="Arial" w:eastAsia="Arial" w:cs="Arial"/>
          <w:color w:val="1F1F1F"/>
          <w:rtl/>
        </w:rPr>
        <w:t xml:space="preserve"> המשימות (</w:t>
      </w:r>
      <w:r>
        <w:rPr>
          <w:rFonts w:ascii="Arial" w:hAnsi="Arial" w:eastAsia="Arial" w:cs="Arial"/>
          <w:color w:val="1F1F1F"/>
          <w:rtl w:val="0"/>
        </w:rPr>
        <w:t>POC</w:t>
      </w:r>
      <w:r>
        <w:rPr>
          <w:rFonts w:ascii="Arial" w:hAnsi="Arial" w:eastAsia="Arial" w:cs="Arial"/>
          <w:color w:val="1F1F1F"/>
          <w:rtl/>
        </w:rPr>
        <w:t>, סקר שווקים, בחינת פטנטביליות, אפיון הנדסי) מופיעות תחת "הסטטוס הנוכחי" או כשלבים בתהליך.</w:t>
      </w:r>
    </w:p>
    <w:p w14:paraId="00000006">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590" w:hanging="360"/>
      </w:pPr>
      <w:r>
        <w:rPr>
          <w:rFonts w:ascii="Arial" w:hAnsi="Arial" w:eastAsia="Arial" w:cs="Arial"/>
          <w:b/>
          <w:bCs/>
          <w:color w:val="1F1F1F"/>
          <w:rtl/>
        </w:rPr>
        <w:t>מצב חדש (עברית):</w:t>
      </w:r>
      <w:r>
        <w:rPr>
          <w:rFonts w:ascii="Arial" w:hAnsi="Arial" w:eastAsia="Arial" w:cs="Arial"/>
          <w:color w:val="1F1F1F"/>
          <w:rtl/>
        </w:rPr>
        <w:t xml:space="preserve"> המשימות מועברות רשמית תחת הכותרת </w:t>
      </w:r>
      <w:r>
        <w:rPr>
          <w:rFonts w:ascii="Arial" w:hAnsi="Arial" w:eastAsia="Arial" w:cs="Arial"/>
          <w:b/>
          <w:bCs/>
          <w:color w:val="1F1F1F"/>
          <w:rtl/>
        </w:rPr>
        <w:t>"שלבים שבוצעו בהצלחה"</w:t>
      </w:r>
      <w:r>
        <w:rPr>
          <w:rFonts w:ascii="Arial" w:hAnsi="Arial" w:eastAsia="Arial" w:cs="Arial"/>
          <w:color w:val="1F1F1F"/>
          <w:rtl/>
        </w:rPr>
        <w:t xml:space="preserve"> ברשימה כרונולוגית סגורה.</w:t>
      </w:r>
    </w:p>
    <w:p w14:paraId="00000007">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590" w:hanging="360"/>
      </w:pPr>
      <w:r>
        <w:rPr>
          <w:rFonts w:ascii="Arial" w:hAnsi="Arial" w:eastAsia="Arial" w:cs="Arial"/>
          <w:b/>
          <w:bCs/>
          <w:color w:val="1F1F1F"/>
          <w:rtl w:val="0"/>
        </w:rPr>
        <w:t>Current Status (English):</w:t>
      </w:r>
      <w:r>
        <w:rPr>
          <w:rFonts w:ascii="Arial" w:hAnsi="Arial" w:eastAsia="Arial" w:cs="Arial"/>
          <w:color w:val="1F1F1F"/>
          <w:rtl w:val="0"/>
        </w:rPr>
        <w:t xml:space="preserve"> Placed under active or transition phases.</w:t>
      </w:r>
    </w:p>
    <w:p w14:paraId="00000008">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590" w:hanging="360"/>
      </w:pPr>
      <w:r>
        <w:rPr>
          <w:rFonts w:ascii="Arial" w:hAnsi="Arial" w:eastAsia="Arial" w:cs="Arial"/>
          <w:b/>
          <w:bCs/>
          <w:color w:val="1F1F1F"/>
          <w:rtl w:val="0"/>
        </w:rPr>
        <w:t>New Status (English):</w:t>
      </w:r>
      <w:r>
        <w:rPr>
          <w:rFonts w:ascii="Arial" w:hAnsi="Arial" w:eastAsia="Arial" w:cs="Arial"/>
          <w:color w:val="1F1F1F"/>
          <w:rtl w:val="0"/>
        </w:rPr>
        <w:t xml:space="preserve"> Move completely under </w:t>
      </w:r>
      <w:r>
        <w:rPr>
          <w:rFonts w:ascii="Arial" w:hAnsi="Arial" w:eastAsia="Arial" w:cs="Arial"/>
          <w:b/>
          <w:bCs/>
          <w:color w:val="1F1F1F"/>
          <w:rtl w:val="0"/>
        </w:rPr>
        <w:t>"Completed Stages"</w:t>
      </w:r>
      <w:r>
        <w:rPr>
          <w:rFonts w:ascii="Arial" w:hAnsi="Arial" w:eastAsia="Arial" w:cs="Arial"/>
          <w:color w:val="1F1F1F"/>
          <w:rtl w:val="0"/>
        </w:rPr>
        <w:t>:</w:t>
      </w:r>
    </w:p>
    <w:p w14:paraId="00000009">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40" w:hanging="360"/>
      </w:pPr>
      <w:r>
        <w:rPr>
          <w:rFonts w:ascii="Arial" w:hAnsi="Arial" w:eastAsia="Arial" w:cs="Arial"/>
          <w:color w:val="1F1F1F"/>
          <w:rtl w:val="0"/>
        </w:rPr>
        <w:t>Ideation &amp; Proof of Concept (POC)</w:t>
      </w:r>
    </w:p>
    <w:p w14:paraId="0000000A">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40" w:hanging="360"/>
      </w:pPr>
      <w:r>
        <w:rPr>
          <w:rFonts w:ascii="Arial" w:hAnsi="Arial" w:eastAsia="Arial" w:cs="Arial"/>
          <w:color w:val="1F1F1F"/>
          <w:rtl w:val="0"/>
        </w:rPr>
        <w:t>Global Go-To-Market Strategy &amp; Market Analysis</w:t>
      </w:r>
    </w:p>
    <w:p w14:paraId="0000000B">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40" w:hanging="360"/>
      </w:pPr>
      <w:r>
        <w:rPr>
          <w:rFonts w:ascii="Arial" w:hAnsi="Arial" w:eastAsia="Arial" w:cs="Arial"/>
          <w:color w:val="1F1F1F"/>
          <w:rtl w:val="0"/>
        </w:rPr>
        <w:t>Intellectual Property Protection (Patent analysis)</w:t>
      </w:r>
    </w:p>
    <w:p w14:paraId="0000000C">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40" w:hanging="360"/>
      </w:pPr>
      <w:r>
        <w:rPr>
          <w:rFonts w:ascii="Arial" w:hAnsi="Arial" w:eastAsia="Arial" w:cs="Arial"/>
          <w:color w:val="1F1F1F"/>
          <w:rtl w:val="0"/>
        </w:rPr>
        <w:t>Full Engineering Definition &amp; PRD Completion</w:t>
      </w:r>
    </w:p>
    <w:p w14:paraId="0000000D">
      <w:pPr>
        <w:pStyle w:val="5"/>
        <w:pBdr>
          <w:top w:val="none" w:color="auto" w:sz="0" w:space="0"/>
          <w:left w:val="none" w:color="auto" w:sz="0" w:space="0"/>
          <w:bottom w:val="none" w:color="auto" w:sz="0" w:space="0"/>
          <w:right w:val="none" w:color="auto" w:sz="0" w:space="0"/>
          <w:between w:val="none" w:color="auto" w:sz="0" w:space="0"/>
        </w:pBdr>
        <w:shd w:val="clear" w:fill="auto"/>
        <w:bidi/>
        <w:spacing w:before="0" w:line="275" w:lineRule="auto"/>
        <w:rPr>
          <w:rFonts w:ascii="Arial" w:hAnsi="Arial" w:eastAsia="Arial" w:cs="Arial"/>
          <w:color w:val="1F1F1F"/>
        </w:rPr>
      </w:pPr>
      <w:r>
        <w:rPr>
          <w:rFonts w:ascii="Arial" w:hAnsi="Arial" w:eastAsia="Arial" w:cs="Arial"/>
          <w:color w:val="1F1F1F"/>
          <w:rtl/>
        </w:rPr>
        <w:t>ב. תוספת פירוט "המסלול הירוק" להפחתת סיכונים (תוספת לתוכן הקיים)</w:t>
      </w:r>
    </w:p>
    <w:p w14:paraId="0000000E">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590" w:hanging="360"/>
      </w:pPr>
      <w:r>
        <w:rPr>
          <w:rFonts w:ascii="Arial" w:hAnsi="Arial" w:eastAsia="Arial" w:cs="Arial"/>
          <w:b/>
          <w:bCs/>
          <w:color w:val="1F1F1F"/>
          <w:rtl/>
        </w:rPr>
        <w:t>מצב קיים (עברית ואנגלית):</w:t>
      </w:r>
      <w:r>
        <w:rPr>
          <w:rFonts w:ascii="Arial" w:hAnsi="Arial" w:eastAsia="Arial" w:cs="Arial"/>
          <w:color w:val="1F1F1F"/>
          <w:rtl/>
        </w:rPr>
        <w:t xml:space="preserve"> תיאור הסטטוס הנוכחי מתרכז במעבר לתיעוד הנדסי (קבצי </w:t>
      </w:r>
      <w:r>
        <w:rPr>
          <w:rFonts w:ascii="Arial" w:hAnsi="Arial" w:eastAsia="Arial" w:cs="Arial"/>
          <w:color w:val="1F1F1F"/>
          <w:rtl w:val="0"/>
        </w:rPr>
        <w:t>STEP</w:t>
      </w:r>
      <w:r>
        <w:rPr>
          <w:rFonts w:ascii="Arial" w:hAnsi="Arial" w:eastAsia="Arial" w:cs="Arial"/>
          <w:color w:val="1F1F1F"/>
          <w:rtl/>
        </w:rPr>
        <w:t xml:space="preserve"> ו-</w:t>
      </w:r>
      <w:r>
        <w:rPr>
          <w:rFonts w:ascii="Arial" w:hAnsi="Arial" w:eastAsia="Arial" w:cs="Arial"/>
          <w:color w:val="1F1F1F"/>
          <w:rtl w:val="0"/>
        </w:rPr>
        <w:t>BOM</w:t>
      </w:r>
      <w:r>
        <w:rPr>
          <w:rFonts w:ascii="Arial" w:hAnsi="Arial" w:eastAsia="Arial" w:cs="Arial"/>
          <w:color w:val="1F1F1F"/>
          <w:rtl/>
        </w:rPr>
        <w:t>) ללא הסבר שיווקי/עסקי למשקיע.</w:t>
      </w:r>
    </w:p>
    <w:p w14:paraId="0000000F">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590" w:hanging="360"/>
      </w:pPr>
      <w:r>
        <w:rPr>
          <w:rFonts w:ascii="Arial" w:hAnsi="Arial" w:eastAsia="Arial" w:cs="Arial"/>
          <w:b/>
          <w:bCs/>
          <w:color w:val="1F1F1F"/>
          <w:rtl/>
        </w:rPr>
        <w:t>מצב חדש (עברית) - תוספת ופירוט לתוכן הקיים:"המיזם נמצא כעת ב'מסלול הירוק' (</w:t>
      </w:r>
      <w:r>
        <w:rPr>
          <w:rFonts w:ascii="Arial" w:hAnsi="Arial" w:eastAsia="Arial" w:cs="Arial"/>
          <w:b/>
          <w:bCs/>
          <w:color w:val="1F1F1F"/>
          <w:rtl w:val="0"/>
        </w:rPr>
        <w:t>Green Track):</w:t>
      </w:r>
      <w:r>
        <w:rPr>
          <w:rFonts w:ascii="Arial" w:hAnsi="Arial" w:eastAsia="Arial" w:cs="Arial"/>
          <w:color w:val="1F1F1F"/>
          <w:rtl/>
        </w:rPr>
        <w:t xml:space="preserve"> המשמעות העסקית של השלמת ה-</w:t>
      </w:r>
      <w:r>
        <w:rPr>
          <w:rFonts w:ascii="Arial" w:hAnsi="Arial" w:eastAsia="Arial" w:cs="Arial"/>
          <w:color w:val="1F1F1F"/>
          <w:rtl w:val="0"/>
        </w:rPr>
        <w:t>POC</w:t>
      </w:r>
      <w:r>
        <w:rPr>
          <w:rFonts w:ascii="Arial" w:hAnsi="Arial" w:eastAsia="Arial" w:cs="Arial"/>
          <w:color w:val="1F1F1F"/>
          <w:rtl/>
        </w:rPr>
        <w:t xml:space="preserve"> והאפיון ההנדסי המוקדם היא </w:t>
      </w:r>
      <w:r>
        <w:rPr>
          <w:rFonts w:ascii="Arial" w:hAnsi="Arial" w:eastAsia="Arial" w:cs="Arial"/>
          <w:b/>
          <w:bCs/>
          <w:color w:val="1F1F1F"/>
          <w:rtl/>
        </w:rPr>
        <w:t>הפחתת סיכונים דרמטית (</w:t>
      </w:r>
      <w:r>
        <w:rPr>
          <w:rFonts w:ascii="Arial" w:hAnsi="Arial" w:eastAsia="Arial" w:cs="Arial"/>
          <w:b/>
          <w:bCs/>
          <w:color w:val="1F1F1F"/>
          <w:rtl w:val="0"/>
        </w:rPr>
        <w:t>De-risking)</w:t>
      </w:r>
      <w:r>
        <w:rPr>
          <w:rFonts w:ascii="Arial" w:hAnsi="Arial" w:eastAsia="Arial" w:cs="Arial"/>
          <w:color w:val="1F1F1F"/>
          <w:rtl/>
        </w:rPr>
        <w:t xml:space="preserve"> עבור משקיעי שלב ה-</w:t>
      </w:r>
      <w:r>
        <w:rPr>
          <w:rFonts w:ascii="Arial" w:hAnsi="Arial" w:eastAsia="Arial" w:cs="Arial"/>
          <w:color w:val="1F1F1F"/>
          <w:rtl w:val="0"/>
        </w:rPr>
        <w:t>Seed</w:t>
      </w:r>
      <w:r>
        <w:rPr>
          <w:rFonts w:ascii="Arial" w:hAnsi="Arial" w:eastAsia="Arial" w:cs="Arial"/>
          <w:color w:val="1F1F1F"/>
          <w:rtl/>
        </w:rPr>
        <w:t>. מכיוון שההיתכנות הטכנולוגית כבר הוכחה והמפרט מיושר, הסיכון לכשל תכנוני בשלב אב-הטיפוס שואף לאפס. הדבר מקצר משמעותית את זמן ההגעה לשוק (</w:t>
      </w:r>
      <w:r>
        <w:rPr>
          <w:rFonts w:ascii="Arial" w:hAnsi="Arial" w:eastAsia="Arial" w:cs="Arial"/>
          <w:color w:val="1F1F1F"/>
          <w:rtl w:val="0"/>
        </w:rPr>
        <w:t>Time-to-Market</w:t>
      </w:r>
      <w:r>
        <w:rPr>
          <w:rFonts w:ascii="Arial" w:hAnsi="Arial" w:eastAsia="Arial" w:cs="Arial"/>
          <w:color w:val="1F1F1F"/>
          <w:rtl/>
        </w:rPr>
        <w:t>) ומגן על עלויות המעבר לייצור המוני, ללא הפתעות תקציביות. זהו הערך המוסף הגבוה ביותר של השלב הנוכחי."</w:t>
      </w:r>
    </w:p>
    <w:p w14:paraId="00000010">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590" w:hanging="360"/>
      </w:pPr>
      <w:r>
        <w:rPr>
          <w:rFonts w:ascii="Arial" w:hAnsi="Arial" w:eastAsia="Arial" w:cs="Arial"/>
          <w:b/>
          <w:bCs/>
          <w:color w:val="1F1F1F"/>
          <w:rtl w:val="0"/>
        </w:rPr>
        <w:t>New Status (English) - Expansion of the existing current stage text:"The venture is now on 'The Green Track':</w:t>
      </w:r>
      <w:r>
        <w:rPr>
          <w:rFonts w:ascii="Arial" w:hAnsi="Arial" w:eastAsia="Arial" w:cs="Arial"/>
          <w:color w:val="1F1F1F"/>
          <w:rtl w:val="0"/>
        </w:rPr>
        <w:t xml:space="preserve"> The business significance of completing the POC and early engineering definition is </w:t>
      </w:r>
      <w:r>
        <w:rPr>
          <w:rFonts w:ascii="Arial" w:hAnsi="Arial" w:eastAsia="Arial" w:cs="Arial"/>
          <w:b/>
          <w:bCs/>
          <w:color w:val="1F1F1F"/>
          <w:rtl w:val="0"/>
        </w:rPr>
        <w:t>dramatic de-risking</w:t>
      </w:r>
      <w:r>
        <w:rPr>
          <w:rFonts w:ascii="Arial" w:hAnsi="Arial" w:eastAsia="Arial" w:cs="Arial"/>
          <w:color w:val="1F1F1F"/>
          <w:rtl w:val="0"/>
        </w:rPr>
        <w:t xml:space="preserve"> for Seed-stage investors. Since technological feasibility is proven and specifications are aligned, the risk of design failure during the prototype phase is virtually zero. This significantly shortens Time-to-Market and secures mass production costs against unexpected budget overruns. This represents the highest value-add of the current stage."</w:t>
      </w:r>
    </w:p>
    <w:p w14:paraId="00000011">
      <w:pPr>
        <w:pStyle w:val="5"/>
        <w:pBdr>
          <w:top w:val="none" w:color="auto" w:sz="0" w:space="0"/>
          <w:left w:val="none" w:color="auto" w:sz="0" w:space="0"/>
          <w:bottom w:val="none" w:color="auto" w:sz="0" w:space="0"/>
          <w:right w:val="none" w:color="auto" w:sz="0" w:space="0"/>
          <w:between w:val="none" w:color="auto" w:sz="0" w:space="0"/>
        </w:pBdr>
        <w:shd w:val="clear" w:fill="auto"/>
        <w:bidi/>
        <w:spacing w:before="0" w:line="275" w:lineRule="auto"/>
        <w:rPr>
          <w:rFonts w:ascii="Arial" w:hAnsi="Arial" w:eastAsia="Arial" w:cs="Arial"/>
          <w:color w:val="1F1F1F"/>
        </w:rPr>
      </w:pPr>
      <w:r>
        <w:rPr>
          <w:rFonts w:ascii="Arial" w:hAnsi="Arial" w:eastAsia="Arial" w:cs="Arial"/>
          <w:color w:val="1F1F1F"/>
          <w:rtl/>
        </w:rPr>
        <w:t>ג. ***סעיף חדש ונפרד*** – מסלול ירוק למדגם רשום (</w:t>
      </w:r>
      <w:r>
        <w:rPr>
          <w:rFonts w:ascii="Arial" w:hAnsi="Arial" w:eastAsia="Arial" w:cs="Arial"/>
          <w:color w:val="1F1F1F"/>
          <w:rtl w:val="0"/>
        </w:rPr>
        <w:t>Registered Design Approval</w:t>
      </w:r>
      <w:r>
        <w:rPr>
          <w:rFonts w:ascii="Arial" w:hAnsi="Arial" w:eastAsia="Arial" w:cs="Arial"/>
          <w:color w:val="1F1F1F"/>
          <w:rtl/>
        </w:rPr>
        <w:t>)</w:t>
      </w:r>
    </w:p>
    <w:p w14:paraId="00000012">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590" w:hanging="360"/>
      </w:pPr>
      <w:r>
        <w:rPr>
          <w:rFonts w:ascii="Arial" w:hAnsi="Arial" w:eastAsia="Arial" w:cs="Arial"/>
          <w:b/>
          <w:bCs/>
          <w:color w:val="1F1F1F"/>
          <w:rtl/>
        </w:rPr>
        <w:t>מצב קיים (עברית ואנגלית):</w:t>
      </w:r>
      <w:r>
        <w:rPr>
          <w:rFonts w:ascii="Arial" w:hAnsi="Arial" w:eastAsia="Arial" w:cs="Arial"/>
          <w:color w:val="1F1F1F"/>
          <w:rtl/>
        </w:rPr>
        <w:t xml:space="preserve"> לא קיים אזכור לאישור המדגם או למשמעותו במסגרת הסטטוס הנוכחי ומפת הדרכים.</w:t>
      </w:r>
    </w:p>
    <w:p w14:paraId="00000013">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590" w:hanging="360"/>
      </w:pPr>
      <w:r>
        <w:rPr>
          <w:rFonts w:ascii="Arial" w:hAnsi="Arial" w:eastAsia="Arial" w:cs="Arial"/>
          <w:b/>
          <w:bCs/>
          <w:color w:val="1F1F1F"/>
          <w:rtl/>
        </w:rPr>
        <w:t>מצב חדש (עברית) - תוספת סעיף עצמאי:</w:t>
      </w:r>
    </w:p>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100" w:firstLine="0"/>
        <w:jc w:val="left"/>
        <w:rPr>
          <w:rFonts w:ascii="Arial" w:hAnsi="Arial" w:eastAsia="Arial" w:cs="Arial"/>
          <w:color w:val="1F1F1F"/>
        </w:rPr>
      </w:pPr>
      <w:r>
        <w:rPr>
          <w:rFonts w:ascii="Arial" w:hAnsi="Arial" w:eastAsia="Arial" w:cs="Arial"/>
          <w:b/>
          <w:bCs/>
          <w:color w:val="1F1F1F"/>
          <w:rtl w:val="0"/>
        </w:rPr>
        <w:t>"</w:t>
      </w:r>
      <w:r>
        <w:rPr>
          <w:rFonts w:ascii="Arial" w:hAnsi="Arial" w:eastAsia="Arial" w:cs="Arial"/>
          <w:b/>
          <w:bCs/>
          <w:color w:val="1F1F1F"/>
          <w:rtl/>
        </w:rPr>
        <w:t>אבן דרך משפטית – קבלת אישור מדגם רשום</w:t>
      </w:r>
      <w:r>
        <w:rPr>
          <w:rFonts w:ascii="Arial" w:hAnsi="Arial" w:eastAsia="Arial" w:cs="Arial"/>
          <w:b/>
          <w:bCs/>
          <w:color w:val="1F1F1F"/>
          <w:rtl w:val="0"/>
        </w:rPr>
        <w:t>:</w:t>
      </w:r>
      <w:r>
        <w:rPr>
          <w:rFonts w:ascii="Arial" w:hAnsi="Arial" w:eastAsia="Arial" w:cs="Arial"/>
          <w:color w:val="1F1F1F"/>
          <w:rtl w:val="0"/>
        </w:rPr>
        <w:t xml:space="preserve"> </w:t>
      </w:r>
      <w:r>
        <w:rPr>
          <w:rFonts w:ascii="Arial" w:hAnsi="Arial" w:eastAsia="Arial" w:cs="Arial"/>
          <w:color w:val="1F1F1F"/>
          <w:rtl/>
        </w:rPr>
        <w:t>המיזם רשם הישג משמעותי עם קבלת האישור הרשמי והסופי למדגם העיצובי של המכשיר</w:t>
      </w:r>
      <w:r>
        <w:rPr>
          <w:rFonts w:ascii="Arial" w:hAnsi="Arial" w:eastAsia="Arial" w:cs="Arial"/>
          <w:color w:val="1F1F1F"/>
          <w:rtl w:val="0"/>
        </w:rPr>
        <w:t>.</w:t>
      </w:r>
    </w:p>
    <w:p w14:paraId="00000015">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40" w:hanging="360"/>
      </w:pPr>
      <w:r>
        <w:rPr>
          <w:rFonts w:ascii="Arial" w:hAnsi="Arial" w:eastAsia="Arial" w:cs="Arial"/>
          <w:b/>
          <w:bCs/>
          <w:color w:val="1F1F1F"/>
          <w:rtl/>
        </w:rPr>
        <w:t>בהיבט המשפטי:</w:t>
      </w:r>
      <w:r>
        <w:rPr>
          <w:rFonts w:ascii="Arial" w:hAnsi="Arial" w:eastAsia="Arial" w:cs="Arial"/>
          <w:color w:val="1F1F1F"/>
          <w:rtl/>
        </w:rPr>
        <w:t xml:space="preserve"> אישור זה מעניק לחברה קניין רוחני מוכח ובלעדיות מוחלטת על הנדסת האנוש, המבנה החזותי והצורה החיצונית של המוצר. הוא מייצר קיר מגן משפטי מיידי שמונע לחלוטין ממתחרים להעתיק או לחקות את נראות המכשיר, ומאפשר הגשת תביעות הפרה מהירות.</w:t>
      </w:r>
    </w:p>
    <w:p w14:paraId="00000016">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bidi/>
        <w:spacing w:after="0" w:afterAutospacing="0" w:line="275" w:lineRule="auto"/>
        <w:ind w:right="640" w:hanging="360"/>
      </w:pPr>
      <w:r>
        <w:rPr>
          <w:rFonts w:ascii="Arial" w:hAnsi="Arial" w:eastAsia="Arial" w:cs="Arial"/>
          <w:b/>
          <w:bCs/>
          <w:color w:val="1F1F1F"/>
          <w:rtl/>
        </w:rPr>
        <w:t>בהיבט התפעולי:</w:t>
      </w:r>
      <w:r>
        <w:rPr>
          <w:rFonts w:ascii="Arial" w:hAnsi="Arial" w:eastAsia="Arial" w:cs="Arial"/>
          <w:color w:val="1F1F1F"/>
          <w:rtl/>
        </w:rPr>
        <w:t xml:space="preserve"> קבלת האישור מסירה כל חשש מעיכובים משפטיים עתידיים ומאפשרת מעבר בטוח וישיר לייצור תבניות ההזרקה ההמוניות (</w:t>
      </w:r>
      <w:r>
        <w:rPr>
          <w:rFonts w:ascii="Arial" w:hAnsi="Arial" w:eastAsia="Arial" w:cs="Arial"/>
          <w:color w:val="1F1F1F"/>
          <w:rtl w:val="0"/>
        </w:rPr>
        <w:t>Tooling</w:t>
      </w:r>
      <w:r>
        <w:rPr>
          <w:rFonts w:ascii="Arial" w:hAnsi="Arial" w:eastAsia="Arial" w:cs="Arial"/>
          <w:color w:val="1F1F1F"/>
          <w:rtl/>
        </w:rPr>
        <w:t>) ללא חשש משינויי תכנון ברגע האחרון, דבר המבטיח את יציבות שרשרת האספקה."</w:t>
      </w:r>
    </w:p>
    <w:p w14:paraId="00000017">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beforeAutospacing="0" w:line="275" w:lineRule="auto"/>
        <w:ind w:right="590" w:hanging="360"/>
      </w:pPr>
      <w:r>
        <w:rPr>
          <w:rFonts w:ascii="Arial" w:hAnsi="Arial" w:eastAsia="Arial" w:cs="Arial"/>
          <w:b/>
          <w:bCs/>
          <w:color w:val="1F1F1F"/>
          <w:rtl w:val="0"/>
        </w:rPr>
        <w:t>New Status (English) - New independent section:</w:t>
      </w:r>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100" w:firstLine="0"/>
        <w:jc w:val="left"/>
        <w:rPr>
          <w:rFonts w:ascii="Arial" w:hAnsi="Arial" w:eastAsia="Arial" w:cs="Arial"/>
          <w:color w:val="1F1F1F"/>
        </w:rPr>
      </w:pPr>
      <w:r>
        <w:rPr>
          <w:rFonts w:ascii="Arial" w:hAnsi="Arial" w:eastAsia="Arial" w:cs="Arial"/>
          <w:b/>
          <w:bCs/>
          <w:color w:val="1F1F1F"/>
          <w:rtl w:val="0"/>
        </w:rPr>
        <w:t>"Legal Milestone – Registered Design Formally Approved:</w:t>
      </w:r>
      <w:r>
        <w:rPr>
          <w:rFonts w:ascii="Arial" w:hAnsi="Arial" w:eastAsia="Arial" w:cs="Arial"/>
          <w:color w:val="1F1F1F"/>
          <w:rtl w:val="0"/>
        </w:rPr>
        <w:t xml:space="preserve"> The venture has achieved a critical milestone with the final and official approval of the device's design patent/registered design.</w:t>
      </w:r>
    </w:p>
    <w:p w14:paraId="00000019">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40" w:hanging="360"/>
      </w:pPr>
      <w:r>
        <w:rPr>
          <w:rFonts w:ascii="Arial" w:hAnsi="Arial" w:eastAsia="Arial" w:cs="Arial"/>
          <w:b/>
          <w:bCs/>
          <w:color w:val="1F1F1F"/>
          <w:rtl w:val="0"/>
        </w:rPr>
        <w:t>Legal Impact:</w:t>
      </w:r>
      <w:r>
        <w:rPr>
          <w:rFonts w:ascii="Arial" w:hAnsi="Arial" w:eastAsia="Arial" w:cs="Arial"/>
          <w:color w:val="1F1F1F"/>
          <w:rtl w:val="0"/>
        </w:rPr>
        <w:t xml:space="preserve"> This approval grants the company verified, exclusive intellectual property rights over the product's aesthetics, visual form, and ergonomics. It establishes an immediate legal barrier, completely blocking competitors from cloning or mimicking the device's appearance and allowing rapid enforcement against infringements.</w:t>
      </w:r>
    </w:p>
    <w:p w14:paraId="0000001A">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40" w:hanging="360"/>
      </w:pPr>
      <w:r>
        <w:rPr>
          <w:rFonts w:ascii="Arial" w:hAnsi="Arial" w:eastAsia="Arial" w:cs="Arial"/>
          <w:b/>
          <w:bCs/>
          <w:color w:val="1F1F1F"/>
          <w:rtl w:val="0"/>
        </w:rPr>
        <w:t>Operational Impact:</w:t>
      </w:r>
      <w:r>
        <w:rPr>
          <w:rFonts w:ascii="Arial" w:hAnsi="Arial" w:eastAsia="Arial" w:cs="Arial"/>
          <w:color w:val="1F1F1F"/>
          <w:rtl w:val="0"/>
        </w:rPr>
        <w:t xml:space="preserve"> This approval eliminates any risk of future design-related legal injunctions, clearing the path for direct investment in mass-production injection molds (Tooling) with absolute confidence, ensuring long-term supply chain stability."</w:t>
      </w:r>
    </w:p>
    <w:p w14:paraId="0000001B">
      <w:pPr>
        <w:pStyle w:val="4"/>
        <w:pBdr>
          <w:top w:val="none" w:color="auto" w:sz="0" w:space="0"/>
          <w:left w:val="none" w:color="auto" w:sz="0" w:space="0"/>
          <w:bottom w:val="none" w:color="auto" w:sz="0" w:space="0"/>
          <w:right w:val="none" w:color="auto" w:sz="0" w:space="0"/>
          <w:between w:val="none" w:color="auto" w:sz="0" w:space="0"/>
        </w:pBdr>
        <w:shd w:val="clear" w:fill="auto"/>
        <w:bidi/>
        <w:spacing w:before="0" w:line="275" w:lineRule="auto"/>
        <w:rPr>
          <w:rFonts w:ascii="Arial" w:hAnsi="Arial" w:eastAsia="Arial" w:cs="Arial"/>
          <w:color w:val="1F1F1F"/>
        </w:rPr>
      </w:pPr>
      <w:r>
        <w:rPr>
          <w:rFonts w:ascii="Arial" w:hAnsi="Arial" w:eastAsia="Arial" w:cs="Arial"/>
          <w:color w:val="1F1F1F"/>
          <w:rtl/>
        </w:rPr>
        <w:t>2. ממשק הניהול ומבנה הנתונים (</w:t>
      </w:r>
      <w:r>
        <w:rPr>
          <w:rFonts w:ascii="Arial" w:hAnsi="Arial" w:eastAsia="Arial" w:cs="Arial"/>
          <w:color w:val="1F1F1F"/>
          <w:rtl w:val="0"/>
        </w:rPr>
        <w:t>CMS Simplification</w:t>
      </w:r>
      <w:r>
        <w:rPr>
          <w:rFonts w:ascii="Arial" w:hAnsi="Arial" w:eastAsia="Arial" w:cs="Arial"/>
          <w:color w:val="1F1F1F"/>
          <w:rtl/>
        </w:rPr>
        <w:t>)</w:t>
      </w:r>
    </w:p>
    <w:p w14:paraId="0000001C">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590" w:hanging="360"/>
      </w:pPr>
      <w:r>
        <w:rPr>
          <w:rFonts w:ascii="Arial" w:hAnsi="Arial" w:eastAsia="Arial" w:cs="Arial"/>
          <w:b/>
          <w:bCs/>
          <w:color w:val="1F1F1F"/>
          <w:rtl/>
        </w:rPr>
        <w:t>מצב קיים:</w:t>
      </w:r>
      <w:r>
        <w:rPr>
          <w:rFonts w:ascii="Arial" w:hAnsi="Arial" w:eastAsia="Arial" w:cs="Arial"/>
          <w:color w:val="1F1F1F"/>
          <w:rtl/>
        </w:rPr>
        <w:t xml:space="preserve"> אין מערכת ניהול תוכן. כל שינוי טקסט או סטטוס באתר דורש פנייה למפתח ושינוי קוד ידני.</w:t>
      </w:r>
    </w:p>
    <w:p w14:paraId="0000001D">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590" w:hanging="360"/>
      </w:pPr>
      <w:r>
        <w:rPr>
          <w:rFonts w:ascii="Arial" w:hAnsi="Arial" w:eastAsia="Arial" w:cs="Arial"/>
          <w:b/>
          <w:bCs/>
          <w:color w:val="1F1F1F"/>
          <w:rtl/>
        </w:rPr>
        <w:t>מצב חדש (עברית):</w:t>
      </w:r>
      <w:r>
        <w:rPr>
          <w:rFonts w:ascii="Arial" w:hAnsi="Arial" w:eastAsia="Arial" w:cs="Arial"/>
          <w:color w:val="1F1F1F"/>
          <w:rtl/>
        </w:rPr>
        <w:t xml:space="preserve"> פיתוח עמוד ניהול תוכן פשוט וישיר למנהל האתר (אשר).</w:t>
      </w:r>
    </w:p>
    <w:p w14:paraId="0000001E">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40" w:hanging="360"/>
      </w:pPr>
      <w:r>
        <w:rPr>
          <w:rFonts w:ascii="Arial" w:hAnsi="Arial" w:eastAsia="Arial" w:cs="Arial"/>
          <w:b/>
          <w:bCs/>
          <w:color w:val="1F1F1F"/>
          <w:rtl/>
        </w:rPr>
        <w:t>נתיב גישה:</w:t>
      </w:r>
      <w:r>
        <w:rPr>
          <w:rFonts w:ascii="Arial" w:hAnsi="Arial" w:eastAsia="Arial" w:cs="Arial"/>
          <w:color w:val="1F1F1F"/>
          <w:rtl/>
        </w:rPr>
        <w:t xml:space="preserve"> כניסה לכתובת המאובטחת </w:t>
      </w:r>
      <w:r>
        <w:rPr>
          <w:rFonts w:ascii="Arial" w:hAnsi="Arial" w:eastAsia="Arial" w:cs="Arial"/>
          <w:color w:val="1F1F1F"/>
          <w:rtl w:val="0"/>
        </w:rPr>
        <w:t>https://[domain]/admin</w:t>
      </w:r>
      <w:r>
        <w:rPr>
          <w:rFonts w:ascii="Arial" w:hAnsi="Arial" w:eastAsia="Arial" w:cs="Arial"/>
          <w:color w:val="1F1F1F"/>
          <w:rtl/>
        </w:rPr>
        <w:t xml:space="preserve"> המוגנת באמצעות סיסמה מנהלתית קבועה.</w:t>
      </w:r>
    </w:p>
    <w:p w14:paraId="0000001F">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40" w:hanging="360"/>
      </w:pPr>
      <w:r>
        <w:rPr>
          <w:rFonts w:ascii="Arial" w:hAnsi="Arial" w:eastAsia="Arial" w:cs="Arial"/>
          <w:b/>
          <w:bCs/>
          <w:color w:val="1F1F1F"/>
          <w:rtl/>
        </w:rPr>
        <w:t>מנגנון העריכה:</w:t>
      </w:r>
      <w:r>
        <w:rPr>
          <w:rFonts w:ascii="Arial" w:hAnsi="Arial" w:eastAsia="Arial" w:cs="Arial"/>
          <w:color w:val="1F1F1F"/>
          <w:rtl/>
        </w:rPr>
        <w:t xml:space="preserve"> העמוד יציג ממשק טופס אינטרנטי המבוסס אחד-לאחד על קובץ ה-</w:t>
      </w:r>
      <w:r>
        <w:rPr>
          <w:rFonts w:ascii="Arial" w:hAnsi="Arial" w:eastAsia="Arial" w:cs="Arial"/>
          <w:color w:val="1F1F1F"/>
          <w:rtl w:val="0"/>
        </w:rPr>
        <w:t>Dictionary</w:t>
      </w:r>
      <w:r>
        <w:rPr>
          <w:rFonts w:ascii="Arial" w:hAnsi="Arial" w:eastAsia="Arial" w:cs="Arial"/>
          <w:color w:val="1F1F1F"/>
          <w:rtl/>
        </w:rPr>
        <w:t xml:space="preserve"> (המילון) של האתר. כל מפתח (</w:t>
      </w:r>
      <w:r>
        <w:rPr>
          <w:rFonts w:ascii="Arial" w:hAnsi="Arial" w:eastAsia="Arial" w:cs="Arial"/>
          <w:color w:val="1F1F1F"/>
          <w:rtl w:val="0"/>
        </w:rPr>
        <w:t>Key</w:t>
      </w:r>
      <w:r>
        <w:rPr>
          <w:rFonts w:ascii="Arial" w:hAnsi="Arial" w:eastAsia="Arial" w:cs="Arial"/>
          <w:color w:val="1F1F1F"/>
          <w:rtl/>
        </w:rPr>
        <w:t>) המייצג כותרת, פסקה או סטטוס של משימה יוצג כתיבת טקסט פתוחה (</w:t>
      </w:r>
      <w:r>
        <w:rPr>
          <w:rFonts w:ascii="Arial" w:hAnsi="Arial" w:eastAsia="Arial" w:cs="Arial"/>
          <w:color w:val="1F1F1F"/>
          <w:rtl w:val="0"/>
        </w:rPr>
        <w:t>Input/Textarea</w:t>
      </w:r>
      <w:r>
        <w:rPr>
          <w:rFonts w:ascii="Arial" w:hAnsi="Arial" w:eastAsia="Arial" w:cs="Arial"/>
          <w:color w:val="1F1F1F"/>
          <w:rtl/>
        </w:rPr>
        <w:t>) המציגה את הערך הנוכחי שלו.</w:t>
      </w:r>
    </w:p>
    <w:p w14:paraId="00000020">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40" w:hanging="360"/>
      </w:pPr>
      <w:r>
        <w:rPr>
          <w:rFonts w:ascii="Arial" w:hAnsi="Arial" w:eastAsia="Arial" w:cs="Arial"/>
          <w:b/>
          <w:bCs/>
          <w:color w:val="1F1F1F"/>
          <w:rtl/>
        </w:rPr>
        <w:t>חוויית המשתמש לעורך:</w:t>
      </w:r>
      <w:r>
        <w:rPr>
          <w:rFonts w:ascii="Arial" w:hAnsi="Arial" w:eastAsia="Arial" w:cs="Arial"/>
          <w:color w:val="1F1F1F"/>
          <w:rtl/>
        </w:rPr>
        <w:t xml:space="preserve"> אשר יכול לשנות את המלל בתיבה (למשל: לשנות טקסט של משימה או להעביר אותה סעיף) וללחוץ על כפתור </w:t>
      </w:r>
      <w:r>
        <w:rPr>
          <w:rFonts w:ascii="Arial" w:hAnsi="Arial" w:eastAsia="Arial" w:cs="Arial"/>
          <w:b/>
          <w:bCs/>
          <w:color w:val="1F1F1F"/>
          <w:rtl/>
        </w:rPr>
        <w:t>"עדכן אתר" (</w:t>
      </w:r>
      <w:r>
        <w:rPr>
          <w:rFonts w:ascii="Arial" w:hAnsi="Arial" w:eastAsia="Arial" w:cs="Arial"/>
          <w:b/>
          <w:bCs/>
          <w:color w:val="1F1F1F"/>
          <w:rtl w:val="0"/>
        </w:rPr>
        <w:t>Update)</w:t>
      </w:r>
      <w:r>
        <w:rPr>
          <w:rFonts w:ascii="Arial" w:hAnsi="Arial" w:eastAsia="Arial" w:cs="Arial"/>
          <w:color w:val="1F1F1F"/>
          <w:rtl/>
        </w:rPr>
        <w:t>. הפעולה תדרוס את ערכי ה-</w:t>
      </w:r>
      <w:r>
        <w:rPr>
          <w:rFonts w:ascii="Arial" w:hAnsi="Arial" w:eastAsia="Arial" w:cs="Arial"/>
          <w:color w:val="1F1F1F"/>
          <w:rtl w:val="0"/>
        </w:rPr>
        <w:t>Dictionary</w:t>
      </w:r>
      <w:r>
        <w:rPr>
          <w:rFonts w:ascii="Arial" w:hAnsi="Arial" w:eastAsia="Arial" w:cs="Arial"/>
          <w:color w:val="1F1F1F"/>
          <w:rtl/>
        </w:rPr>
        <w:t xml:space="preserve"> הישנים ותציג את התוכן החדש ב-</w:t>
      </w:r>
      <w:r>
        <w:rPr>
          <w:rFonts w:ascii="Arial" w:hAnsi="Arial" w:eastAsia="Arial" w:cs="Arial"/>
          <w:color w:val="1F1F1F"/>
          <w:rtl w:val="0"/>
        </w:rPr>
        <w:t>UI</w:t>
      </w:r>
      <w:r>
        <w:rPr>
          <w:rFonts w:ascii="Arial" w:hAnsi="Arial" w:eastAsia="Arial" w:cs="Arial"/>
          <w:color w:val="1F1F1F"/>
          <w:rtl/>
        </w:rPr>
        <w:t xml:space="preserve"> החי באופן מיידי ללא צורך במגע קוד.</w:t>
      </w:r>
    </w:p>
    <w:p w14:paraId="00000021">
      <w:pPr>
        <w:pStyle w:val="4"/>
        <w:pBdr>
          <w:top w:val="none" w:color="auto" w:sz="0" w:space="0"/>
          <w:left w:val="none" w:color="auto" w:sz="0" w:space="0"/>
          <w:bottom w:val="none" w:color="auto" w:sz="0" w:space="0"/>
          <w:right w:val="none" w:color="auto" w:sz="0" w:space="0"/>
          <w:between w:val="none" w:color="auto" w:sz="0" w:space="0"/>
        </w:pBdr>
        <w:shd w:val="clear" w:fill="auto"/>
        <w:bidi/>
        <w:spacing w:before="0" w:line="275" w:lineRule="auto"/>
        <w:rPr>
          <w:rFonts w:ascii="Arial" w:hAnsi="Arial" w:eastAsia="Arial" w:cs="Arial"/>
          <w:color w:val="1F1F1F"/>
        </w:rPr>
      </w:pPr>
      <w:r>
        <w:rPr>
          <w:rFonts w:ascii="Arial" w:hAnsi="Arial" w:eastAsia="Arial" w:cs="Arial"/>
          <w:color w:val="1F1F1F"/>
          <w:rtl/>
        </w:rPr>
        <w:t>3. מקטעים 3 ו-6: הנתונים הפיננסיים ותוכנית ההשקעה</w:t>
      </w:r>
    </w:p>
    <w:p w14:paraId="00000022">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590" w:hanging="360"/>
      </w:pPr>
      <w:r>
        <w:rPr>
          <w:rFonts w:ascii="Arial" w:hAnsi="Arial" w:eastAsia="Arial" w:cs="Arial"/>
          <w:b/>
          <w:bCs/>
          <w:color w:val="1F1F1F"/>
          <w:rtl/>
        </w:rPr>
        <w:t>מצב קיים (עברית ואנגלית):</w:t>
      </w:r>
      <w:r>
        <w:rPr>
          <w:rFonts w:ascii="Arial" w:hAnsi="Arial" w:eastAsia="Arial" w:cs="Arial"/>
          <w:color w:val="1F1F1F"/>
          <w:rtl/>
        </w:rPr>
        <w:t xml:space="preserve"> נתונים חלקיים או משתנים ללא הבהרה לגבי תלותם בבדיקות המשך.</w:t>
      </w:r>
    </w:p>
    <w:p w14:paraId="00000023">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590" w:hanging="360"/>
      </w:pPr>
      <w:r>
        <w:rPr>
          <w:rFonts w:ascii="Arial" w:hAnsi="Arial" w:eastAsia="Arial" w:cs="Arial"/>
          <w:b/>
          <w:bCs/>
          <w:color w:val="1F1F1F"/>
          <w:rtl/>
        </w:rPr>
        <w:t>מצב חדש (עברית):</w:t>
      </w:r>
      <w:r>
        <w:rPr>
          <w:rFonts w:ascii="Arial" w:hAnsi="Arial" w:eastAsia="Arial" w:cs="Arial"/>
          <w:color w:val="1F1F1F"/>
          <w:rtl/>
        </w:rPr>
        <w:t xml:space="preserve"> הטמעת </w:t>
      </w:r>
      <w:r>
        <w:rPr>
          <w:rFonts w:ascii="Arial" w:hAnsi="Arial" w:eastAsia="Arial" w:cs="Arial"/>
          <w:color w:val="1F1F1F"/>
          <w:rtl w:val="0"/>
        </w:rPr>
        <w:t>Placeholders</w:t>
      </w:r>
      <w:r>
        <w:rPr>
          <w:rFonts w:ascii="Arial" w:hAnsi="Arial" w:eastAsia="Arial" w:cs="Arial"/>
          <w:color w:val="1F1F1F"/>
          <w:rtl/>
        </w:rPr>
        <w:t xml:space="preserve"> ייעודיים עם ערכים ראשוניים מוערכים, תוך ציון בולט לעורך התוכן כי נתונים אלו ישתנו ויעודכנו סופית רק בכפיפות לטבלאות של ליאת:</w:t>
      </w:r>
    </w:p>
    <w:p w14:paraId="00000024">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40" w:hanging="360"/>
      </w:pPr>
      <w:r>
        <w:rPr>
          <w:rFonts w:ascii="Arial" w:hAnsi="Arial" w:eastAsia="Arial" w:cs="Arial"/>
          <w:b/>
          <w:bCs/>
          <w:color w:val="1F1F1F"/>
          <w:rtl/>
        </w:rPr>
        <w:t>במקטע 3 (המודל הכלכלי):</w:t>
      </w:r>
    </w:p>
    <w:p w14:paraId="00000025">
      <w:pPr>
        <w:numPr>
          <w:ilvl w:val="2"/>
          <w:numId w:val="11"/>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91" w:hanging="360"/>
      </w:pPr>
      <w:r>
        <w:rPr>
          <w:rFonts w:ascii="Arial" w:hAnsi="Arial" w:eastAsia="Arial" w:cs="Arial"/>
          <w:color w:val="1F1F1F"/>
          <w:rtl/>
        </w:rPr>
        <w:t xml:space="preserve">עלות ייצור מכשיר (משוערת): </w:t>
      </w:r>
      <w:r>
        <w:rPr>
          <w:rFonts w:ascii="Arial" w:hAnsi="Arial" w:eastAsia="Arial" w:cs="Arial"/>
          <w:b/>
          <w:bCs/>
          <w:color w:val="1F1F1F"/>
          <w:rtl w:val="0"/>
        </w:rPr>
        <w:t>$25</w:t>
      </w:r>
      <w:r>
        <w:rPr>
          <w:rFonts w:ascii="Arial" w:hAnsi="Arial" w:eastAsia="Arial" w:cs="Arial"/>
          <w:color w:val="1F1F1F"/>
          <w:rtl/>
        </w:rPr>
        <w:t xml:space="preserve"> ליחידה.</w:t>
      </w:r>
    </w:p>
    <w:p w14:paraId="00000026">
      <w:pPr>
        <w:numPr>
          <w:ilvl w:val="2"/>
          <w:numId w:val="11"/>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91" w:hanging="360"/>
      </w:pPr>
      <w:r>
        <w:rPr>
          <w:rFonts w:ascii="Arial" w:hAnsi="Arial" w:eastAsia="Arial" w:cs="Arial"/>
          <w:color w:val="1F1F1F"/>
          <w:rtl/>
        </w:rPr>
        <w:t xml:space="preserve">עלות ייצור ואריזת מארז חומרי צריכה (רול ונוזל משוער): </w:t>
      </w:r>
      <w:r>
        <w:rPr>
          <w:rFonts w:ascii="Arial" w:hAnsi="Arial" w:eastAsia="Arial" w:cs="Arial"/>
          <w:b/>
          <w:bCs/>
          <w:color w:val="1F1F1F"/>
          <w:rtl w:val="0"/>
        </w:rPr>
        <w:t>$1.50</w:t>
      </w:r>
      <w:r>
        <w:rPr>
          <w:rFonts w:ascii="Arial" w:hAnsi="Arial" w:eastAsia="Arial" w:cs="Arial"/>
          <w:color w:val="1F1F1F"/>
          <w:rtl/>
        </w:rPr>
        <w:t xml:space="preserve"> ליחידה.</w:t>
      </w:r>
    </w:p>
    <w:p w14:paraId="00000027">
      <w:pPr>
        <w:numPr>
          <w:ilvl w:val="2"/>
          <w:numId w:val="11"/>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91" w:hanging="360"/>
      </w:pPr>
      <w:r>
        <w:rPr>
          <w:rFonts w:ascii="Arial" w:hAnsi="Arial" w:eastAsia="Arial" w:cs="Arial"/>
          <w:color w:val="1F1F1F"/>
          <w:rtl/>
        </w:rPr>
        <w:t xml:space="preserve">הכנסה שנתית מוערכת ממשק בית: </w:t>
      </w:r>
      <w:r>
        <w:rPr>
          <w:rFonts w:ascii="Arial" w:hAnsi="Arial" w:eastAsia="Arial" w:cs="Arial"/>
          <w:b/>
          <w:bCs/>
          <w:color w:val="1F1F1F"/>
          <w:rtl w:val="0"/>
        </w:rPr>
        <w:t>$88</w:t>
      </w:r>
      <w:r>
        <w:rPr>
          <w:rFonts w:ascii="Arial" w:hAnsi="Arial" w:eastAsia="Arial" w:cs="Arial"/>
          <w:color w:val="1F1F1F"/>
          <w:rtl/>
        </w:rPr>
        <w:t xml:space="preserve"> לשנה (מתוכם </w:t>
      </w:r>
      <w:r>
        <w:rPr>
          <w:rFonts w:ascii="Arial" w:hAnsi="Arial" w:eastAsia="Arial" w:cs="Arial"/>
          <w:b/>
          <w:bCs/>
          <w:color w:val="1F1F1F"/>
          <w:rtl w:val="0"/>
        </w:rPr>
        <w:t>$52</w:t>
      </w:r>
      <w:r>
        <w:rPr>
          <w:rFonts w:ascii="Arial" w:hAnsi="Arial" w:eastAsia="Arial" w:cs="Arial"/>
          <w:color w:val="1F1F1F"/>
          <w:rtl/>
        </w:rPr>
        <w:t xml:space="preserve"> רווח גולמי).</w:t>
      </w:r>
    </w:p>
    <w:p w14:paraId="00000028">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40" w:hanging="360"/>
      </w:pPr>
      <w:r>
        <w:rPr>
          <w:rFonts w:ascii="Arial" w:hAnsi="Arial" w:eastAsia="Arial" w:cs="Arial"/>
          <w:b/>
          <w:bCs/>
          <w:color w:val="1F1F1F"/>
          <w:rtl/>
        </w:rPr>
        <w:t>במקטע 6 (תוכנית ההשקעה):</w:t>
      </w:r>
    </w:p>
    <w:p w14:paraId="00000029">
      <w:pPr>
        <w:numPr>
          <w:ilvl w:val="2"/>
          <w:numId w:val="12"/>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91" w:hanging="360"/>
      </w:pPr>
      <w:r>
        <w:rPr>
          <w:rFonts w:ascii="Arial" w:hAnsi="Arial" w:eastAsia="Arial" w:cs="Arial"/>
          <w:color w:val="1F1F1F"/>
          <w:rtl/>
        </w:rPr>
        <w:t xml:space="preserve">הערכת שווי חברה נוכחית (משוערת </w:t>
      </w:r>
      <w:r>
        <w:rPr>
          <w:rFonts w:ascii="Arial" w:hAnsi="Arial" w:eastAsia="Arial" w:cs="Arial"/>
          <w:color w:val="1F1F1F"/>
          <w:rtl w:val="0"/>
        </w:rPr>
        <w:t xml:space="preserve">Pre-money): </w:t>
      </w:r>
      <w:r>
        <w:rPr>
          <w:rFonts w:ascii="Arial" w:hAnsi="Arial" w:eastAsia="Arial" w:cs="Arial"/>
          <w:b/>
          <w:bCs/>
          <w:color w:val="1F1F1F"/>
          <w:rtl/>
        </w:rPr>
        <w:t>2.4 מיליון ש"ח</w:t>
      </w:r>
      <w:r>
        <w:rPr>
          <w:rFonts w:ascii="Arial" w:hAnsi="Arial" w:eastAsia="Arial" w:cs="Arial"/>
          <w:color w:val="1F1F1F"/>
          <w:rtl w:val="0"/>
        </w:rPr>
        <w:t xml:space="preserve"> (~$650,000).</w:t>
      </w:r>
    </w:p>
    <w:p w14:paraId="0000002A">
      <w:pPr>
        <w:numPr>
          <w:ilvl w:val="2"/>
          <w:numId w:val="12"/>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91" w:hanging="360"/>
      </w:pPr>
      <w:r>
        <w:rPr>
          <w:rFonts w:ascii="Arial" w:hAnsi="Arial" w:eastAsia="Arial" w:cs="Arial"/>
          <w:color w:val="1F1F1F"/>
          <w:rtl/>
        </w:rPr>
        <w:t>רף כניסה מוקדמת (</w:t>
      </w:r>
      <w:r>
        <w:rPr>
          <w:rFonts w:ascii="Arial" w:hAnsi="Arial" w:eastAsia="Arial" w:cs="Arial"/>
          <w:color w:val="1F1F1F"/>
          <w:rtl w:val="0"/>
        </w:rPr>
        <w:t xml:space="preserve">Early Entry Seed): </w:t>
      </w:r>
      <w:r>
        <w:rPr>
          <w:rFonts w:ascii="Arial" w:hAnsi="Arial" w:eastAsia="Arial" w:cs="Arial"/>
          <w:b/>
          <w:bCs/>
          <w:color w:val="1F1F1F"/>
          <w:rtl/>
        </w:rPr>
        <w:t>$20,000 עבור לקבלת 1%</w:t>
      </w:r>
      <w:r>
        <w:rPr>
          <w:rFonts w:ascii="Arial" w:hAnsi="Arial" w:eastAsia="Arial" w:cs="Arial"/>
          <w:color w:val="1F1F1F"/>
          <w:rtl w:val="0"/>
        </w:rPr>
        <w:t>.</w:t>
      </w:r>
    </w:p>
    <w:p w14:paraId="0000002B">
      <w:pPr>
        <w:numPr>
          <w:ilvl w:val="2"/>
          <w:numId w:val="12"/>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91" w:hanging="360"/>
      </w:pPr>
      <w:r>
        <w:rPr>
          <w:rFonts w:ascii="Arial" w:hAnsi="Arial" w:eastAsia="Arial" w:cs="Arial"/>
          <w:color w:val="1F1F1F"/>
          <w:rtl/>
        </w:rPr>
        <w:t>רף השקעה לאחר שלב אב-הטיפוס (</w:t>
      </w:r>
      <w:r>
        <w:rPr>
          <w:rFonts w:ascii="Arial" w:hAnsi="Arial" w:eastAsia="Arial" w:cs="Arial"/>
          <w:color w:val="1F1F1F"/>
          <w:rtl w:val="0"/>
        </w:rPr>
        <w:t xml:space="preserve">Post-Prototype): </w:t>
      </w:r>
      <w:r>
        <w:rPr>
          <w:rFonts w:ascii="Arial" w:hAnsi="Arial" w:eastAsia="Arial" w:cs="Arial"/>
          <w:b/>
          <w:bCs/>
          <w:color w:val="1F1F1F"/>
          <w:rtl/>
        </w:rPr>
        <w:t>$50,000 עבור לקבלת 1%</w:t>
      </w:r>
      <w:r>
        <w:rPr>
          <w:rFonts w:ascii="Arial" w:hAnsi="Arial" w:eastAsia="Arial" w:cs="Arial"/>
          <w:color w:val="1F1F1F"/>
          <w:rtl w:val="0"/>
        </w:rPr>
        <w:t>.</w:t>
      </w:r>
    </w:p>
    <w:p w14:paraId="0000002C">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590" w:hanging="360"/>
      </w:pPr>
      <w:r>
        <w:rPr>
          <w:rFonts w:ascii="Arial" w:hAnsi="Arial" w:eastAsia="Arial" w:cs="Arial"/>
          <w:b/>
          <w:bCs/>
          <w:color w:val="1F1F1F"/>
          <w:rtl w:val="0"/>
        </w:rPr>
        <w:t>New Status (English):</w:t>
      </w:r>
      <w:r>
        <w:rPr>
          <w:rFonts w:ascii="Arial" w:hAnsi="Arial" w:eastAsia="Arial" w:cs="Arial"/>
          <w:color w:val="1F1F1F"/>
          <w:rtl w:val="0"/>
        </w:rPr>
        <w:t xml:space="preserve"> Insert placeholders with estimated values, flagged for final alignment with Liat’s financial models:</w:t>
      </w:r>
    </w:p>
    <w:p w14:paraId="0000002D">
      <w:pPr>
        <w:numPr>
          <w:ilvl w:val="1"/>
          <w:numId w:val="13"/>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40" w:hanging="360"/>
      </w:pPr>
      <w:r>
        <w:rPr>
          <w:rFonts w:ascii="Arial" w:hAnsi="Arial" w:eastAsia="Arial" w:cs="Arial"/>
          <w:b/>
          <w:bCs/>
          <w:color w:val="1F1F1F"/>
          <w:rtl w:val="0"/>
        </w:rPr>
        <w:t>Section 3 (Financial Model):</w:t>
      </w:r>
    </w:p>
    <w:p w14:paraId="0000002E">
      <w:pPr>
        <w:numPr>
          <w:ilvl w:val="2"/>
          <w:numId w:val="14"/>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91" w:hanging="360"/>
      </w:pPr>
      <w:r>
        <w:rPr>
          <w:rFonts w:ascii="Arial" w:hAnsi="Arial" w:eastAsia="Arial" w:cs="Arial"/>
          <w:color w:val="1F1F1F"/>
          <w:rtl w:val="0"/>
        </w:rPr>
        <w:t xml:space="preserve">Estimated Device Manufacturing Cost: </w:t>
      </w:r>
      <w:r>
        <w:rPr>
          <w:rFonts w:ascii="Arial" w:hAnsi="Arial" w:eastAsia="Arial" w:cs="Arial"/>
          <w:b/>
          <w:bCs/>
          <w:color w:val="1F1F1F"/>
          <w:rtl w:val="0"/>
        </w:rPr>
        <w:t>$25</w:t>
      </w:r>
    </w:p>
    <w:p w14:paraId="0000002F">
      <w:pPr>
        <w:numPr>
          <w:ilvl w:val="2"/>
          <w:numId w:val="14"/>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91" w:hanging="360"/>
      </w:pPr>
      <w:r>
        <w:rPr>
          <w:rFonts w:ascii="Arial" w:hAnsi="Arial" w:eastAsia="Arial" w:cs="Arial"/>
          <w:color w:val="1F1F1F"/>
          <w:rtl w:val="0"/>
        </w:rPr>
        <w:t xml:space="preserve">Estimated Consumable Pack (Roll &amp; Liquid) Cost: </w:t>
      </w:r>
      <w:r>
        <w:rPr>
          <w:rFonts w:ascii="Arial" w:hAnsi="Arial" w:eastAsia="Arial" w:cs="Arial"/>
          <w:b/>
          <w:bCs/>
          <w:color w:val="1F1F1F"/>
          <w:rtl w:val="0"/>
        </w:rPr>
        <w:t>$1.50</w:t>
      </w:r>
    </w:p>
    <w:p w14:paraId="00000030">
      <w:pPr>
        <w:numPr>
          <w:ilvl w:val="2"/>
          <w:numId w:val="14"/>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91" w:hanging="360"/>
      </w:pPr>
      <w:r>
        <w:rPr>
          <w:rFonts w:ascii="Arial" w:hAnsi="Arial" w:eastAsia="Arial" w:cs="Arial"/>
          <w:color w:val="1F1F1F"/>
          <w:rtl w:val="0"/>
        </w:rPr>
        <w:t xml:space="preserve">Expected Annual Household Revenue: </w:t>
      </w:r>
      <w:r>
        <w:rPr>
          <w:rFonts w:ascii="Arial" w:hAnsi="Arial" w:eastAsia="Arial" w:cs="Arial"/>
          <w:b/>
          <w:bCs/>
          <w:color w:val="1F1F1F"/>
          <w:rtl w:val="0"/>
        </w:rPr>
        <w:t>$88</w:t>
      </w:r>
      <w:r>
        <w:rPr>
          <w:rFonts w:ascii="Arial" w:hAnsi="Arial" w:eastAsia="Arial" w:cs="Arial"/>
          <w:color w:val="1F1F1F"/>
          <w:rtl w:val="0"/>
        </w:rPr>
        <w:t xml:space="preserve"> ($52 Gross Profit).</w:t>
      </w:r>
    </w:p>
    <w:p w14:paraId="00000031">
      <w:pPr>
        <w:numPr>
          <w:ilvl w:val="1"/>
          <w:numId w:val="13"/>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40" w:hanging="360"/>
      </w:pPr>
      <w:r>
        <w:rPr>
          <w:rFonts w:ascii="Arial" w:hAnsi="Arial" w:eastAsia="Arial" w:cs="Arial"/>
          <w:b/>
          <w:bCs/>
          <w:color w:val="1F1F1F"/>
          <w:rtl w:val="0"/>
        </w:rPr>
        <w:t>Section 6 (Investor Options):</w:t>
      </w:r>
    </w:p>
    <w:p w14:paraId="00000032">
      <w:pPr>
        <w:numPr>
          <w:ilvl w:val="2"/>
          <w:numId w:val="15"/>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91" w:hanging="360"/>
      </w:pPr>
      <w:r>
        <w:rPr>
          <w:rFonts w:ascii="Arial" w:hAnsi="Arial" w:eastAsia="Arial" w:cs="Arial"/>
          <w:color w:val="1F1F1F"/>
          <w:rtl w:val="0"/>
        </w:rPr>
        <w:t xml:space="preserve">Current Pre-money Valuation: </w:t>
      </w:r>
      <w:r>
        <w:rPr>
          <w:rFonts w:ascii="Arial" w:hAnsi="Arial" w:eastAsia="Arial" w:cs="Arial"/>
          <w:b/>
          <w:bCs/>
          <w:color w:val="1F1F1F"/>
          <w:rtl w:val="0"/>
        </w:rPr>
        <w:t>₪2.4M</w:t>
      </w:r>
      <w:r>
        <w:rPr>
          <w:rFonts w:ascii="Arial" w:hAnsi="Arial" w:eastAsia="Arial" w:cs="Arial"/>
          <w:color w:val="1F1F1F"/>
          <w:rtl w:val="0"/>
        </w:rPr>
        <w:t xml:space="preserve"> (~$650,000).</w:t>
      </w:r>
    </w:p>
    <w:p w14:paraId="00000033">
      <w:pPr>
        <w:numPr>
          <w:ilvl w:val="2"/>
          <w:numId w:val="15"/>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91" w:hanging="360"/>
      </w:pPr>
      <w:r>
        <w:rPr>
          <w:rFonts w:ascii="Arial" w:hAnsi="Arial" w:eastAsia="Arial" w:cs="Arial"/>
          <w:color w:val="1F1F1F"/>
          <w:rtl w:val="0"/>
        </w:rPr>
        <w:t xml:space="preserve">Early Entry Seed Option: </w:t>
      </w:r>
      <w:r>
        <w:rPr>
          <w:rFonts w:ascii="Arial" w:hAnsi="Arial" w:eastAsia="Arial" w:cs="Arial"/>
          <w:b/>
          <w:bCs/>
          <w:color w:val="1F1F1F"/>
          <w:rtl w:val="0"/>
        </w:rPr>
        <w:t>$20,000 for 1%</w:t>
      </w:r>
      <w:r>
        <w:rPr>
          <w:rFonts w:ascii="Arial" w:hAnsi="Arial" w:eastAsia="Arial" w:cs="Arial"/>
          <w:color w:val="1F1F1F"/>
          <w:rtl w:val="0"/>
        </w:rPr>
        <w:t>.</w:t>
      </w:r>
    </w:p>
    <w:p w14:paraId="00000034">
      <w:pPr>
        <w:numPr>
          <w:ilvl w:val="2"/>
          <w:numId w:val="15"/>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91" w:hanging="360"/>
      </w:pPr>
      <w:r>
        <w:rPr>
          <w:rFonts w:ascii="Arial" w:hAnsi="Arial" w:eastAsia="Arial" w:cs="Arial"/>
          <w:color w:val="1F1F1F"/>
          <w:rtl w:val="0"/>
        </w:rPr>
        <w:t xml:space="preserve">Post-Prototype Stage Option: </w:t>
      </w:r>
      <w:r>
        <w:rPr>
          <w:rFonts w:ascii="Arial" w:hAnsi="Arial" w:eastAsia="Arial" w:cs="Arial"/>
          <w:b/>
          <w:bCs/>
          <w:color w:val="1F1F1F"/>
          <w:rtl w:val="0"/>
        </w:rPr>
        <w:t>$50,000 for 1%</w:t>
      </w:r>
      <w:r>
        <w:rPr>
          <w:rFonts w:ascii="Arial" w:hAnsi="Arial" w:eastAsia="Arial" w:cs="Arial"/>
          <w:color w:val="1F1F1F"/>
          <w:rtl w:val="0"/>
        </w:rPr>
        <w:t>.</w:t>
      </w:r>
    </w:p>
    <w:p w14:paraId="00000035">
      <w:pPr>
        <w:pStyle w:val="4"/>
        <w:pBdr>
          <w:top w:val="none" w:color="auto" w:sz="0" w:space="0"/>
          <w:left w:val="none" w:color="auto" w:sz="0" w:space="0"/>
          <w:bottom w:val="none" w:color="auto" w:sz="0" w:space="0"/>
          <w:right w:val="none" w:color="auto" w:sz="0" w:space="0"/>
          <w:between w:val="none" w:color="auto" w:sz="0" w:space="0"/>
        </w:pBdr>
        <w:shd w:val="clear" w:fill="auto"/>
        <w:bidi/>
        <w:spacing w:before="0" w:line="275" w:lineRule="auto"/>
        <w:rPr>
          <w:rFonts w:ascii="Arial" w:hAnsi="Arial" w:eastAsia="Arial" w:cs="Arial"/>
          <w:color w:val="1F1F1F"/>
        </w:rPr>
      </w:pPr>
      <w:r>
        <w:rPr>
          <w:rFonts w:ascii="Arial" w:hAnsi="Arial" w:eastAsia="Arial" w:cs="Arial"/>
          <w:color w:val="1F1F1F"/>
          <w:rtl/>
        </w:rPr>
        <w:t>4. מקטע 5: מידע טכני וקניין רוחני (</w:t>
      </w:r>
      <w:r>
        <w:rPr>
          <w:rFonts w:ascii="Arial" w:hAnsi="Arial" w:eastAsia="Arial" w:cs="Arial"/>
          <w:color w:val="1F1F1F"/>
          <w:rtl w:val="0"/>
        </w:rPr>
        <w:t>Technical FAQ</w:t>
      </w:r>
      <w:r>
        <w:rPr>
          <w:rFonts w:ascii="Arial" w:hAnsi="Arial" w:eastAsia="Arial" w:cs="Arial"/>
          <w:color w:val="1F1F1F"/>
          <w:rtl/>
        </w:rPr>
        <w:t>)</w:t>
      </w:r>
    </w:p>
    <w:p w14:paraId="00000036">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590" w:hanging="360"/>
      </w:pPr>
      <w:r>
        <w:rPr>
          <w:rFonts w:ascii="Arial" w:hAnsi="Arial" w:eastAsia="Arial" w:cs="Arial"/>
          <w:b/>
          <w:bCs/>
          <w:color w:val="1F1F1F"/>
          <w:rtl/>
        </w:rPr>
        <w:t>מצב קיים (עברית):</w:t>
      </w:r>
      <w:r>
        <w:rPr>
          <w:rFonts w:ascii="Arial" w:hAnsi="Arial" w:eastAsia="Arial" w:cs="Arial"/>
          <w:color w:val="1F1F1F"/>
          <w:rtl/>
        </w:rPr>
        <w:t xml:space="preserve"> התשובות באקורדיון מתמקדות במנגנון המכני ובנעילת הגליל בלבד.</w:t>
      </w:r>
    </w:p>
    <w:p w14:paraId="00000037">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590" w:hanging="360"/>
      </w:pPr>
      <w:r>
        <w:rPr>
          <w:rFonts w:ascii="Arial" w:hAnsi="Arial" w:eastAsia="Arial" w:cs="Arial"/>
          <w:b/>
          <w:bCs/>
          <w:color w:val="1F1F1F"/>
          <w:rtl/>
        </w:rPr>
        <w:t>מצב חדש (עברית) - הרחבת התשובה הרלוונטית לפטנט (בקשה מס' 327637):</w:t>
      </w:r>
    </w:p>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20" w:firstLine="0"/>
        <w:jc w:val="left"/>
        <w:rPr>
          <w:rFonts w:ascii="Arial" w:hAnsi="Arial" w:eastAsia="Arial" w:cs="Arial"/>
          <w:color w:val="1F1F1F"/>
        </w:rPr>
      </w:pPr>
      <w:r>
        <w:rPr>
          <w:rFonts w:ascii="Arial" w:hAnsi="Arial" w:eastAsia="Arial" w:cs="Arial"/>
          <w:color w:val="1F1F1F"/>
          <w:rtl w:val="0"/>
        </w:rPr>
        <w:t>"</w:t>
      </w:r>
      <w:r>
        <w:rPr>
          <w:rFonts w:ascii="Arial" w:hAnsi="Arial" w:eastAsia="Arial" w:cs="Arial"/>
          <w:color w:val="1F1F1F"/>
          <w:rtl/>
        </w:rPr>
        <w:t>בקשת הפטנט של</w:t>
      </w:r>
      <w:r>
        <w:rPr>
          <w:rFonts w:ascii="Arial" w:hAnsi="Arial" w:eastAsia="Arial" w:cs="Arial"/>
          <w:color w:val="1F1F1F"/>
          <w:rtl w:val="0"/>
        </w:rPr>
        <w:t xml:space="preserve"> WipeUp (</w:t>
      </w:r>
      <w:r>
        <w:rPr>
          <w:rFonts w:ascii="Arial" w:hAnsi="Arial" w:eastAsia="Arial" w:cs="Arial"/>
          <w:color w:val="1F1F1F"/>
          <w:rtl/>
        </w:rPr>
        <w:t>מס' 327637) מספקת מעטפת הגנה רחבה ומקיפה על המיזם במספר שכבות קריטיות</w:t>
      </w:r>
      <w:r>
        <w:rPr>
          <w:rFonts w:ascii="Arial" w:hAnsi="Arial" w:eastAsia="Arial" w:cs="Arial"/>
          <w:color w:val="1F1F1F"/>
          <w:rtl w:val="0"/>
        </w:rPr>
        <w:t>:</w:t>
      </w:r>
    </w:p>
    <w:p w14:paraId="00000039">
      <w:pPr>
        <w:numPr>
          <w:ilvl w:val="1"/>
          <w:numId w:val="17"/>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50" w:hanging="360"/>
      </w:pPr>
      <w:r>
        <w:rPr>
          <w:rFonts w:ascii="Arial" w:hAnsi="Arial" w:eastAsia="Arial" w:cs="Arial"/>
          <w:b/>
          <w:bCs/>
          <w:color w:val="1F1F1F"/>
          <w:rtl/>
        </w:rPr>
        <w:t>המנגנון המכני ונעילת הרול:</w:t>
      </w:r>
      <w:r>
        <w:rPr>
          <w:rFonts w:ascii="Arial" w:hAnsi="Arial" w:eastAsia="Arial" w:cs="Arial"/>
          <w:color w:val="1F1F1F"/>
          <w:rtl/>
        </w:rPr>
        <w:t xml:space="preserve"> הפטנט מגן על המנגנון השבלולי הפיזי (</w:t>
      </w:r>
      <w:r>
        <w:rPr>
          <w:rFonts w:ascii="Arial" w:hAnsi="Arial" w:eastAsia="Arial" w:cs="Arial"/>
          <w:color w:val="1F1F1F"/>
          <w:rtl w:val="0"/>
        </w:rPr>
        <w:t>Spiral Path</w:t>
      </w:r>
      <w:r>
        <w:rPr>
          <w:rFonts w:ascii="Arial" w:hAnsi="Arial" w:eastAsia="Arial" w:cs="Arial"/>
          <w:color w:val="1F1F1F"/>
          <w:rtl/>
        </w:rPr>
        <w:t>) ועל מערכת נעילת הגליל הייחודית (</w:t>
      </w:r>
      <w:r>
        <w:rPr>
          <w:rFonts w:ascii="Arial" w:hAnsi="Arial" w:eastAsia="Arial" w:cs="Arial"/>
          <w:color w:val="1F1F1F"/>
          <w:rtl w:val="0"/>
        </w:rPr>
        <w:t>Proprietary Lock-in sleeve</w:t>
      </w:r>
      <w:r>
        <w:rPr>
          <w:rFonts w:ascii="Arial" w:hAnsi="Arial" w:eastAsia="Arial" w:cs="Arial"/>
          <w:color w:val="1F1F1F"/>
          <w:rtl/>
        </w:rPr>
        <w:t>), המבטיחה הנדסית כי רק רולים מקוריים של החברה יתאימו למכשיר, ובכך מגינה על מודל חומרי הצריכה שלנו מפני העתקות של צד ג'.</w:t>
      </w:r>
    </w:p>
    <w:p w14:paraId="0000003A">
      <w:pPr>
        <w:numPr>
          <w:ilvl w:val="1"/>
          <w:numId w:val="17"/>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50" w:hanging="360"/>
      </w:pPr>
      <w:r>
        <w:rPr>
          <w:rFonts w:ascii="Arial" w:hAnsi="Arial" w:eastAsia="Arial" w:cs="Arial"/>
          <w:b/>
          <w:bCs/>
          <w:color w:val="1F1F1F"/>
          <w:rtl/>
        </w:rPr>
        <w:t>שיטת ההרטבה המבוקרת (***תוספת***):</w:t>
      </w:r>
      <w:r>
        <w:rPr>
          <w:rFonts w:ascii="Arial" w:hAnsi="Arial" w:eastAsia="Arial" w:cs="Arial"/>
          <w:color w:val="1F1F1F"/>
          <w:rtl/>
        </w:rPr>
        <w:t xml:space="preserve"> הפטנט מכסה באופן בלעדי את שיטת ויסות ופיזור הלחות (</w:t>
      </w:r>
      <w:r>
        <w:rPr>
          <w:rFonts w:ascii="Arial" w:hAnsi="Arial" w:eastAsia="Arial" w:cs="Arial"/>
          <w:color w:val="1F1F1F"/>
          <w:rtl w:val="0"/>
        </w:rPr>
        <w:t>Mist Regulation</w:t>
      </w:r>
      <w:r>
        <w:rPr>
          <w:rFonts w:ascii="Arial" w:hAnsi="Arial" w:eastAsia="Arial" w:cs="Arial"/>
          <w:color w:val="1F1F1F"/>
          <w:rtl/>
        </w:rPr>
        <w:t>) על גבי נייר הטואלט בזמן אמת, המונעת קריעה של הנייר ושומרת על היגיינה אופטימלית.</w:t>
      </w:r>
    </w:p>
    <w:p w14:paraId="0000003B">
      <w:pPr>
        <w:numPr>
          <w:ilvl w:val="1"/>
          <w:numId w:val="17"/>
        </w:numPr>
        <w:pBdr>
          <w:top w:val="none" w:color="auto" w:sz="0" w:space="0"/>
          <w:left w:val="none" w:color="auto" w:sz="0" w:space="0"/>
          <w:bottom w:val="none" w:color="auto" w:sz="0" w:space="0"/>
          <w:right w:val="none" w:color="auto" w:sz="0" w:space="0"/>
          <w:between w:val="none" w:color="auto" w:sz="0" w:space="0"/>
        </w:pBdr>
        <w:shd w:val="clear" w:fill="auto"/>
        <w:bidi/>
        <w:spacing w:after="0" w:afterAutospacing="0" w:line="275" w:lineRule="auto"/>
        <w:ind w:right="650" w:hanging="360"/>
      </w:pPr>
      <w:r>
        <w:rPr>
          <w:rFonts w:ascii="Arial" w:hAnsi="Arial" w:eastAsia="Arial" w:cs="Arial"/>
          <w:b/>
          <w:bCs/>
          <w:color w:val="1F1F1F"/>
          <w:rtl/>
        </w:rPr>
        <w:t>הגנת המדגם העיצובי (***עדכון סטטוס - אושר***):</w:t>
      </w:r>
      <w:r>
        <w:rPr>
          <w:rFonts w:ascii="Arial" w:hAnsi="Arial" w:eastAsia="Arial" w:cs="Arial"/>
          <w:color w:val="1F1F1F"/>
          <w:rtl/>
        </w:rPr>
        <w:t xml:space="preserve"> כפי שאושר רשמית, המיזם מחזיק בהגנת מדגם עיצובי (</w:t>
      </w:r>
      <w:r>
        <w:rPr>
          <w:rFonts w:ascii="Arial" w:hAnsi="Arial" w:eastAsia="Arial" w:cs="Arial"/>
          <w:color w:val="1F1F1F"/>
          <w:rtl w:val="0"/>
        </w:rPr>
        <w:t>Design Patent</w:t>
      </w:r>
      <w:r>
        <w:rPr>
          <w:rFonts w:ascii="Arial" w:hAnsi="Arial" w:eastAsia="Arial" w:cs="Arial"/>
          <w:color w:val="1F1F1F"/>
          <w:rtl/>
        </w:rPr>
        <w:t>) מלאה על העיצוב התעשייתי, הנדסת האנוש והמראה הצורני החיצוני של המכשיר, המונעת משפטית כל ניסיון חיקוי של נראות המוצר."</w:t>
      </w:r>
    </w:p>
    <w:p w14:paraId="0000003C">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bidi/>
        <w:spacing w:before="0" w:beforeAutospacing="0" w:line="275" w:lineRule="auto"/>
        <w:ind w:right="590" w:hanging="360"/>
      </w:pPr>
      <w:r>
        <w:rPr>
          <w:rFonts w:ascii="Arial" w:hAnsi="Arial" w:eastAsia="Arial" w:cs="Arial"/>
          <w:b/>
          <w:bCs/>
          <w:color w:val="1F1F1F"/>
          <w:rtl w:val="0"/>
        </w:rPr>
        <w:t>Existing Content (English):</w:t>
      </w:r>
    </w:p>
    <w:p w14:paraId="0000003D">
      <w:pPr>
        <w:numPr>
          <w:ilvl w:val="1"/>
          <w:numId w:val="18"/>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40" w:hanging="360"/>
      </w:pPr>
      <w:r>
        <w:rPr>
          <w:rFonts w:ascii="Arial" w:hAnsi="Arial" w:eastAsia="Arial" w:cs="Arial"/>
          <w:i/>
          <w:iCs/>
          <w:color w:val="1F1F1F"/>
          <w:rtl w:val="0"/>
        </w:rPr>
        <w:t>Question:</w:t>
      </w:r>
      <w:r>
        <w:rPr>
          <w:rFonts w:ascii="Arial" w:hAnsi="Arial" w:eastAsia="Arial" w:cs="Arial"/>
          <w:color w:val="1F1F1F"/>
          <w:rtl w:val="0"/>
        </w:rPr>
        <w:t xml:space="preserve"> What does the patent cover?</w:t>
      </w:r>
    </w:p>
    <w:p w14:paraId="0000003E">
      <w:pPr>
        <w:numPr>
          <w:ilvl w:val="1"/>
          <w:numId w:val="18"/>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40" w:hanging="360"/>
      </w:pPr>
      <w:r>
        <w:rPr>
          <w:rFonts w:ascii="Arial" w:hAnsi="Arial" w:eastAsia="Arial" w:cs="Arial"/>
          <w:i/>
          <w:iCs/>
          <w:color w:val="1F1F1F"/>
          <w:rtl w:val="0"/>
        </w:rPr>
        <w:t>Answer:</w:t>
      </w:r>
      <w:r>
        <w:rPr>
          <w:rFonts w:ascii="Arial" w:hAnsi="Arial" w:eastAsia="Arial" w:cs="Arial"/>
          <w:color w:val="1F1F1F"/>
          <w:rtl w:val="0"/>
        </w:rPr>
        <w:t xml:space="preserve"> The spiral path (450mm), micro-mist system, and consumable detection mechanism.</w:t>
      </w:r>
    </w:p>
    <w:p w14:paraId="0000003F">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590" w:hanging="360"/>
      </w:pPr>
      <w:r>
        <w:rPr>
          <w:rFonts w:ascii="Arial" w:hAnsi="Arial" w:eastAsia="Arial" w:cs="Arial"/>
          <w:b/>
          <w:bCs/>
          <w:color w:val="1F1F1F"/>
          <w:rtl w:val="0"/>
        </w:rPr>
        <w:t>New Content (English) - Expanded Answer:</w:t>
      </w:r>
    </w:p>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20" w:firstLine="0"/>
        <w:jc w:val="left"/>
        <w:rPr>
          <w:rFonts w:ascii="Arial" w:hAnsi="Arial" w:eastAsia="Arial" w:cs="Arial"/>
          <w:color w:val="1F1F1F"/>
        </w:rPr>
      </w:pPr>
      <w:r>
        <w:rPr>
          <w:rFonts w:ascii="Arial" w:hAnsi="Arial" w:eastAsia="Arial" w:cs="Arial"/>
          <w:color w:val="1F1F1F"/>
          <w:rtl w:val="0"/>
        </w:rPr>
        <w:t>"WipeUp’s patent application (No. 327637) provides a comprehensive, multi-layered protective umbrella:</w:t>
      </w:r>
    </w:p>
    <w:p w14:paraId="00000041">
      <w:pPr>
        <w:numPr>
          <w:ilvl w:val="1"/>
          <w:numId w:val="19"/>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50" w:hanging="360"/>
      </w:pPr>
      <w:r>
        <w:rPr>
          <w:rFonts w:ascii="Arial" w:hAnsi="Arial" w:eastAsia="Arial" w:cs="Arial"/>
          <w:b/>
          <w:bCs/>
          <w:color w:val="1F1F1F"/>
          <w:rtl w:val="0"/>
        </w:rPr>
        <w:t>Mechanical Mechanism &amp; Consumable Lock-In:</w:t>
      </w:r>
      <w:r>
        <w:rPr>
          <w:rFonts w:ascii="Arial" w:hAnsi="Arial" w:eastAsia="Arial" w:cs="Arial"/>
          <w:color w:val="1F1F1F"/>
          <w:rtl w:val="0"/>
        </w:rPr>
        <w:t xml:space="preserve"> Protects the physical Spiral Path and the proprietary asymmetric Lock-in sleeve mechanism, ensuring only original company rolls activate the device and securing our recurring revenue model.</w:t>
      </w:r>
    </w:p>
    <w:p w14:paraId="00000042">
      <w:pPr>
        <w:numPr>
          <w:ilvl w:val="1"/>
          <w:numId w:val="19"/>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50" w:hanging="360"/>
      </w:pPr>
      <w:r>
        <w:rPr>
          <w:rFonts w:ascii="Arial" w:hAnsi="Arial" w:eastAsia="Arial" w:cs="Arial"/>
          <w:b/>
          <w:bCs/>
          <w:color w:val="1F1F1F"/>
          <w:rtl w:val="0"/>
        </w:rPr>
        <w:t>Controlled Wetting Method (***Addition***):</w:t>
      </w:r>
      <w:r>
        <w:rPr>
          <w:rFonts w:ascii="Arial" w:hAnsi="Arial" w:eastAsia="Arial" w:cs="Arial"/>
          <w:color w:val="1F1F1F"/>
          <w:rtl w:val="0"/>
        </w:rPr>
        <w:t xml:space="preserve"> Exclusively covers the real-time mist regulation and moisture distribution method on the paper, preventing tearing while ensuring optimal hygiene.</w:t>
      </w:r>
    </w:p>
    <w:p w14:paraId="00000043">
      <w:pPr>
        <w:numPr>
          <w:ilvl w:val="1"/>
          <w:numId w:val="19"/>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50" w:hanging="360"/>
      </w:pPr>
      <w:r>
        <w:rPr>
          <w:rFonts w:ascii="Arial" w:hAnsi="Arial" w:eastAsia="Arial" w:cs="Arial"/>
          <w:b/>
          <w:bCs/>
          <w:color w:val="1F1F1F"/>
          <w:rtl w:val="0"/>
        </w:rPr>
        <w:t>Design Patent Protection (***Status Update - Approved***):</w:t>
      </w:r>
      <w:r>
        <w:rPr>
          <w:rFonts w:ascii="Arial" w:hAnsi="Arial" w:eastAsia="Arial" w:cs="Arial"/>
          <w:color w:val="1F1F1F"/>
          <w:rtl w:val="0"/>
        </w:rPr>
        <w:t xml:space="preserve"> As officially approved, the venture holds full industrial design patent protection covering the unique aesthetic look, form factor, and ergonomics of the device, legally prohibiting competitors from replicating its visual appearance."</w:t>
      </w:r>
    </w:p>
    <w:p w14:paraId="00000044">
      <w:pPr>
        <w:pStyle w:val="4"/>
        <w:pBdr>
          <w:top w:val="none" w:color="auto" w:sz="0" w:space="0"/>
          <w:left w:val="none" w:color="auto" w:sz="0" w:space="0"/>
          <w:bottom w:val="none" w:color="auto" w:sz="0" w:space="0"/>
          <w:right w:val="none" w:color="auto" w:sz="0" w:space="0"/>
          <w:between w:val="none" w:color="auto" w:sz="0" w:space="0"/>
        </w:pBdr>
        <w:shd w:val="clear" w:fill="auto"/>
        <w:bidi/>
        <w:spacing w:before="0" w:line="275" w:lineRule="auto"/>
        <w:rPr>
          <w:rFonts w:ascii="Arial" w:hAnsi="Arial" w:eastAsia="Arial" w:cs="Arial"/>
          <w:color w:val="1F1F1F"/>
        </w:rPr>
      </w:pPr>
      <w:r>
        <w:rPr>
          <w:rFonts w:ascii="Arial" w:hAnsi="Arial" w:eastAsia="Arial" w:cs="Arial"/>
          <w:color w:val="1F1F1F"/>
          <w:rtl/>
        </w:rPr>
        <w:t>5. מקטע 7: צור קשר (</w:t>
      </w:r>
      <w:r>
        <w:rPr>
          <w:rFonts w:ascii="Arial" w:hAnsi="Arial" w:eastAsia="Arial" w:cs="Arial"/>
          <w:color w:val="1F1F1F"/>
          <w:rtl w:val="0"/>
        </w:rPr>
        <w:t>Contact Us</w:t>
      </w:r>
      <w:r>
        <w:rPr>
          <w:rFonts w:ascii="Arial" w:hAnsi="Arial" w:eastAsia="Arial" w:cs="Arial"/>
          <w:color w:val="1F1F1F"/>
          <w:rtl/>
        </w:rPr>
        <w:t>)</w:t>
      </w:r>
    </w:p>
    <w:p w14:paraId="00000045">
      <w:pPr>
        <w:numPr>
          <w:ilvl w:val="0"/>
          <w:numId w:val="20"/>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590" w:hanging="360"/>
      </w:pPr>
      <w:r>
        <w:rPr>
          <w:rFonts w:ascii="Arial" w:hAnsi="Arial" w:eastAsia="Arial" w:cs="Arial"/>
          <w:b/>
          <w:bCs/>
          <w:color w:val="1F1F1F"/>
          <w:rtl/>
        </w:rPr>
        <w:t>מצב קיים:</w:t>
      </w:r>
      <w:r>
        <w:rPr>
          <w:rFonts w:ascii="Arial" w:hAnsi="Arial" w:eastAsia="Arial" w:cs="Arial"/>
          <w:color w:val="1F1F1F"/>
          <w:rtl/>
        </w:rPr>
        <w:t xml:space="preserve"> רכיב הטופס החכם מעוצב וקיים ב-</w:t>
      </w:r>
      <w:r>
        <w:rPr>
          <w:rFonts w:ascii="Arial" w:hAnsi="Arial" w:eastAsia="Arial" w:cs="Arial"/>
          <w:color w:val="1F1F1F"/>
          <w:rtl w:val="0"/>
        </w:rPr>
        <w:t>UI</w:t>
      </w:r>
      <w:r>
        <w:rPr>
          <w:rFonts w:ascii="Arial" w:hAnsi="Arial" w:eastAsia="Arial" w:cs="Arial"/>
          <w:color w:val="1F1F1F"/>
          <w:rtl/>
        </w:rPr>
        <w:t xml:space="preserve">, אך </w:t>
      </w:r>
      <w:r>
        <w:rPr>
          <w:rFonts w:ascii="Arial" w:hAnsi="Arial" w:eastAsia="Arial" w:cs="Arial"/>
          <w:b/>
          <w:bCs/>
          <w:color w:val="1F1F1F"/>
          <w:rtl/>
        </w:rPr>
        <w:t>הוא אינו תקין פונקציונלית</w:t>
      </w:r>
      <w:r>
        <w:rPr>
          <w:rFonts w:ascii="Arial" w:hAnsi="Arial" w:eastAsia="Arial" w:cs="Arial"/>
          <w:color w:val="1F1F1F"/>
          <w:rtl/>
        </w:rPr>
        <w:t xml:space="preserve"> – פניות נזרקות, לא נשלחות או לא נשמרות בשום מקום.</w:t>
      </w:r>
    </w:p>
    <w:p w14:paraId="00000046">
      <w:pPr>
        <w:numPr>
          <w:ilvl w:val="0"/>
          <w:numId w:val="20"/>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590" w:hanging="360"/>
      </w:pPr>
      <w:r>
        <w:rPr>
          <w:rFonts w:ascii="Arial" w:hAnsi="Arial" w:eastAsia="Arial" w:cs="Arial"/>
          <w:b/>
          <w:bCs/>
          <w:color w:val="1F1F1F"/>
          <w:rtl/>
        </w:rPr>
        <w:t>מצב חדש (משימת בחינה ותיקון טכנולוגי):</w:t>
      </w:r>
    </w:p>
    <w:p w14:paraId="00000047">
      <w:pPr>
        <w:numPr>
          <w:ilvl w:val="1"/>
          <w:numId w:val="21"/>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50" w:hanging="360"/>
      </w:pPr>
      <w:r>
        <w:rPr>
          <w:rFonts w:ascii="Arial" w:hAnsi="Arial" w:eastAsia="Arial" w:cs="Arial"/>
          <w:b/>
          <w:bCs/>
          <w:color w:val="1F1F1F"/>
          <w:rtl/>
        </w:rPr>
        <w:t>בדיקה ודיבאגינג (</w:t>
      </w:r>
      <w:r>
        <w:rPr>
          <w:rFonts w:ascii="Arial" w:hAnsi="Arial" w:eastAsia="Arial" w:cs="Arial"/>
          <w:b/>
          <w:bCs/>
          <w:color w:val="1F1F1F"/>
          <w:rtl w:val="0"/>
        </w:rPr>
        <w:t>Debugging):</w:t>
      </w:r>
      <w:r>
        <w:rPr>
          <w:rFonts w:ascii="Arial" w:hAnsi="Arial" w:eastAsia="Arial" w:cs="Arial"/>
          <w:color w:val="1F1F1F"/>
          <w:rtl/>
        </w:rPr>
        <w:t xml:space="preserve"> יש לבחון את ה-</w:t>
      </w:r>
      <w:r>
        <w:rPr>
          <w:rFonts w:ascii="Arial" w:hAnsi="Arial" w:eastAsia="Arial" w:cs="Arial"/>
          <w:color w:val="1F1F1F"/>
          <w:rtl w:val="0"/>
        </w:rPr>
        <w:t>Form Handler</w:t>
      </w:r>
      <w:r>
        <w:rPr>
          <w:rFonts w:ascii="Arial" w:hAnsi="Arial" w:eastAsia="Arial" w:cs="Arial"/>
          <w:color w:val="1F1F1F"/>
          <w:rtl/>
        </w:rPr>
        <w:t xml:space="preserve"> וה-</w:t>
      </w:r>
      <w:r>
        <w:rPr>
          <w:rFonts w:ascii="Arial" w:hAnsi="Arial" w:eastAsia="Arial" w:cs="Arial"/>
          <w:color w:val="1F1F1F"/>
          <w:rtl w:val="0"/>
        </w:rPr>
        <w:t>API Endpoint</w:t>
      </w:r>
      <w:r>
        <w:rPr>
          <w:rFonts w:ascii="Arial" w:hAnsi="Arial" w:eastAsia="Arial" w:cs="Arial"/>
          <w:color w:val="1F1F1F"/>
          <w:rtl/>
        </w:rPr>
        <w:t xml:space="preserve"> בצד השרת כדי לאתר מדוע המידע מהטופס נכשל בשליחה.</w:t>
      </w:r>
    </w:p>
    <w:p w14:paraId="00000048">
      <w:pPr>
        <w:numPr>
          <w:ilvl w:val="1"/>
          <w:numId w:val="21"/>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50" w:hanging="360"/>
      </w:pPr>
      <w:r>
        <w:rPr>
          <w:rFonts w:ascii="Arial" w:hAnsi="Arial" w:eastAsia="Arial" w:cs="Arial"/>
          <w:b/>
          <w:bCs/>
          <w:color w:val="1F1F1F"/>
          <w:rtl/>
        </w:rPr>
        <w:t>תיקון הלוגיקה ואינטגרציית מייל:</w:t>
      </w:r>
      <w:r>
        <w:rPr>
          <w:rFonts w:ascii="Arial" w:hAnsi="Arial" w:eastAsia="Arial" w:cs="Arial"/>
          <w:color w:val="1F1F1F"/>
          <w:rtl/>
        </w:rPr>
        <w:t xml:space="preserve"> יש לממש ולתקן את הפונקציונליות כך שברגע שלחיצה על כפתור "שלח" עוברת ולידציה, השרת יבצע </w:t>
      </w:r>
      <w:r>
        <w:rPr>
          <w:rFonts w:ascii="Arial" w:hAnsi="Arial" w:eastAsia="Arial" w:cs="Arial"/>
          <w:b/>
          <w:bCs/>
          <w:color w:val="1F1F1F"/>
          <w:rtl/>
        </w:rPr>
        <w:t>ניתוב אוטומטי ומיידי של כל נתוני הפנייה ישירות לתיבת המייל של שמעון</w:t>
      </w:r>
      <w:r>
        <w:rPr>
          <w:rFonts w:ascii="Arial" w:hAnsi="Arial" w:eastAsia="Arial" w:cs="Arial"/>
          <w:color w:val="1F1F1F"/>
          <w:rtl w:val="0"/>
        </w:rPr>
        <w:t xml:space="preserve"> (CFO</w:t>
      </w:r>
      <w:r>
        <w:rPr>
          <w:rFonts w:ascii="Arial" w:hAnsi="Arial" w:eastAsia="Arial" w:cs="Arial"/>
          <w:color w:val="1F1F1F"/>
          <w:rtl/>
        </w:rPr>
        <w:t xml:space="preserve"> / מנהל התפעול והרכש) לצורך ניהול </w:t>
      </w:r>
      <w:r>
        <w:rPr>
          <w:rFonts w:ascii="Arial" w:hAnsi="Arial" w:eastAsia="Arial" w:cs="Arial"/>
          <w:color w:val="1F1F1F"/>
          <w:rtl w:val="0"/>
        </w:rPr>
        <w:t>CRM</w:t>
      </w:r>
      <w:r>
        <w:rPr>
          <w:rFonts w:ascii="Arial" w:hAnsi="Arial" w:eastAsia="Arial" w:cs="Arial"/>
          <w:color w:val="1F1F1F"/>
          <w:rtl/>
        </w:rPr>
        <w:t xml:space="preserve"> ומעקב שוטף.</w:t>
      </w:r>
    </w:p>
    <w:p w14:paraId="00000049">
      <w:pPr>
        <w:numPr>
          <w:ilvl w:val="1"/>
          <w:numId w:val="21"/>
        </w:numPr>
        <w:pBdr>
          <w:top w:val="none" w:color="auto" w:sz="0" w:space="0"/>
          <w:left w:val="none" w:color="auto" w:sz="0" w:space="0"/>
          <w:bottom w:val="none" w:color="auto" w:sz="0" w:space="0"/>
          <w:right w:val="none" w:color="auto" w:sz="0" w:space="0"/>
          <w:between w:val="none" w:color="auto" w:sz="0" w:space="0"/>
        </w:pBdr>
        <w:shd w:val="clear" w:fill="auto"/>
        <w:bidi/>
        <w:spacing w:line="275" w:lineRule="auto"/>
        <w:ind w:right="650" w:hanging="360"/>
      </w:pPr>
      <w:r>
        <w:rPr>
          <w:rFonts w:ascii="Arial" w:hAnsi="Arial" w:eastAsia="Arial" w:cs="Arial"/>
          <w:b/>
          <w:bCs/>
          <w:color w:val="1F1F1F"/>
          <w:rtl/>
        </w:rPr>
        <w:t>חיווי חיובי למשתמש:</w:t>
      </w:r>
      <w:r>
        <w:rPr>
          <w:rFonts w:ascii="Arial" w:hAnsi="Arial" w:eastAsia="Arial" w:cs="Arial"/>
          <w:color w:val="1F1F1F"/>
          <w:rtl/>
        </w:rPr>
        <w:t xml:space="preserve"> לוודא כי השרת מחזיר סטטוס 200 </w:t>
      </w:r>
      <w:r>
        <w:rPr>
          <w:rFonts w:ascii="Arial" w:hAnsi="Arial" w:eastAsia="Arial" w:cs="Arial"/>
          <w:color w:val="1F1F1F"/>
          <w:rtl w:val="0"/>
        </w:rPr>
        <w:t>OK</w:t>
      </w:r>
      <w:r>
        <w:rPr>
          <w:rFonts w:ascii="Arial" w:hAnsi="Arial" w:eastAsia="Arial" w:cs="Arial"/>
          <w:color w:val="1F1F1F"/>
          <w:rtl/>
        </w:rPr>
        <w:t xml:space="preserve"> תקין המציג למשתמש הודעת הצלחה ברורה על המסך (הן בעברית והן באנגלית).</w:t>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D12C0DA7-EB13-41A6-8792-5DBF089CE04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167417B2-73C6-4E80-9491-DD5F64372A00}"/>
  </w:font>
  <w:font w:name="Wingdings">
    <w:panose1 w:val="05000000000000000000"/>
    <w:charset w:val="02"/>
    <w:family w:val="auto"/>
    <w:pitch w:val="default"/>
    <w:sig w:usb0="00000000" w:usb1="00000000" w:usb2="00000000" w:usb3="00000000" w:csb0="80000000" w:csb1="00000000"/>
    <w:embedRegular r:id="rId3" w:fontKey="{2E47609E-9330-4EA5-A82B-4BCA8A7DBE9B}"/>
  </w:font>
  <w:font w:name="Calibri">
    <w:panose1 w:val="020F0502020204030204"/>
    <w:charset w:val="00"/>
    <w:family w:val="swiss"/>
    <w:pitch w:val="default"/>
    <w:sig w:usb0="E4002EFF" w:usb1="C200247B" w:usb2="00000009" w:usb3="00000000" w:csb0="200001FF" w:csb1="00000000"/>
    <w:embedRegular r:id="rId4" w:fontKey="{9B47CD2C-3128-4E25-A7C5-31C9DE5FAA58}"/>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581B2E2F-037A-4929-9DAD-481C2E9858D1}"/>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9C8AC8EF"/>
    <w:multiLevelType w:val="multilevel"/>
    <w:tmpl w:val="9C8AC8EF"/>
    <w:lvl w:ilvl="0"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B5E306ED"/>
    <w:multiLevelType w:val="multilevel"/>
    <w:tmpl w:val="B5E306ED"/>
    <w:lvl w:ilvl="0"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BF205925"/>
    <w:multiLevelType w:val="multilevel"/>
    <w:tmpl w:val="BF205925"/>
    <w:lvl w:ilvl="0"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C8879AEF"/>
    <w:multiLevelType w:val="multilevel"/>
    <w:tmpl w:val="C8879AEF"/>
    <w:lvl w:ilvl="0"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CF092B84"/>
    <w:multiLevelType w:val="multilevel"/>
    <w:tmpl w:val="CF092B84"/>
    <w:lvl w:ilvl="0"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D7F9FE59"/>
    <w:multiLevelType w:val="multilevel"/>
    <w:tmpl w:val="D7F9FE59"/>
    <w:lvl w:ilvl="0"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DCBA6B53"/>
    <w:multiLevelType w:val="multilevel"/>
    <w:tmpl w:val="DCBA6B53"/>
    <w:lvl w:ilvl="0"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nsid w:val="F4B5D9F5"/>
    <w:multiLevelType w:val="multilevel"/>
    <w:tmpl w:val="F4B5D9F5"/>
    <w:lvl w:ilvl="0"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nsid w:val="0053208E"/>
    <w:multiLevelType w:val="multilevel"/>
    <w:tmpl w:val="0053208E"/>
    <w:lvl w:ilvl="0"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0248C179"/>
    <w:multiLevelType w:val="multilevel"/>
    <w:tmpl w:val="0248C179"/>
    <w:lvl w:ilvl="0"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
    <w:nsid w:val="03D62ECE"/>
    <w:multiLevelType w:val="multilevel"/>
    <w:tmpl w:val="03D62ECE"/>
    <w:lvl w:ilvl="0"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
    <w:nsid w:val="2470EC97"/>
    <w:multiLevelType w:val="multilevel"/>
    <w:tmpl w:val="2470EC97"/>
    <w:lvl w:ilvl="0"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
    <w:nsid w:val="25B654F3"/>
    <w:multiLevelType w:val="multilevel"/>
    <w:tmpl w:val="25B654F3"/>
    <w:lvl w:ilvl="0"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4">
    <w:nsid w:val="2A8F537B"/>
    <w:multiLevelType w:val="multilevel"/>
    <w:tmpl w:val="2A8F537B"/>
    <w:lvl w:ilvl="0"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5">
    <w:nsid w:val="4C1BAE26"/>
    <w:multiLevelType w:val="multilevel"/>
    <w:tmpl w:val="4C1BAE26"/>
    <w:lvl w:ilvl="0"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6">
    <w:nsid w:val="4D4DC07F"/>
    <w:multiLevelType w:val="multilevel"/>
    <w:tmpl w:val="4D4DC07F"/>
    <w:lvl w:ilvl="0"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7">
    <w:nsid w:val="59ADCABA"/>
    <w:multiLevelType w:val="multilevel"/>
    <w:tmpl w:val="59ADCABA"/>
    <w:lvl w:ilvl="0"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8">
    <w:nsid w:val="5A241D34"/>
    <w:multiLevelType w:val="multilevel"/>
    <w:tmpl w:val="5A241D34"/>
    <w:lvl w:ilvl="0"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9">
    <w:nsid w:val="60382F6E"/>
    <w:multiLevelType w:val="multilevel"/>
    <w:tmpl w:val="60382F6E"/>
    <w:lvl w:ilvl="0"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0">
    <w:nsid w:val="72183CF9"/>
    <w:multiLevelType w:val="multilevel"/>
    <w:tmpl w:val="72183CF9"/>
    <w:lvl w:ilvl="0"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9"/>
  </w:num>
  <w:num w:numId="2">
    <w:abstractNumId w:val="5"/>
  </w:num>
  <w:num w:numId="3">
    <w:abstractNumId w:val="17"/>
  </w:num>
  <w:num w:numId="4">
    <w:abstractNumId w:val="3"/>
  </w:num>
  <w:num w:numId="5">
    <w:abstractNumId w:val="2"/>
  </w:num>
  <w:num w:numId="6">
    <w:abstractNumId w:val="11"/>
  </w:num>
  <w:num w:numId="7">
    <w:abstractNumId w:val="13"/>
  </w:num>
  <w:num w:numId="8">
    <w:abstractNumId w:val="20"/>
  </w:num>
  <w:num w:numId="9">
    <w:abstractNumId w:val="10"/>
  </w:num>
  <w:num w:numId="10">
    <w:abstractNumId w:val="0"/>
  </w:num>
  <w:num w:numId="11">
    <w:abstractNumId w:val="14"/>
  </w:num>
  <w:num w:numId="12">
    <w:abstractNumId w:val="18"/>
  </w:num>
  <w:num w:numId="13">
    <w:abstractNumId w:val="4"/>
  </w:num>
  <w:num w:numId="14">
    <w:abstractNumId w:val="16"/>
  </w:num>
  <w:num w:numId="15">
    <w:abstractNumId w:val="8"/>
  </w:num>
  <w:num w:numId="16">
    <w:abstractNumId w:val="12"/>
  </w:num>
  <w:num w:numId="17">
    <w:abstractNumId w:val="7"/>
  </w:num>
  <w:num w:numId="18">
    <w:abstractNumId w:val="6"/>
  </w:num>
  <w:num w:numId="19">
    <w:abstractNumId w:val="1"/>
  </w:num>
  <w:num w:numId="20">
    <w:abstractNumId w:val="15"/>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088C7ECF"/>
    <w:rsid w:val="0C7D2E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937</Words>
  <Characters>5262</Characters>
  <TotalTime>0</TotalTime>
  <ScaleCrop>false</ScaleCrop>
  <LinksUpToDate>false</LinksUpToDate>
  <CharactersWithSpaces>6142</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2026-05-27T12:20:09Z</dcterms:created>
  <dc:creator>avine</dc:creator>
  <cp:lastModifiedBy>avine</cp:lastModifiedBy>
  <dcterms:modified xsi:type="dcterms:W3CDTF">2026-05-27T12:21:09Z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F38CBD72D2CD439FBE27BE10D55125B4_13</vt:lpwstr>
  </property>
  <property fmtid="{D5CDD505-2E9C-101B-9397-08002B2CF9AE}" pid="4" name="KSOTemplateDocerSaveRecord">
    <vt:lpwstr>eyJoZGlkIjoiYzQxNzI1ZGZjY2VhODE5YWFmZjUyMWQ2NjRlMGZiMjMifQ==</vt:lpwstr>
  </property>
</Properties>
</file>