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Ingestion &amp; Retrieval Pipeline</w:t>
      </w:r>
    </w:p>
    <w:p>
      <w:pPr>
        <w:spacing w:after="400"/>
      </w:pPr>
      <w:r>
        <w:rPr>
          <w:i/>
          <w:iCs/>
          <w:color w:val="555555"/>
          <w:sz w:val="22"/>
          <w:szCs w:val="22"/>
        </w:rPr>
        <w:t xml:space="preserve">Implementation Documentation — Phase 1 (Ingestion + Retrieval, No Agents)</w:t>
      </w:r>
    </w:p>
    <w:p>
      <w:pPr>
        <w:pStyle w:val="Heading1"/>
        <w:spacing w:after="150" w:before="300"/>
      </w:pPr>
      <w:r>
        <w:t xml:space="preserve">1. Purpose</w:t>
      </w:r>
    </w:p>
    <w:p>
      <w:pPr>
        <w:spacing w:after="150"/>
      </w:pPr>
      <w:r>
        <w:rPr>
          <w:sz w:val="22"/>
          <w:szCs w:val="22"/>
        </w:rPr>
        <w:t xml:space="preserve">Before building any AI agents, the first requirement was to prove a narrower thing: “Can the system find the right information?” Agent reasoning, planning, and tool use are all built on top of retrieval — if retrieval is unreliable, no amount of prompting or orchestration fixes it. This phase intentionally excludes LLM reasoning: it validates chunking, embedding, and search in isolation before any agent framework (LangGraph) is introduced.</w:t>
      </w:r>
    </w:p>
    <w:p>
      <w:pPr>
        <w:pStyle w:val="Heading1"/>
        <w:spacing w:after="150" w:before="300"/>
      </w:pPr>
      <w:r>
        <w:t xml:space="preserve">2. Pipeline Overview</w:t>
      </w:r>
    </w:p>
    <w:p>
      <w:pPr>
        <w:spacing w:after="150"/>
      </w:pPr>
      <w:r>
        <w:rPr>
          <w:sz w:val="22"/>
          <w:szCs w:val="22"/>
        </w:rPr>
        <w:t xml:space="preserve">Two stages were built, in order:</w:t>
      </w:r>
    </w:p>
    <w:p>
      <w:pPr>
        <w:pStyle w:val="ListParagraph"/>
        <w:numPr>
          <w:ilvl w:val="0"/>
          <w:numId w:val="1"/>
        </w:numPr>
        <w:spacing w:after="80"/>
      </w:pPr>
      <w:r>
        <w:t xml:space="preserve">Step 3 — Ingestion: turn raw Markdown docs into searchable embeddings stored in Postgres.</w:t>
      </w:r>
    </w:p>
    <w:p>
      <w:pPr>
        <w:pStyle w:val="ListParagraph"/>
        <w:numPr>
          <w:ilvl w:val="0"/>
          <w:numId w:val="1"/>
        </w:numPr>
        <w:spacing w:after="80"/>
      </w:pPr>
      <w:r>
        <w:t xml:space="preserve">Step 4 — Retrieval: query those embeddings directly, with no LLM involved, and inspect whether results are actually relevant.</w:t>
      </w:r>
    </w:p>
    <w:p>
      <w:pPr>
        <w:pStyle w:val="Heading2"/>
        <w:spacing w:after="120" w:before="250"/>
      </w:pPr>
      <w:r>
        <w:t xml:space="preserve">Ingestion flow</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Markdown docs (data/docs/*.md)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   Chunking (sliding window, char-based)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   Embedding (Ollama - nomic-embed-text, 768-dim)</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   Storage (PostgreSQL + pgvector, via SQLAlchemy ORM)</w:t>
      </w:r>
    </w:p>
    <w:p>
      <w:pPr>
        <w:pStyle w:val="Heading2"/>
        <w:spacing w:after="120" w:before="250"/>
      </w:pPr>
      <w:r>
        <w:t xml:space="preserve">Retrieval flow</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search(query)</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embed(query) via Ollama</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Hybrid SQL query:</w:t>
      </w:r>
      <w:r>
        <w:br/>
        <w:t xml:space="preserve"/>
      </w:r>
      <w:r>
        <w:rPr>
          <w:rFonts w:ascii="Consolas" w:cs="Consolas" w:eastAsia="Consolas" w:hAnsi="Consolas"/>
          <w:sz w:val="20"/>
          <w:szCs w:val="20"/>
        </w:rPr>
        <w:t xml:space="preserve">  - vector similarity (pgvector cosine distance)</w:t>
      </w:r>
      <w:r>
        <w:br/>
        <w:t xml:space="preserve"/>
      </w:r>
      <w:r>
        <w:rPr>
          <w:rFonts w:ascii="Consolas" w:cs="Consolas" w:eastAsia="Consolas" w:hAnsi="Consolas"/>
          <w:sz w:val="20"/>
          <w:szCs w:val="20"/>
        </w:rPr>
        <w:t xml:space="preserve">  - keyword rank (Postgres tsvector / ts_rank)</w:t>
      </w:r>
      <w:r>
        <w:br/>
        <w:t xml:space="preserve"/>
      </w:r>
      <w:r>
        <w:rPr>
          <w:rFonts w:ascii="Consolas" w:cs="Consolas" w:eastAsia="Consolas" w:hAnsi="Consolas"/>
          <w:sz w:val="20"/>
          <w:szCs w:val="20"/>
        </w:rPr>
        <w:t xml:space="preserve">  - weighted combination, ORDER BY combined score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Filter: drop results below MIN_VECTOR_SCORE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Return: [{ text, source, vector_score, keyword_score }, ...]</w:t>
      </w:r>
    </w:p>
    <w:p>
      <w:pPr>
        <w:pStyle w:val="Heading1"/>
        <w:spacing w:after="150" w:before="300"/>
      </w:pPr>
      <w:r>
        <w:t xml:space="preserve">3. Environment &amp;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DEBF7" w:val="clear"/>
          </w:tcPr>
          <w:p>
            <w:r>
              <w:rPr>
                <w:b/>
                <w:bCs/>
                <w:sz w:val="20"/>
                <w:szCs w:val="20"/>
              </w:rPr>
              <w:t xml:space="preserve">Component</w:t>
            </w:r>
          </w:p>
        </w:tc>
        <w:tc>
          <w:tcPr>
            <w:tcW w:type="dxa" w:w="6000"/>
            <w:shd w:fill="DDEBF7" w:val="clear"/>
          </w:tcPr>
          <w:p>
            <w:r>
              <w:rPr>
                <w:b/>
                <w:bCs/>
                <w:sz w:val="20"/>
                <w:szCs w:val="20"/>
              </w:rPr>
              <w:t xml:space="preserve">Choice</w:t>
            </w:r>
          </w:p>
        </w:tc>
      </w:tr>
      <w:tr>
        <w:tc>
          <w:tcPr>
            <w:tcW w:type="dxa" w:w="3000"/>
          </w:tcPr>
          <w:p>
            <w:r>
              <w:rPr>
                <w:b w:val="false"/>
                <w:bCs w:val="false"/>
                <w:sz w:val="20"/>
                <w:szCs w:val="20"/>
              </w:rPr>
              <w:t xml:space="preserve">Database</w:t>
            </w:r>
          </w:p>
        </w:tc>
        <w:tc>
          <w:tcPr>
            <w:tcW w:type="dxa" w:w="6000"/>
          </w:tcPr>
          <w:p>
            <w:r>
              <w:rPr>
                <w:b w:val="false"/>
                <w:bCs w:val="false"/>
                <w:sz w:val="20"/>
                <w:szCs w:val="20"/>
              </w:rPr>
              <w:t xml:space="preserve">PostgreSQL + pgvector extension, run via Docker Compose</w:t>
            </w:r>
          </w:p>
        </w:tc>
      </w:tr>
      <w:tr>
        <w:tc>
          <w:tcPr>
            <w:tcW w:type="dxa" w:w="3000"/>
          </w:tcPr>
          <w:p>
            <w:r>
              <w:rPr>
                <w:b w:val="false"/>
                <w:bCs w:val="false"/>
                <w:sz w:val="20"/>
                <w:szCs w:val="20"/>
              </w:rPr>
              <w:t xml:space="preserve">ORM</w:t>
            </w:r>
          </w:p>
        </w:tc>
        <w:tc>
          <w:tcPr>
            <w:tcW w:type="dxa" w:w="6000"/>
          </w:tcPr>
          <w:p>
            <w:r>
              <w:rPr>
                <w:b w:val="false"/>
                <w:bCs w:val="false"/>
                <w:sz w:val="20"/>
                <w:szCs w:val="20"/>
              </w:rPr>
              <w:t xml:space="preserve">SQLAlchemy 2.0 (declarative models, no raw schema.sql — extension + generated column created programmatically)</w:t>
            </w:r>
          </w:p>
        </w:tc>
      </w:tr>
      <w:tr>
        <w:tc>
          <w:tcPr>
            <w:tcW w:type="dxa" w:w="3000"/>
          </w:tcPr>
          <w:p>
            <w:r>
              <w:rPr>
                <w:b w:val="false"/>
                <w:bCs w:val="false"/>
                <w:sz w:val="20"/>
                <w:szCs w:val="20"/>
              </w:rPr>
              <w:t xml:space="preserve">Embeddings</w:t>
            </w:r>
          </w:p>
        </w:tc>
        <w:tc>
          <w:tcPr>
            <w:tcW w:type="dxa" w:w="6000"/>
          </w:tcPr>
          <w:p>
            <w:r>
              <w:rPr>
                <w:b w:val="false"/>
                <w:bCs w:val="false"/>
                <w:sz w:val="20"/>
                <w:szCs w:val="20"/>
              </w:rPr>
              <w:t xml:space="preserve">Ollama, model: nomic-embed-text (768-dimensional vectors)</w:t>
            </w:r>
          </w:p>
        </w:tc>
      </w:tr>
      <w:tr>
        <w:tc>
          <w:tcPr>
            <w:tcW w:type="dxa" w:w="3000"/>
          </w:tcPr>
          <w:p>
            <w:r>
              <w:rPr>
                <w:b w:val="false"/>
                <w:bCs w:val="false"/>
                <w:sz w:val="20"/>
                <w:szCs w:val="20"/>
              </w:rPr>
              <w:t xml:space="preserve">Vector index</w:t>
            </w:r>
          </w:p>
        </w:tc>
        <w:tc>
          <w:tcPr>
            <w:tcW w:type="dxa" w:w="6000"/>
          </w:tcPr>
          <w:p>
            <w:r>
              <w:rPr>
                <w:b w:val="false"/>
                <w:bCs w:val="false"/>
                <w:sz w:val="20"/>
                <w:szCs w:val="20"/>
              </w:rPr>
              <w:t xml:space="preserve">HNSW (cosine ops), via pgvector</w:t>
            </w:r>
          </w:p>
        </w:tc>
      </w:tr>
      <w:tr>
        <w:tc>
          <w:tcPr>
            <w:tcW w:type="dxa" w:w="3000"/>
          </w:tcPr>
          <w:p>
            <w:r>
              <w:rPr>
                <w:b w:val="false"/>
                <w:bCs w:val="false"/>
                <w:sz w:val="20"/>
                <w:szCs w:val="20"/>
              </w:rPr>
              <w:t xml:space="preserve">Keyword index</w:t>
            </w:r>
          </w:p>
        </w:tc>
        <w:tc>
          <w:tcPr>
            <w:tcW w:type="dxa" w:w="6000"/>
          </w:tcPr>
          <w:p>
            <w:r>
              <w:rPr>
                <w:b w:val="false"/>
                <w:bCs w:val="false"/>
                <w:sz w:val="20"/>
                <w:szCs w:val="20"/>
              </w:rPr>
              <w:t xml:space="preserve">Postgres GENERATED tsvector column + GIN index</w:t>
            </w:r>
          </w:p>
        </w:tc>
      </w:tr>
      <w:tr>
        <w:tc>
          <w:tcPr>
            <w:tcW w:type="dxa" w:w="3000"/>
          </w:tcPr>
          <w:p>
            <w:r>
              <w:rPr>
                <w:b w:val="false"/>
                <w:bCs w:val="false"/>
                <w:sz w:val="20"/>
                <w:szCs w:val="20"/>
              </w:rPr>
              <w:t xml:space="preserve">Language / libs</w:t>
            </w:r>
          </w:p>
        </w:tc>
        <w:tc>
          <w:tcPr>
            <w:tcW w:type="dxa" w:w="6000"/>
          </w:tcPr>
          <w:p>
            <w:r>
              <w:rPr>
                <w:b w:val="false"/>
                <w:bCs w:val="false"/>
                <w:sz w:val="20"/>
                <w:szCs w:val="20"/>
              </w:rPr>
              <w:t xml:space="preserve">Python — psycopg2 / SQLAlchemy, requests (for Ollama HTTP API)</w:t>
            </w:r>
          </w:p>
        </w:tc>
      </w:tr>
    </w:tbl>
    <w:p>
      <w:pPr>
        <w:pStyle w:val="Heading1"/>
        <w:spacing w:after="150" w:before="300"/>
      </w:pPr>
      <w:r>
        <w:t xml:space="preserve">4. Step 3 — Ingestion</w:t>
      </w:r>
    </w:p>
    <w:p>
      <w:pPr>
        <w:spacing w:after="150"/>
      </w:pPr>
      <w:r>
        <w:rPr>
          <w:sz w:val="22"/>
          <w:szCs w:val="22"/>
        </w:rPr>
        <w:t xml:space="preserve">Ingestion reads every Markdown file in data/docs/, splits each into overlapping chunks, calls Ollama to embed each chunk, and stores the result in Postgres.</w:t>
      </w:r>
    </w:p>
    <w:p>
      <w:pPr>
        <w:pStyle w:val="Heading2"/>
        <w:spacing w:after="120" w:before="250"/>
      </w:pPr>
      <w:r>
        <w:t xml:space="preserve">4.1 Database layer (db.py, models.py)</w:t>
      </w:r>
    </w:p>
    <w:p>
      <w:pPr>
        <w:spacing w:after="150"/>
      </w:pPr>
      <w:r>
        <w:rPr>
          <w:sz w:val="22"/>
          <w:szCs w:val="22"/>
        </w:rPr>
        <w:t xml:space="preserve">Connection handling and ORM models replaced the originally-planned schema.sql file. Two things a plain SQLAlchemy create_all() cannot do were handled explicitly:</w:t>
      </w:r>
    </w:p>
    <w:p>
      <w:pPr>
        <w:pStyle w:val="ListParagraph"/>
        <w:numPr>
          <w:ilvl w:val="0"/>
          <w:numId w:val="1"/>
        </w:numPr>
        <w:spacing w:after="80"/>
      </w:pPr>
      <w:r>
        <w:t xml:space="preserve">Enabling the pgvector Postgres extension (CREATE EXTENSION IF NOT EXISTS vector) — run once via an init_db() helper before table creation.</w:t>
      </w:r>
    </w:p>
    <w:p>
      <w:pPr>
        <w:pStyle w:val="ListParagraph"/>
        <w:numPr>
          <w:ilvl w:val="0"/>
          <w:numId w:val="1"/>
        </w:numPr>
        <w:spacing w:after="80"/>
      </w:pPr>
      <w:r>
        <w:t xml:space="preserve">The tsv full-text search column, mapped using SQLAlchemy's Computed(...) construct so Postgres auto-generates it from chunk_text on every insert (GENERATED ALWAYS AS ... STORED) — never written to directly by application code.</w:t>
      </w:r>
    </w:p>
    <w:p>
      <w:pPr>
        <w:spacing w:after="150"/>
      </w:pPr>
      <w:r>
        <w:rPr>
          <w:sz w:val="22"/>
          <w:szCs w:val="22"/>
        </w:rPr>
        <w:t xml:space="preserve">Models: Document (id, source, title, created_at) and Chunk (id, document_id, chunk_text, embedding vector(768), tsv, created_at), with an HNSW index on embedding and a GIN index on tsv, both declared in __table_args__.</w:t>
      </w:r>
    </w:p>
    <w:p>
      <w:pPr>
        <w:pStyle w:val="Heading2"/>
        <w:spacing w:after="120" w:before="250"/>
      </w:pPr>
      <w:r>
        <w:t xml:space="preserve">4.2 Chunking</w:t>
      </w:r>
    </w:p>
    <w:p>
      <w:pPr>
        <w:spacing w:after="150"/>
      </w:pPr>
      <w:r>
        <w:rPr>
          <w:sz w:val="22"/>
          <w:szCs w:val="22"/>
        </w:rPr>
        <w:t xml:space="preserve">A simple character-based sliding window (500 chars, 50 char overlap) was used to keep Phase 1 minimal. Testing surfaced that this occasionally cuts mid-sentence — noted as a follow-up improvement (switch to header-aware or sentence-aware chunking) rather than a blocker.</w:t>
      </w:r>
    </w:p>
    <w:p>
      <w:pPr>
        <w:pStyle w:val="Heading2"/>
        <w:spacing w:after="120" w:before="250"/>
      </w:pPr>
      <w:r>
        <w:t xml:space="preserve">4.3 Embedding</w:t>
      </w:r>
    </w:p>
    <w:p>
      <w:pPr>
        <w:spacing w:after="150"/>
      </w:pPr>
      <w:r>
        <w:rPr>
          <w:sz w:val="22"/>
          <w:szCs w:val="22"/>
        </w:rPr>
        <w:t xml:space="preserve">Each chunk is sent to Ollama's local HTTP API (POST /api/embeddings) using nomic-embed-text, returning a 768-dimension vector stored alongside the chunk text.</w:t>
      </w:r>
    </w:p>
    <w:p>
      <w:pPr>
        <w:pStyle w:val="Heading2"/>
        <w:spacing w:after="120" w:before="250"/>
      </w:pPr>
      <w:r>
        <w:t xml:space="preserve">4.4 Example source document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data/docs/checkout.md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Checkout Service</w:t>
      </w:r>
      <w:r>
        <w:br/>
        <w:t xml:space="preserve"/>
      </w:r>
      <w:r>
        <w:rPr>
          <w:rFonts w:ascii="Consolas" w:cs="Consolas" w:eastAsia="Consolas" w:hAnsi="Consolas"/>
          <w:sz w:val="20"/>
          <w:szCs w:val="20"/>
        </w:rPr>
        <w:t xml:space="preserve">## Database connection pool</w:t>
      </w:r>
      <w:r>
        <w:br/>
        <w:t xml:space="preserve"/>
      </w:r>
      <w:r>
        <w:rPr>
          <w:rFonts w:ascii="Consolas" w:cs="Consolas" w:eastAsia="Consolas" w:hAnsi="Consolas"/>
          <w:sz w:val="20"/>
          <w:szCs w:val="20"/>
        </w:rPr>
        <w:t xml:space="preserve">max_connections=50</w:t>
      </w:r>
      <w:r>
        <w:br/>
        <w:t xml:space="preserve"/>
      </w:r>
      <w:r>
        <w:rPr>
          <w:rFonts w:ascii="Consolas" w:cs="Consolas" w:eastAsia="Consolas" w:hAnsi="Consolas"/>
          <w:sz w:val="20"/>
          <w:szCs w:val="20"/>
        </w:rPr>
        <w:t xml:space="preserve">## Known issue: High latency</w:t>
      </w:r>
      <w:r>
        <w:br/>
        <w:t xml:space="preserve"/>
      </w:r>
      <w:r>
        <w:rPr>
          <w:rFonts w:ascii="Consolas" w:cs="Consolas" w:eastAsia="Consolas" w:hAnsi="Consolas"/>
          <w:sz w:val="20"/>
          <w:szCs w:val="20"/>
        </w:rPr>
        <w:t xml:space="preserve">High latency happens when the DB pool is exhausted.</w:t>
      </w:r>
      <w:r>
        <w:br/>
        <w:t xml:space="preserve"/>
      </w:r>
      <w:r>
        <w:rPr>
          <w:rFonts w:ascii="Consolas" w:cs="Consolas" w:eastAsia="Consolas" w:hAnsi="Consolas"/>
          <w:sz w:val="20"/>
          <w:szCs w:val="20"/>
        </w:rPr>
        <w:t xml:space="preserve">### Fix</w:t>
      </w:r>
      <w:r>
        <w:br/>
        <w:t xml:space="preserve"/>
      </w:r>
      <w:r>
        <w:rPr>
          <w:rFonts w:ascii="Consolas" w:cs="Consolas" w:eastAsia="Consolas" w:hAnsi="Consolas"/>
          <w:sz w:val="20"/>
          <w:szCs w:val="20"/>
        </w:rPr>
        <w:t xml:space="preserve">Increase pool size.</w:t>
      </w:r>
    </w:p>
    <w:p>
      <w:pPr>
        <w:spacing w:after="150"/>
      </w:pPr>
      <w:r>
        <w:rPr>
          <w:sz w:val="22"/>
          <w:szCs w:val="22"/>
        </w:rPr>
        <w:t xml:space="preserve">Five additional docs (auth-service, payments-service, kubernetes-deployment, redis-cache, and an intentionally unrelated onboarding doc) were added later to stress-test cross-document retrieval — see Section 6.</w:t>
      </w:r>
    </w:p>
    <w:p>
      <w:pPr>
        <w:pStyle w:val="Heading1"/>
        <w:spacing w:after="150" w:before="300"/>
      </w:pPr>
      <w:r>
        <w:t xml:space="preserve">5. Step 4 — Retrieval (No AI)</w:t>
      </w:r>
    </w:p>
    <w:p>
      <w:pPr>
        <w:spacing w:after="150"/>
      </w:pPr>
      <w:r>
        <w:rPr>
          <w:sz w:val="22"/>
          <w:szCs w:val="22"/>
        </w:rPr>
        <w:t xml:space="preserve">A standalone search(query) function was built and tested before any agent/LangGraph code was written. It takes a plain string, embeds it, and runs a single hybrid SQL query against Postgres:</w:t>
      </w:r>
    </w:p>
    <w:p>
      <w:pPr>
        <w:pStyle w:val="ListParagraph"/>
        <w:numPr>
          <w:ilvl w:val="0"/>
          <w:numId w:val="1"/>
        </w:numPr>
        <w:spacing w:after="80"/>
      </w:pPr>
      <w:r>
        <w:t xml:space="preserve">Vector score: 1 − cosine_distance (pgvector's &lt;=&gt; operator), weighted 0.6</w:t>
      </w:r>
    </w:p>
    <w:p>
      <w:pPr>
        <w:pStyle w:val="ListParagraph"/>
        <w:numPr>
          <w:ilvl w:val="0"/>
          <w:numId w:val="1"/>
        </w:numPr>
        <w:spacing w:after="80"/>
      </w:pPr>
      <w:r>
        <w:t xml:space="preserve">Keyword score: ts_rank against the generated tsv column, weighted 0.4</w:t>
      </w:r>
    </w:p>
    <w:p>
      <w:pPr>
        <w:pStyle w:val="ListParagraph"/>
        <w:numPr>
          <w:ilvl w:val="0"/>
          <w:numId w:val="1"/>
        </w:numPr>
        <w:spacing w:after="80"/>
      </w:pPr>
      <w:r>
        <w:t xml:space="preserve">Combined score determines result ordering (ORDER BY weighted sum DESC)</w:t>
      </w:r>
    </w:p>
    <w:p>
      <w:pPr>
        <w:pStyle w:val="ListParagraph"/>
        <w:numPr>
          <w:ilvl w:val="0"/>
          <w:numId w:val="1"/>
        </w:numPr>
        <w:spacing w:after="80"/>
      </w:pPr>
      <w:r>
        <w:t xml:space="preserve">A MIN_VECTOR_SCORE threshold filters out low-relevance results instead of always returning top_k regardless of quality</w:t>
      </w:r>
    </w:p>
    <w:p>
      <w:pPr>
        <w:pStyle w:val="Heading2"/>
        <w:spacing w:after="120" w:before="250"/>
      </w:pPr>
      <w:r>
        <w:t xml:space="preserve">Expected output shape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search("checkout latency")</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text: "High latency happens when DB pool is exhausted",</w:t>
      </w:r>
      <w:r>
        <w:br/>
        <w:t xml:space="preserve"/>
      </w:r>
      <w:r>
        <w:rPr>
          <w:rFonts w:ascii="Consolas" w:cs="Consolas" w:eastAsia="Consolas" w:hAnsi="Consolas"/>
          <w:sz w:val="20"/>
          <w:szCs w:val="20"/>
        </w:rPr>
        <w:t xml:space="preserve">    source: "checkout.md",</w:t>
      </w:r>
      <w:r>
        <w:br/>
        <w:t xml:space="preserve"/>
      </w:r>
      <w:r>
        <w:rPr>
          <w:rFonts w:ascii="Consolas" w:cs="Consolas" w:eastAsia="Consolas" w:hAnsi="Consolas"/>
          <w:sz w:val="20"/>
          <w:szCs w:val="20"/>
        </w:rPr>
        <w:t xml:space="preserve">    vector_score: 0.68,</w:t>
      </w:r>
      <w:r>
        <w:br/>
        <w:t xml:space="preserve"/>
      </w:r>
      <w:r>
        <w:rPr>
          <w:rFonts w:ascii="Consolas" w:cs="Consolas" w:eastAsia="Consolas" w:hAnsi="Consolas"/>
          <w:sz w:val="20"/>
          <w:szCs w:val="20"/>
        </w:rPr>
        <w:t xml:space="preserve">    keyword_score: 0.47</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p>
    <w:p>
      <w:pPr>
        <w:pStyle w:val="Heading1"/>
        <w:spacing w:after="150" w:before="300"/>
      </w:pPr>
      <w:r>
        <w:t xml:space="preserve">6. Testing &amp; Findings</w:t>
      </w:r>
    </w:p>
    <w:p>
      <w:pPr>
        <w:spacing w:after="150"/>
      </w:pPr>
      <w:r>
        <w:rPr>
          <w:sz w:val="22"/>
          <w:szCs w:val="22"/>
        </w:rPr>
        <w:t xml:space="preserve">Validation was done by running real queries against the CLI (search.py) and inspecting whether the ranking made sense — deliberately before connecting anything to an agent.</w:t>
      </w:r>
    </w:p>
    <w:p>
      <w:pPr>
        <w:pStyle w:val="Heading2"/>
        <w:spacing w:after="120" w:before="250"/>
      </w:pPr>
      <w:r>
        <w:t xml:space="preserve">6.1 Semantic matching confirmed</w:t>
      </w:r>
    </w:p>
    <w:p>
      <w:pPr>
        <w:spacing w:after="150"/>
      </w:pPr>
      <w:r>
        <w:rPr>
          <w:sz w:val="22"/>
          <w:szCs w:val="22"/>
        </w:rPr>
        <w:t xml:space="preserve">Query “why is checkout slow” (zero literal word overlap with the source doc) still correctly ranked the right chunk first (vector score 0.586 vs 0.503), confirming embeddings were capturing meaning, not just keyword overlap.</w:t>
      </w:r>
    </w:p>
    <w:p>
      <w:pPr>
        <w:pStyle w:val="Heading2"/>
        <w:spacing w:after="120" w:before="250"/>
      </w:pPr>
      <w:r>
        <w:t xml:space="preserve">6.2 Duplicate ingestion bug found</w:t>
      </w:r>
    </w:p>
    <w:p>
      <w:pPr>
        <w:spacing w:after="150"/>
      </w:pPr>
      <w:r>
        <w:rPr>
          <w:sz w:val="22"/>
          <w:szCs w:val="22"/>
        </w:rPr>
        <w:t xml:space="preserve">Re-running ingest.py without clearing existing rows produced duplicate document/chunk rows, visible as identical duplicate results in search output. Fix applied: TRUNCATE documents, chunks RESTART IDENTITY CASCADE; before re-ingesting. Flagged as a needed future improvement: add delete-existing-before-insert logic directly into ingest.py.</w:t>
      </w:r>
    </w:p>
    <w:p>
      <w:pPr>
        <w:pStyle w:val="Heading2"/>
        <w:spacing w:after="120" w:before="250"/>
      </w:pPr>
      <w:r>
        <w:t xml:space="preserve">6.3 No-match queries exposed a scoring gap</w:t>
      </w:r>
    </w:p>
    <w:p>
      <w:pPr>
        <w:spacing w:after="150"/>
      </w:pPr>
      <w:r>
        <w:rPr>
          <w:sz w:val="22"/>
          <w:szCs w:val="22"/>
        </w:rPr>
        <w:t xml:space="preserve">An intentionally unrelated document (onboarding.md, covering HR topics) was added to test irrelevant queries. Query “how do I request time off” correctly ranked onboarding.md first, but its score (0.53) was not clearly separated from clearly wrong results from other documents (0.45–0.47) — meaning an agent consuming unfiltered results could cite an irrelevant document with false confidence.</w:t>
      </w:r>
    </w:p>
    <w:p>
      <w:pPr>
        <w:spacing w:after="150"/>
      </w:pPr>
      <w:r>
        <w:rPr>
          <w:sz w:val="22"/>
          <w:szCs w:val="22"/>
        </w:rPr>
        <w:t xml:space="preserve">Fix applied: introduced MIN_VECTOR_SCORE (initial value 0.55, based on observed scores) in search.py so results below the threshold are dropped rather than returned. This value is treated as tunable, not fixed, and should be revisited as more queries and documents are tested.</w:t>
      </w:r>
    </w:p>
    <w:p>
      <w:pPr>
        <w:pStyle w:val="Heading2"/>
        <w:spacing w:after="120" w:before="250"/>
      </w:pPr>
      <w:r>
        <w:t xml:space="preserve">6.4 Cross-document test set</w:t>
      </w:r>
    </w:p>
    <w:p>
      <w:pPr>
        <w:spacing w:after="150"/>
      </w:pPr>
      <w:r>
        <w:rPr>
          <w:sz w:val="22"/>
          <w:szCs w:val="22"/>
        </w:rPr>
        <w:t xml:space="preserve">Six documents covering overlapping topics were used to confirm retrieval discriminates correctly rather than always returning the same source:</w:t>
      </w:r>
    </w:p>
    <w:p>
      <w:pPr>
        <w:pStyle w:val="ListParagraph"/>
        <w:numPr>
          <w:ilvl w:val="0"/>
          <w:numId w:val="1"/>
        </w:numPr>
        <w:spacing w:after="80"/>
      </w:pPr>
      <w:r>
        <w:t xml:space="preserve">checkout.md — DB connection pool / latency</w:t>
      </w:r>
    </w:p>
    <w:p>
      <w:pPr>
        <w:pStyle w:val="ListParagraph"/>
        <w:numPr>
          <w:ilvl w:val="0"/>
          <w:numId w:val="1"/>
        </w:numPr>
        <w:spacing w:after="80"/>
      </w:pPr>
      <w:r>
        <w:t xml:space="preserve">auth-service.md — login failures, signing key cache</w:t>
      </w:r>
    </w:p>
    <w:p>
      <w:pPr>
        <w:pStyle w:val="ListParagraph"/>
        <w:numPr>
          <w:ilvl w:val="0"/>
          <w:numId w:val="1"/>
        </w:numPr>
        <w:spacing w:after="80"/>
      </w:pPr>
      <w:r>
        <w:t xml:space="preserve">payments-service.md — duplicate charges, webhook delays</w:t>
      </w:r>
    </w:p>
    <w:p>
      <w:pPr>
        <w:pStyle w:val="ListParagraph"/>
        <w:numPr>
          <w:ilvl w:val="0"/>
          <w:numId w:val="1"/>
        </w:numPr>
        <w:spacing w:after="80"/>
      </w:pPr>
      <w:r>
        <w:t xml:space="preserve">kubernetes-deployment.md — CrashLoopBackOff, rollout issues</w:t>
      </w:r>
    </w:p>
    <w:p>
      <w:pPr>
        <w:pStyle w:val="ListParagraph"/>
        <w:numPr>
          <w:ilvl w:val="0"/>
          <w:numId w:val="1"/>
        </w:numPr>
        <w:spacing w:after="80"/>
      </w:pPr>
      <w:r>
        <w:t xml:space="preserve">redis-cache.md — eviction, connection pool exhaustion</w:t>
      </w:r>
    </w:p>
    <w:p>
      <w:pPr>
        <w:pStyle w:val="ListParagraph"/>
        <w:numPr>
          <w:ilvl w:val="0"/>
          <w:numId w:val="1"/>
        </w:numPr>
        <w:spacing w:after="80"/>
      </w:pPr>
      <w:r>
        <w:t xml:space="preserve">onboarding.md — unrelated control document (HR/onboarding topics)</w:t>
      </w:r>
    </w:p>
    <w:p>
      <w:pPr>
        <w:pStyle w:val="Heading1"/>
        <w:spacing w:after="150" w:before="300"/>
      </w:pPr>
      <w:r>
        <w:t xml:space="preserve">7. Status &amp; Next Steps</w:t>
      </w:r>
    </w:p>
    <w:p>
      <w:pPr>
        <w:spacing w:after="150"/>
      </w:pPr>
      <w:r>
        <w:rPr>
          <w:sz w:val="22"/>
          <w:szCs w:val="22"/>
        </w:rPr>
        <w:t xml:space="preserve">Retrieval is functioning end-to-end: ingestion populates Postgres correctly, hybrid search returns sensibly ranked results, and a relevance floor now prevents low-confidence results from being returned silently. Remaining follow-ups before wiring retrieval into an agent (Step 5):</w:t>
      </w:r>
    </w:p>
    <w:p>
      <w:pPr>
        <w:pStyle w:val="ListParagraph"/>
        <w:numPr>
          <w:ilvl w:val="0"/>
          <w:numId w:val="1"/>
        </w:numPr>
        <w:spacing w:after="80"/>
      </w:pPr>
      <w:r>
        <w:t xml:space="preserve">Fix ingest.py to avoid duplicate rows on re-ingestion (delete-or-upsert before insert).</w:t>
      </w:r>
    </w:p>
    <w:p>
      <w:pPr>
        <w:pStyle w:val="ListParagraph"/>
        <w:numPr>
          <w:ilvl w:val="0"/>
          <w:numId w:val="1"/>
        </w:numPr>
        <w:spacing w:after="80"/>
      </w:pPr>
      <w:r>
        <w:t xml:space="preserve">Improve chunking to respect markdown headers/sentence boundaries instead of a fixed character window.</w:t>
      </w:r>
    </w:p>
    <w:p>
      <w:pPr>
        <w:pStyle w:val="ListParagraph"/>
        <w:numPr>
          <w:ilvl w:val="0"/>
          <w:numId w:val="1"/>
        </w:numPr>
        <w:spacing w:after="80"/>
      </w:pPr>
      <w:r>
        <w:t xml:space="preserve">Continue tuning MIN_VECTOR_SCORE and the vector/keyword weight split against a larger, more varied document set.</w:t>
      </w:r>
    </w:p>
    <w:p>
      <w:pPr>
        <w:pStyle w:val="ListParagraph"/>
        <w:numPr>
          <w:ilvl w:val="0"/>
          <w:numId w:val="1"/>
        </w:numPr>
        <w:spacing w:after="80"/>
      </w:pPr>
      <w:r>
        <w:t xml:space="preserve">Only once these hold up consistently: wrap search() as a callable tool for a single LangGraph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2026-07-24T21:51:27.313Z</dcterms:created>
  <dcterms:modified xsi:type="dcterms:W3CDTF">2026-07-24T21:51:27.330Z</dcterms:modified>
</cp:coreProperties>
</file>

<file path=docProps/custom.xml><?xml version="1.0" encoding="utf-8"?>
<Properties xmlns="http://schemas.openxmlformats.org/officeDocument/2006/custom-properties" xmlns:vt="http://schemas.openxmlformats.org/officeDocument/2006/docPropsVTypes"/>
</file>