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left"/>
      </w:pPr>
      <w:r>
        <w:rPr>
          <w:rFonts w:ascii="Calibri" w:cs="Calibri" w:eastAsia="Calibri" w:hAnsi="Calibri"/>
          <w:b/>
          <w:bCs/>
          <w:color w:val="0071E3"/>
          <w:spacing w:val="20"/>
          <w:sz w:val="18"/>
          <w:szCs w:val="18"/>
        </w:rPr>
        <w:t xml:space="preserve">A NEW RECURRING REVENUE LAYER FOR</w:t>
      </w:r>
    </w:p>
    <w:p>
      <w:pPr>
        <w:spacing w:after="100"/>
      </w:pPr>
      <w:r>
        <w:rPr>
          <w:rFonts w:ascii="Calibri" w:cs="Calibri" w:eastAsia="Calibri" w:hAnsi="Calibri"/>
          <w:b/>
          <w:bCs/>
          <w:color w:val="1A1A2E"/>
          <w:sz w:val="52"/>
          <w:szCs w:val="52"/>
        </w:rPr>
        <w:t xml:space="preserve">The Speaking Community</w:t>
      </w:r>
    </w:p>
    <w:p>
      <w:pPr>
        <w:spacing w:after="500"/>
      </w:pPr>
      <w:r>
        <w:rPr>
          <w:rFonts w:ascii="Calibri" w:cs="Calibri" w:eastAsia="Calibri" w:hAnsi="Calibri"/>
          <w:color w:val="595959"/>
          <w:sz w:val="30"/>
          <w:szCs w:val="30"/>
        </w:rPr>
        <w:t xml:space="preserve">Strategy, Features &amp; Execution Plan</w:t>
      </w:r>
    </w:p>
    <w:p>
      <w:pPr>
        <w:spacing w:after="60"/>
      </w:pPr>
      <w:r>
        <w:rPr>
          <w:rFonts w:ascii="Calibri" w:cs="Calibri" w:eastAsia="Calibri" w:hAnsi="Calibri"/>
          <w:b/>
          <w:bCs/>
          <w:color w:val="2B2B2B"/>
          <w:sz w:val="22"/>
          <w:szCs w:val="22"/>
        </w:rPr>
        <w:t xml:space="preserve">Prepared for: Janhavi Panwar</w:t>
      </w:r>
    </w:p>
    <w:p>
      <w:pPr>
        <w:spacing w:after="60"/>
      </w:pPr>
      <w:r>
        <w:rPr>
          <w:rFonts w:ascii="Calibri" w:cs="Calibri" w:eastAsia="Calibri" w:hAnsi="Calibri"/>
          <w:color w:val="2B2B2B"/>
          <w:sz w:val="22"/>
          <w:szCs w:val="22"/>
        </w:rPr>
        <w:t xml:space="preserve">Prepared by: Avi Sharma, J Curve by Avi</w:t>
      </w:r>
    </w:p>
    <w:p>
      <w:pPr>
        <w:spacing w:after="900"/>
      </w:pPr>
      <w:r>
        <w:rPr>
          <w:rFonts w:ascii="Calibri" w:cs="Calibri" w:eastAsia="Calibri" w:hAnsi="Calibri"/>
          <w:color w:val="595959"/>
          <w:sz w:val="22"/>
          <w:szCs w:val="22"/>
        </w:rPr>
        <w:t xml:space="preserve">July 2026</w:t>
      </w:r>
    </w:p>
    <w:p>
      <w:r>
        <w:br w:type="page"/>
      </w:r>
    </w:p>
    <w:p>
      <w:pPr>
        <w:pStyle w:val="Heading1"/>
        <w:pBdr>
          <w:bottom w:val="single" w:color="0071E3" w:sz="8" w:space="4"/>
        </w:pBdr>
        <w:spacing w:after="200" w:before="480"/>
      </w:pPr>
      <w:r>
        <w:rPr>
          <w:rFonts w:ascii="Calibri" w:cs="Calibri" w:eastAsia="Calibri" w:hAnsi="Calibri"/>
          <w:b/>
          <w:bCs/>
          <w:color w:val="1A1A2E"/>
          <w:sz w:val="30"/>
          <w:szCs w:val="30"/>
        </w:rPr>
        <w:t xml:space="preserve">1. The Vision</w:t>
      </w:r>
    </w:p>
    <w:p>
      <w:pPr>
        <w:spacing w:after="160" w:line="300"/>
      </w:pPr>
      <w:r>
        <w:rPr>
          <w:rFonts w:ascii="Calibri" w:cs="Calibri" w:eastAsia="Calibri" w:hAnsi="Calibri"/>
          <w:b w:val="false"/>
          <w:bCs w:val="false"/>
          <w:i w:val="false"/>
          <w:iCs w:val="false"/>
          <w:color w:val="2B2B2B"/>
          <w:sz w:val="21"/>
          <w:szCs w:val="21"/>
        </w:rPr>
        <w:t xml:space="preserve">Right now, the funnel stops in one place: a webinar sells a ₹4,000–6,000 course, and everyone who doesn't buy on that call simply disappears. There are 20,000–30,000 people in that position today — they raised their hand, they showed intent, and then the funnel had nothing left to offer them.</w:t>
      </w:r>
    </w:p>
    <w:p>
      <w:pPr>
        <w:spacing w:after="160" w:line="300"/>
      </w:pPr>
      <w:r>
        <w:rPr>
          <w:rFonts w:ascii="Calibri" w:cs="Calibri" w:eastAsia="Calibri" w:hAnsi="Calibri"/>
          <w:b w:val="false"/>
          <w:bCs w:val="false"/>
          <w:i w:val="false"/>
          <w:iCs w:val="false"/>
          <w:color w:val="2B2B2B"/>
          <w:sz w:val="21"/>
          <w:szCs w:val="21"/>
        </w:rPr>
        <w:t xml:space="preserve">The Speaking Community is the missing layer. It's a low-priced, high-engagement monthly membership built around one simple idea: people don't get fluent by watching more videos — they get fluent by speaking out loud, getting corrected, and doing it again the next day. That's something no course or webinar replay can deliver, and it's something your audience genuinely cannot get for free.</w:t>
      </w:r>
    </w:p>
    <w:p>
      <w:pPr>
        <w:spacing w:after="160" w:line="300"/>
      </w:pPr>
      <w:r>
        <w:rPr>
          <w:rFonts w:ascii="Calibri" w:cs="Calibri" w:eastAsia="Calibri" w:hAnsi="Calibri"/>
          <w:b w:val="false"/>
          <w:bCs w:val="false"/>
          <w:i w:val="false"/>
          <w:iCs w:val="false"/>
          <w:color w:val="2B2B2B"/>
          <w:sz w:val="21"/>
          <w:szCs w:val="21"/>
        </w:rPr>
        <w:t xml:space="preserve">This isn't a replacement for the high-ticket courses — it's a feeder. It re-engages the audience that already said "not yet" at ₹4,000+, gives them a lower-risk way to start, and builds a pipeline of proven, motivated members who are far more likely to ascend into the premium courses once they've experienced real results inside the community.</w:t>
      </w:r>
    </w:p>
    <w:p>
      <w:pPr>
        <w:pStyle w:val="Heading1"/>
        <w:pBdr>
          <w:bottom w:val="single" w:color="0071E3" w:sz="8" w:space="4"/>
        </w:pBdr>
        <w:spacing w:after="200" w:before="480"/>
      </w:pPr>
      <w:r>
        <w:rPr>
          <w:rFonts w:ascii="Calibri" w:cs="Calibri" w:eastAsia="Calibri" w:hAnsi="Calibri"/>
          <w:b/>
          <w:bCs/>
          <w:color w:val="1A1A2E"/>
          <w:sz w:val="30"/>
          <w:szCs w:val="30"/>
        </w:rPr>
        <w:t xml:space="preserve">2. Why This, Why Now</w:t>
      </w:r>
    </w:p>
    <w:p>
      <w:pPr>
        <w:pStyle w:val="ListParagraph"/>
        <w:numPr>
          <w:ilvl w:val="0"/>
          <w:numId w:val="2"/>
        </w:numPr>
        <w:spacing w:after="100" w:line="280"/>
      </w:pPr>
      <w:r>
        <w:rPr>
          <w:rFonts w:ascii="Calibri" w:cs="Calibri" w:eastAsia="Calibri" w:hAnsi="Calibri"/>
          <w:b/>
          <w:bCs/>
          <w:color w:val="1A1A2E"/>
          <w:sz w:val="21"/>
          <w:szCs w:val="21"/>
        </w:rPr>
        <w:t xml:space="preserve">An existing 20,000–30,000-person list </w:t>
      </w:r>
      <w:r>
        <w:rPr>
          <w:rFonts w:ascii="Calibri" w:cs="Calibri" w:eastAsia="Calibri" w:hAnsi="Calibri"/>
          <w:color w:val="2B2B2B"/>
          <w:sz w:val="21"/>
          <w:szCs w:val="21"/>
        </w:rPr>
        <w:t xml:space="preserve"> people who attended a webinar but didn't purchase — a warm, already-qualified audience sitting idle.</w:t>
      </w:r>
    </w:p>
    <w:p>
      <w:pPr>
        <w:pStyle w:val="ListParagraph"/>
        <w:numPr>
          <w:ilvl w:val="0"/>
          <w:numId w:val="2"/>
        </w:numPr>
        <w:spacing w:after="100" w:line="280"/>
      </w:pPr>
      <w:r>
        <w:rPr>
          <w:rFonts w:ascii="Calibri" w:cs="Calibri" w:eastAsia="Calibri" w:hAnsi="Calibri"/>
          <w:b/>
          <w:bCs/>
          <w:color w:val="1A1A2E"/>
          <w:sz w:val="21"/>
          <w:szCs w:val="21"/>
        </w:rPr>
        <w:t xml:space="preserve">Organic reach on YouTube and Instagram </w:t>
      </w:r>
      <w:r>
        <w:rPr>
          <w:rFonts w:ascii="Calibri" w:cs="Calibri" w:eastAsia="Calibri" w:hAnsi="Calibri"/>
          <w:color w:val="2B2B2B"/>
          <w:sz w:val="21"/>
          <w:szCs w:val="21"/>
        </w:rPr>
        <w:t xml:space="preserve"> that can promote the community at zero incremental ad spend, separate from the paid funnel your performance marketing partner runs.</w:t>
      </w:r>
    </w:p>
    <w:p>
      <w:pPr>
        <w:pStyle w:val="ListParagraph"/>
        <w:numPr>
          <w:ilvl w:val="0"/>
          <w:numId w:val="2"/>
        </w:numPr>
        <w:spacing w:after="100" w:line="280"/>
      </w:pPr>
      <w:r>
        <w:rPr>
          <w:rFonts w:ascii="Calibri" w:cs="Calibri" w:eastAsia="Calibri" w:hAnsi="Calibri"/>
          <w:b/>
          <w:bCs/>
          <w:color w:val="1A1A2E"/>
          <w:sz w:val="21"/>
          <w:szCs w:val="21"/>
        </w:rPr>
        <w:t xml:space="preserve">A clear gap in the market </w:t>
      </w:r>
      <w:r>
        <w:rPr>
          <w:rFonts w:ascii="Calibri" w:cs="Calibri" w:eastAsia="Calibri" w:hAnsi="Calibri"/>
          <w:color w:val="2B2B2B"/>
          <w:sz w:val="21"/>
          <w:szCs w:val="21"/>
        </w:rPr>
        <w:t xml:space="preserve"> between a ₹4,000+ course and free YouTube content — nothing in between that offers structured, ongoing, community-driven practice.</w:t>
      </w:r>
    </w:p>
    <w:p>
      <w:pPr>
        <w:pStyle w:val="ListParagraph"/>
        <w:numPr>
          <w:ilvl w:val="0"/>
          <w:numId w:val="2"/>
        </w:numPr>
        <w:spacing w:after="100" w:line="280"/>
      </w:pPr>
      <w:r>
        <w:rPr>
          <w:rFonts w:ascii="Calibri" w:cs="Calibri" w:eastAsia="Calibri" w:hAnsi="Calibri"/>
          <w:b/>
          <w:bCs/>
          <w:color w:val="1A1A2E"/>
          <w:sz w:val="21"/>
          <w:szCs w:val="21"/>
        </w:rPr>
        <w:t xml:space="preserve">Recurring revenue vs. one-time revenue </w:t>
      </w:r>
      <w:r>
        <w:rPr>
          <w:rFonts w:ascii="Calibri" w:cs="Calibri" w:eastAsia="Calibri" w:hAnsi="Calibri"/>
          <w:color w:val="2B2B2B"/>
          <w:sz w:val="21"/>
          <w:szCs w:val="21"/>
        </w:rPr>
        <w:t xml:space="preserve"> — this converts a one-time-marketing-cost audience into predictable monthly revenue, and increases total lifetime value per lead well beyond what the course funnel alone captures.</w:t>
      </w:r>
    </w:p>
    <w:p>
      <w:pPr>
        <w:pStyle w:val="Heading1"/>
        <w:pBdr>
          <w:bottom w:val="single" w:color="0071E3" w:sz="8" w:space="4"/>
        </w:pBdr>
        <w:spacing w:after="200" w:before="480"/>
      </w:pPr>
      <w:r>
        <w:rPr>
          <w:rFonts w:ascii="Calibri" w:cs="Calibri" w:eastAsia="Calibri" w:hAnsi="Calibri"/>
          <w:b/>
          <w:bCs/>
          <w:color w:val="1A1A2E"/>
          <w:sz w:val="30"/>
          <w:szCs w:val="30"/>
        </w:rPr>
        <w:t xml:space="preserve">3. Audience &amp; Positioning</w:t>
      </w:r>
    </w:p>
    <w:p>
      <w:pPr>
        <w:pStyle w:val="Heading2"/>
        <w:spacing w:after="120" w:before="300"/>
      </w:pPr>
      <w:r>
        <w:rPr>
          <w:rFonts w:ascii="Calibri" w:cs="Calibri" w:eastAsia="Calibri" w:hAnsi="Calibri"/>
          <w:b/>
          <w:bCs/>
          <w:color w:val="0071E3"/>
          <w:sz w:val="24"/>
          <w:szCs w:val="24"/>
        </w:rPr>
        <w:t xml:space="preserve">Who this is for</w:t>
      </w:r>
    </w:p>
    <w:p>
      <w:pPr>
        <w:spacing w:after="160" w:line="300"/>
      </w:pPr>
      <w:r>
        <w:rPr>
          <w:rFonts w:ascii="Calibri" w:cs="Calibri" w:eastAsia="Calibri" w:hAnsi="Calibri"/>
          <w:b w:val="false"/>
          <w:bCs w:val="false"/>
          <w:i w:val="false"/>
          <w:iCs w:val="false"/>
          <w:color w:val="2B2B2B"/>
          <w:sz w:val="21"/>
          <w:szCs w:val="21"/>
        </w:rPr>
        <w:t xml:space="preserve">People who registered for a webinar because they want to speak English more confidently — for interviews, work, or everyday confidence — but weren't ready to commit ₹4,000+ upfront. They need structure, accountability, and practice partners more than they need another lecture.</w:t>
      </w:r>
    </w:p>
    <w:p>
      <w:pPr>
        <w:pStyle w:val="Heading2"/>
        <w:spacing w:after="120" w:before="300"/>
      </w:pPr>
      <w:r>
        <w:rPr>
          <w:rFonts w:ascii="Calibri" w:cs="Calibri" w:eastAsia="Calibri" w:hAnsi="Calibri"/>
          <w:b/>
          <w:bCs/>
          <w:color w:val="0071E3"/>
          <w:sz w:val="24"/>
          <w:szCs w:val="24"/>
        </w:rPr>
        <w:t xml:space="preserve">How it's positioned</w:t>
      </w:r>
    </w:p>
    <w:p>
      <w:pPr>
        <w:spacing w:after="160" w:line="300"/>
      </w:pPr>
      <w:r>
        <w:rPr>
          <w:rFonts w:ascii="Calibri" w:cs="Calibri" w:eastAsia="Calibri" w:hAnsi="Calibri"/>
          <w:b w:val="false"/>
          <w:bCs w:val="false"/>
          <w:i w:val="false"/>
          <w:iCs w:val="false"/>
          <w:color w:val="2B2B2B"/>
          <w:sz w:val="21"/>
          <w:szCs w:val="21"/>
        </w:rPr>
        <w:t xml:space="preserve">Not "a cheaper course." It's positioned as a daily practice habit and a community of people on the same journey — the value is in showing up, speaking, getting feedback, and watching yourself improve week over week, with Janhavi's guidance and a real trainer's structure behind it.</w:t>
      </w:r>
    </w:p>
    <w:p>
      <w:pPr>
        <w:pStyle w:val="Heading1"/>
        <w:pBdr>
          <w:bottom w:val="single" w:color="0071E3" w:sz="8" w:space="4"/>
        </w:pBdr>
        <w:spacing w:after="200" w:before="480"/>
      </w:pPr>
      <w:r>
        <w:rPr>
          <w:rFonts w:ascii="Calibri" w:cs="Calibri" w:eastAsia="Calibri" w:hAnsi="Calibri"/>
          <w:b/>
          <w:bCs/>
          <w:color w:val="1A1A2E"/>
          <w:sz w:val="30"/>
          <w:szCs w:val="30"/>
        </w:rPr>
        <w:t xml:space="preserve">4. Pricing</w:t>
      </w:r>
    </w:p>
    <w:p>
      <w:pPr>
        <w:spacing w:after="160" w:line="300"/>
      </w:pPr>
      <w:r>
        <w:rPr>
          <w:rFonts w:ascii="Calibri" w:cs="Calibri" w:eastAsia="Calibri" w:hAnsi="Calibri"/>
          <w:b w:val="false"/>
          <w:bCs w:val="false"/>
          <w:i w:val="false"/>
          <w:iCs w:val="false"/>
          <w:color w:val="2B2B2B"/>
          <w:sz w:val="21"/>
          <w:szCs w:val="21"/>
        </w:rPr>
        <w:t xml:space="preserve">The pricing is designed to reward the first believers, sustain a healthy margin once proven, and pull in annual cash flow from day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5700"/>
      </w:tblGrid>
      <w:tr>
        <w:trPr>
          <w:tblHeader/>
        </w:trPr>
        <w:tc>
          <w:tcPr>
            <w:tcW w:type="dxa" w:w="26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Tier</w:t>
            </w:r>
          </w:p>
        </w:tc>
        <w:tc>
          <w:tcPr>
            <w:tcW w:type="dxa" w:w="21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Price</w:t>
            </w:r>
          </w:p>
        </w:tc>
        <w:tc>
          <w:tcPr>
            <w:tcW w:type="dxa" w:w="57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Details</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Founding Member</w:t>
            </w:r>
          </w:p>
        </w:tc>
        <w:tc>
          <w:tcPr>
            <w:tcW w:type="dxa" w:w="21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₹699/month</w:t>
            </w:r>
          </w:p>
        </w:tc>
        <w:tc>
          <w:tcPr>
            <w:tcW w:type="dxa" w:w="57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First 100 members only. Price locked for life as long as membership stays active. Creates urgency + rewards early believers.</w:t>
            </w:r>
          </w:p>
        </w:tc>
      </w:tr>
      <w:tr>
        <w:tc>
          <w:tcPr>
            <w:tcW w:type="dxa" w:w="2600"/>
            <w:tcMar>
              <w:top w:type="dxa" w:w="120"/>
              <w:left w:type="dxa" w:w="160"/>
              <w:bottom w:type="dxa" w:w="120"/>
              <w:right w:type="dxa" w:w="160"/>
            </w:tcMar>
            <w:vAlign w:val="center"/>
          </w:tcPr>
          <w:p>
            <w:r>
              <w:rPr>
                <w:rFonts w:ascii="Calibri" w:cs="Calibri" w:eastAsia="Calibri" w:hAnsi="Calibri"/>
                <w:b/>
                <w:bCs/>
                <w:color w:val="2B2B2B"/>
                <w:sz w:val="20"/>
                <w:szCs w:val="20"/>
              </w:rPr>
              <w:t xml:space="preserve">Standard</w:t>
            </w:r>
          </w:p>
        </w:tc>
        <w:tc>
          <w:tcPr>
            <w:tcW w:type="dxa" w:w="21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₹999/month</w:t>
            </w:r>
          </w:p>
        </w:tc>
        <w:tc>
          <w:tcPr>
            <w:tcW w:type="dxa" w:w="57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Opens once the first 100 founding spots are filled. Full access to all features.</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Annual</w:t>
            </w:r>
          </w:p>
        </w:tc>
        <w:tc>
          <w:tcPr>
            <w:tcW w:type="dxa" w:w="21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₹7,999/year</w:t>
            </w:r>
          </w:p>
        </w:tc>
        <w:tc>
          <w:tcPr>
            <w:tcW w:type="dxa" w:w="57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Equivalent to ~₹666/month — roughly 33% off the standard monthly rate. Offered to both founding and standard members to strengthen upfront cash flow.</w:t>
            </w:r>
          </w:p>
        </w:tc>
      </w:tr>
    </w:tbl>
    <w:p>
      <w:pPr>
        <w:spacing w:before="240"/>
      </w:pPr>
    </w:p>
    <w:p>
      <w:pPr>
        <w:pStyle w:val="Heading2"/>
        <w:spacing w:after="120" w:before="300"/>
      </w:pPr>
      <w:r>
        <w:rPr>
          <w:rFonts w:ascii="Calibri" w:cs="Calibri" w:eastAsia="Calibri" w:hAnsi="Calibri"/>
          <w:b/>
          <w:bCs/>
          <w:color w:val="0071E3"/>
          <w:sz w:val="24"/>
          <w:szCs w:val="24"/>
        </w:rPr>
        <w:t xml:space="preserve">Revenue potential from the existing list alone</w:t>
      </w:r>
    </w:p>
    <w:p>
      <w:pPr>
        <w:spacing w:after="160" w:line="300"/>
      </w:pPr>
      <w:r>
        <w:rPr>
          <w:rFonts w:ascii="Calibri" w:cs="Calibri" w:eastAsia="Calibri" w:hAnsi="Calibri"/>
          <w:b w:val="false"/>
          <w:bCs w:val="false"/>
          <w:i w:val="false"/>
          <w:iCs w:val="false"/>
          <w:color w:val="2B2B2B"/>
          <w:sz w:val="21"/>
          <w:szCs w:val="21"/>
        </w:rPr>
        <w:t xml:space="preserve">Even a conservative slice of the 20,000–30,000 non-converted webinar registrants generates meaningful recurring revenue before a single new lead is added through organic content: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Conversion of warm list (~25,000)</w:t>
            </w:r>
          </w:p>
        </w:tc>
        <w:tc>
          <w:tcPr>
            <w:tcW w:type="dxa" w:w="36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Paying Members</w:t>
            </w:r>
          </w:p>
        </w:tc>
        <w:tc>
          <w:tcPr>
            <w:tcW w:type="dxa" w:w="36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Monthly Recurring Revenue</w:t>
            </w:r>
          </w:p>
        </w:tc>
      </w:tr>
      <w:tr>
        <w:tc>
          <w:tcPr>
            <w:tcW w:type="dxa" w:w="32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1%</w:t>
            </w:r>
          </w:p>
        </w:tc>
        <w:tc>
          <w:tcPr>
            <w:tcW w:type="dxa" w:w="36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~250 members</w:t>
            </w:r>
          </w:p>
        </w:tc>
        <w:tc>
          <w:tcPr>
            <w:tcW w:type="dxa" w:w="36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~₹1.75L/month (founding rate)</w:t>
            </w:r>
          </w:p>
        </w:tc>
      </w:tr>
      <w:tr>
        <w:tc>
          <w:tcPr>
            <w:tcW w:type="dxa" w:w="32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2%</w:t>
            </w:r>
          </w:p>
        </w:tc>
        <w:tc>
          <w:tcPr>
            <w:tcW w:type="dxa" w:w="36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~500 members</w:t>
            </w:r>
          </w:p>
        </w:tc>
        <w:tc>
          <w:tcPr>
            <w:tcW w:type="dxa" w:w="36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~₹3.5L/month (founding rate)</w:t>
            </w:r>
          </w:p>
        </w:tc>
      </w:tr>
      <w:tr>
        <w:tc>
          <w:tcPr>
            <w:tcW w:type="dxa" w:w="32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3% (with organic added)</w:t>
            </w:r>
          </w:p>
        </w:tc>
        <w:tc>
          <w:tcPr>
            <w:tcW w:type="dxa" w:w="36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~750+ members</w:t>
            </w:r>
          </w:p>
        </w:tc>
        <w:tc>
          <w:tcPr>
            <w:tcW w:type="dxa" w:w="36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₹5L+/month blended, growing monthly as organic joins at ₹999</w:t>
            </w:r>
          </w:p>
        </w:tc>
      </w:tr>
    </w:tbl>
    <w:p>
      <w:r>
        <w:br w:type="page"/>
      </w:r>
    </w:p>
    <w:p>
      <w:pPr>
        <w:pStyle w:val="Heading1"/>
        <w:pBdr>
          <w:bottom w:val="single" w:color="0071E3" w:sz="8" w:space="4"/>
        </w:pBdr>
        <w:spacing w:after="200" w:before="480"/>
      </w:pPr>
      <w:r>
        <w:rPr>
          <w:rFonts w:ascii="Calibri" w:cs="Calibri" w:eastAsia="Calibri" w:hAnsi="Calibri"/>
          <w:b/>
          <w:bCs/>
          <w:color w:val="1A1A2E"/>
          <w:sz w:val="30"/>
          <w:szCs w:val="30"/>
        </w:rPr>
        <w:t xml:space="preserve">5. Core Features</w:t>
      </w:r>
    </w:p>
    <w:p>
      <w:pPr>
        <w:spacing w:after="160" w:line="300"/>
      </w:pPr>
      <w:r>
        <w:rPr>
          <w:rFonts w:ascii="Calibri" w:cs="Calibri" w:eastAsia="Calibri" w:hAnsi="Calibri"/>
          <w:b w:val="false"/>
          <w:bCs w:val="false"/>
          <w:i w:val="false"/>
          <w:iCs w:val="false"/>
          <w:color w:val="2B2B2B"/>
          <w:sz w:val="21"/>
          <w:szCs w:val="21"/>
        </w:rPr>
        <w:t xml:space="preserve">Every feature below is built around one principle: this is a practice habit, not a content library. Members should feel like they're doing something every day, not just consuming something.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7800"/>
      </w:tblGrid>
      <w:tr>
        <w:trPr>
          <w:tblHeader/>
        </w:trPr>
        <w:tc>
          <w:tcPr>
            <w:tcW w:type="dxa" w:w="26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Feature</w:t>
            </w:r>
          </w:p>
        </w:tc>
        <w:tc>
          <w:tcPr>
            <w:tcW w:type="dxa" w:w="78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What it does &amp; why it matters</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Buddy System</w:t>
            </w:r>
          </w:p>
        </w:tc>
        <w:tc>
          <w:tcPr>
            <w:tcW w:type="dxa" w:w="78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Every new member is paired with an accountability partner on day one — the single highest-leverage retention move, since nobody wants to show up to an empty room.</w:t>
            </w:r>
          </w:p>
        </w:tc>
      </w:tr>
      <w:tr>
        <w:tc>
          <w:tcPr>
            <w:tcW w:type="dxa" w:w="2600"/>
            <w:tcMar>
              <w:top w:type="dxa" w:w="120"/>
              <w:left w:type="dxa" w:w="160"/>
              <w:bottom w:type="dxa" w:w="120"/>
              <w:right w:type="dxa" w:w="160"/>
            </w:tcMar>
            <w:vAlign w:val="center"/>
          </w:tcPr>
          <w:p>
            <w:r>
              <w:rPr>
                <w:rFonts w:ascii="Calibri" w:cs="Calibri" w:eastAsia="Calibri" w:hAnsi="Calibri"/>
                <w:b/>
                <w:bCs/>
                <w:color w:val="2B2B2B"/>
                <w:sz w:val="20"/>
                <w:szCs w:val="20"/>
              </w:rPr>
              <w:t xml:space="preserve">Daily Speaking Feed</w:t>
            </w:r>
          </w:p>
        </w:tc>
        <w:tc>
          <w:tcPr>
            <w:tcW w:type="dxa" w:w="78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A daily topic is posted; members record and upload a 60–90 second spoken response. Peers give structured feedback (clarity, confidence, grammar). This is the core habit-forming loop of the community.</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Trainer's Pick &amp; Live Reactions</w:t>
            </w:r>
          </w:p>
        </w:tc>
        <w:tc>
          <w:tcPr>
            <w:tcW w:type="dxa" w:w="78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One submitted video is highlighted daily by the trainer or Janhavi — a strong motivator, since every member is implicitly competing to be featured.</w:t>
            </w:r>
          </w:p>
        </w:tc>
      </w:tr>
      <w:tr>
        <w:tc>
          <w:tcPr>
            <w:tcW w:type="dxa" w:w="2600"/>
            <w:tcMar>
              <w:top w:type="dxa" w:w="120"/>
              <w:left w:type="dxa" w:w="160"/>
              <w:bottom w:type="dxa" w:w="120"/>
              <w:right w:type="dxa" w:w="160"/>
            </w:tcMar>
            <w:vAlign w:val="center"/>
          </w:tcPr>
          <w:p>
            <w:r>
              <w:rPr>
                <w:rFonts w:ascii="Calibri" w:cs="Calibri" w:eastAsia="Calibri" w:hAnsi="Calibri"/>
                <w:b/>
                <w:bCs/>
                <w:color w:val="2B2B2B"/>
                <w:sz w:val="20"/>
                <w:szCs w:val="20"/>
              </w:rPr>
              <w:t xml:space="preserve">Streaks &amp; Levels</w:t>
            </w:r>
          </w:p>
        </w:tc>
        <w:tc>
          <w:tcPr>
            <w:tcW w:type="dxa" w:w="78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Consecutive-day streak tracking, plus a 4-stage progression: Beginner → Conversational → Fluent → Interview-Ready. Gives members a visible sense of where they stand.</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Word &amp; Meaning of the Day</w:t>
            </w:r>
          </w:p>
        </w:tc>
        <w:tc>
          <w:tcPr>
            <w:tcW w:type="dxa" w:w="78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A daily vocabulary drop, tied back into the feed — members are nudged to use the day's word in their next spoken video, connecting passive content to active practice.</w:t>
            </w:r>
          </w:p>
        </w:tc>
      </w:tr>
      <w:tr>
        <w:tc>
          <w:tcPr>
            <w:tcW w:type="dxa" w:w="2600"/>
            <w:tcMar>
              <w:top w:type="dxa" w:w="120"/>
              <w:left w:type="dxa" w:w="160"/>
              <w:bottom w:type="dxa" w:w="120"/>
              <w:right w:type="dxa" w:w="160"/>
            </w:tcMar>
            <w:vAlign w:val="center"/>
          </w:tcPr>
          <w:p>
            <w:r>
              <w:rPr>
                <w:rFonts w:ascii="Calibri" w:cs="Calibri" w:eastAsia="Calibri" w:hAnsi="Calibri"/>
                <w:b/>
                <w:bCs/>
                <w:color w:val="2B2B2B"/>
                <w:sz w:val="20"/>
                <w:szCs w:val="20"/>
              </w:rPr>
              <w:t xml:space="preserve">Weekly Live Trainer Session</w:t>
            </w:r>
          </w:p>
        </w:tc>
        <w:tc>
          <w:tcPr>
            <w:tcW w:type="dxa" w:w="78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A hired trainer runs structured roleplay simulations (interviews, phone calls, presentations) rather than generic lectures. Sessions are recorded and dropped into the feed for members who miss it live.</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Doubt Resolution Thread</w:t>
            </w:r>
          </w:p>
        </w:tc>
        <w:tc>
          <w:tcPr>
            <w:tcW w:type="dxa" w:w="78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A lightweight, always-on channel for quick grammar/vocabulary questions, answered by the trainer or senior members.</w:t>
            </w:r>
          </w:p>
        </w:tc>
      </w:tr>
      <w:tr>
        <w:tc>
          <w:tcPr>
            <w:tcW w:type="dxa" w:w="2600"/>
            <w:tcMar>
              <w:top w:type="dxa" w:w="120"/>
              <w:left w:type="dxa" w:w="160"/>
              <w:bottom w:type="dxa" w:w="120"/>
              <w:right w:type="dxa" w:w="160"/>
            </w:tcMar>
            <w:vAlign w:val="center"/>
          </w:tcPr>
          <w:p>
            <w:r>
              <w:rPr>
                <w:rFonts w:ascii="Calibri" w:cs="Calibri" w:eastAsia="Calibri" w:hAnsi="Calibri"/>
                <w:b/>
                <w:bCs/>
                <w:color w:val="2B2B2B"/>
                <w:sz w:val="20"/>
                <w:szCs w:val="20"/>
              </w:rPr>
              <w:t xml:space="preserve">Certificates &amp; Shareable Milestones</w:t>
            </w:r>
          </w:p>
        </w:tc>
        <w:tc>
          <w:tcPr>
            <w:tcW w:type="dxa" w:w="78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Auto-generated, brandable certificates on milestone completion (e.g. "30-Day Speaking Challenge") designed to be posted on Instagram/LinkedIn — a built-in organic marketing loop.</w:t>
            </w:r>
          </w:p>
        </w:tc>
      </w:tr>
      <w:tr>
        <w:tc>
          <w:tcPr>
            <w:tcW w:type="dxa" w:w="2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Referral Rewards</w:t>
            </w:r>
          </w:p>
        </w:tc>
        <w:tc>
          <w:tcPr>
            <w:tcW w:type="dxa" w:w="78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One free month for every friend referred who stays active 30+ days. With a base this large, even a modest referral rate compounds acquisition without ad spend.</w:t>
            </w:r>
          </w:p>
        </w:tc>
      </w:tr>
    </w:tbl>
    <w:p>
      <w:r>
        <w:br w:type="page"/>
      </w:r>
    </w:p>
    <w:p>
      <w:pPr>
        <w:pStyle w:val="Heading1"/>
        <w:pBdr>
          <w:bottom w:val="single" w:color="0071E3" w:sz="8" w:space="4"/>
        </w:pBdr>
        <w:spacing w:after="200" w:before="480"/>
      </w:pPr>
      <w:r>
        <w:rPr>
          <w:rFonts w:ascii="Calibri" w:cs="Calibri" w:eastAsia="Calibri" w:hAnsi="Calibri"/>
          <w:b/>
          <w:bCs/>
          <w:color w:val="1A1A2E"/>
          <w:sz w:val="30"/>
          <w:szCs w:val="30"/>
        </w:rPr>
        <w:t xml:space="preserve">6. The Progression Path</w:t>
      </w:r>
    </w:p>
    <w:p>
      <w:pPr>
        <w:spacing w:after="160" w:line="300"/>
      </w:pPr>
      <w:r>
        <w:rPr>
          <w:rFonts w:ascii="Calibri" w:cs="Calibri" w:eastAsia="Calibri" w:hAnsi="Calibri"/>
          <w:b w:val="false"/>
          <w:bCs w:val="false"/>
          <w:i w:val="false"/>
          <w:iCs w:val="false"/>
          <w:color w:val="2B2B2B"/>
          <w:sz w:val="21"/>
          <w:szCs w:val="21"/>
        </w:rPr>
        <w:t xml:space="preserve">New members are given a clear stage-based journey rather than an open, overwhelming library. Each stage has visible completion criteria, so members always know exactly where they stand and what's next.</w:t>
      </w:r>
    </w:p>
    <w:p>
      <w:pPr>
        <w:pStyle w:val="ListParagraph"/>
        <w:numPr>
          <w:ilvl w:val="0"/>
          <w:numId w:val="2"/>
        </w:numPr>
        <w:spacing w:after="100" w:line="280"/>
      </w:pPr>
      <w:r>
        <w:rPr>
          <w:rFonts w:ascii="Calibri" w:cs="Calibri" w:eastAsia="Calibri" w:hAnsi="Calibri"/>
          <w:b/>
          <w:bCs/>
          <w:color w:val="1A1A2E"/>
          <w:sz w:val="21"/>
          <w:szCs w:val="21"/>
        </w:rPr>
        <w:t xml:space="preserve">Stage 1: Confidence.  </w:t>
      </w:r>
      <w:r>
        <w:rPr>
          <w:rFonts w:ascii="Calibri" w:cs="Calibri" w:eastAsia="Calibri" w:hAnsi="Calibri"/>
          <w:color w:val="2B2B2B"/>
          <w:sz w:val="21"/>
          <w:szCs w:val="21"/>
        </w:rPr>
        <w:t xml:space="preserve"> — Build the habit of speaking daily, get comfortable on camera, meet your buddy.</w:t>
      </w:r>
    </w:p>
    <w:p>
      <w:pPr>
        <w:pStyle w:val="ListParagraph"/>
        <w:numPr>
          <w:ilvl w:val="0"/>
          <w:numId w:val="2"/>
        </w:numPr>
        <w:spacing w:after="100" w:line="280"/>
      </w:pPr>
      <w:r>
        <w:rPr>
          <w:rFonts w:ascii="Calibri" w:cs="Calibri" w:eastAsia="Calibri" w:hAnsi="Calibri"/>
          <w:b/>
          <w:bCs/>
          <w:color w:val="1A1A2E"/>
          <w:sz w:val="21"/>
          <w:szCs w:val="21"/>
        </w:rPr>
        <w:t xml:space="preserve">Stage 2: Conversational.  </w:t>
      </w:r>
      <w:r>
        <w:rPr>
          <w:rFonts w:ascii="Calibri" w:cs="Calibri" w:eastAsia="Calibri" w:hAnsi="Calibri"/>
          <w:color w:val="2B2B2B"/>
          <w:sz w:val="21"/>
          <w:szCs w:val="21"/>
        </w:rPr>
        <w:t xml:space="preserve"> — Structured conversation practice, weekly live roleplay, first vocabulary milestones.</w:t>
      </w:r>
    </w:p>
    <w:p>
      <w:pPr>
        <w:pStyle w:val="ListParagraph"/>
        <w:numPr>
          <w:ilvl w:val="0"/>
          <w:numId w:val="2"/>
        </w:numPr>
        <w:spacing w:after="100" w:line="280"/>
      </w:pPr>
      <w:r>
        <w:rPr>
          <w:rFonts w:ascii="Calibri" w:cs="Calibri" w:eastAsia="Calibri" w:hAnsi="Calibri"/>
          <w:b/>
          <w:bCs/>
          <w:color w:val="1A1A2E"/>
          <w:sz w:val="21"/>
          <w:szCs w:val="21"/>
        </w:rPr>
        <w:t xml:space="preserve">Stage 3: Fluent.  </w:t>
      </w:r>
      <w:r>
        <w:rPr>
          <w:rFonts w:ascii="Calibri" w:cs="Calibri" w:eastAsia="Calibri" w:hAnsi="Calibri"/>
          <w:color w:val="2B2B2B"/>
          <w:sz w:val="21"/>
          <w:szCs w:val="21"/>
        </w:rPr>
        <w:t xml:space="preserve"> — Extended speaking, idiom and accent refinement, consistent streak maintenance.</w:t>
      </w:r>
    </w:p>
    <w:p>
      <w:pPr>
        <w:pStyle w:val="ListParagraph"/>
        <w:numPr>
          <w:ilvl w:val="0"/>
          <w:numId w:val="2"/>
        </w:numPr>
        <w:spacing w:after="100" w:line="280"/>
      </w:pPr>
      <w:r>
        <w:rPr>
          <w:rFonts w:ascii="Calibri" w:cs="Calibri" w:eastAsia="Calibri" w:hAnsi="Calibri"/>
          <w:b/>
          <w:bCs/>
          <w:color w:val="1A1A2E"/>
          <w:sz w:val="21"/>
          <w:szCs w:val="21"/>
        </w:rPr>
        <w:t xml:space="preserve">Stage 4: Interview-Ready.  </w:t>
      </w:r>
      <w:r>
        <w:rPr>
          <w:rFonts w:ascii="Calibri" w:cs="Calibri" w:eastAsia="Calibri" w:hAnsi="Calibri"/>
          <w:color w:val="2B2B2B"/>
          <w:sz w:val="21"/>
          <w:szCs w:val="21"/>
        </w:rPr>
        <w:t xml:space="preserve"> — Interview simulations, presentation practice, certificate of completion, eligible to mentor newer members.</w:t>
      </w:r>
    </w:p>
    <w:p>
      <w:pPr>
        <w:spacing w:after="160" w:line="300"/>
      </w:pPr>
      <w:r>
        <w:rPr>
          <w:rFonts w:ascii="Calibri" w:cs="Calibri" w:eastAsia="Calibri" w:hAnsi="Calibri"/>
          <w:b w:val="false"/>
          <w:bCs w:val="false"/>
          <w:i w:val="false"/>
          <w:iCs w:val="false"/>
          <w:color w:val="2B2B2B"/>
          <w:sz w:val="21"/>
          <w:szCs w:val="21"/>
        </w:rPr>
        <w:t xml:space="preserve">This progression also gives natural checkpoints for celebrating wins publicly — which becomes free organic marketing content for the channel.</w:t>
      </w:r>
    </w:p>
    <w:p>
      <w:pPr>
        <w:pStyle w:val="Heading1"/>
        <w:pBdr>
          <w:bottom w:val="single" w:color="0071E3" w:sz="8" w:space="4"/>
        </w:pBdr>
        <w:spacing w:after="200" w:before="480"/>
      </w:pPr>
      <w:r>
        <w:rPr>
          <w:rFonts w:ascii="Calibri" w:cs="Calibri" w:eastAsia="Calibri" w:hAnsi="Calibri"/>
          <w:b/>
          <w:bCs/>
          <w:color w:val="1A1A2E"/>
          <w:sz w:val="30"/>
          <w:szCs w:val="30"/>
        </w:rPr>
        <w:t xml:space="preserve">7. Platform &amp; Execution Approach</w:t>
      </w:r>
    </w:p>
    <w:p>
      <w:pPr>
        <w:spacing w:after="160" w:line="300"/>
      </w:pPr>
      <w:r>
        <w:rPr>
          <w:rFonts w:ascii="Calibri" w:cs="Calibri" w:eastAsia="Calibri" w:hAnsi="Calibri"/>
          <w:b w:val="false"/>
          <w:bCs w:val="false"/>
          <w:i w:val="false"/>
          <w:iCs w:val="false"/>
          <w:color w:val="2B2B2B"/>
          <w:sz w:val="21"/>
          <w:szCs w:val="21"/>
        </w:rPr>
        <w:t xml:space="preserve">The platform will be custom-built (via Avi's development partner) rather than assembled from off-the-shelf tools, so it can be tailored exactly to the feed-and-practice model above. Key build principles for v1:</w:t>
      </w:r>
    </w:p>
    <w:p>
      <w:pPr>
        <w:pStyle w:val="ListParagraph"/>
        <w:numPr>
          <w:ilvl w:val="0"/>
          <w:numId w:val="2"/>
        </w:numPr>
        <w:spacing w:after="100" w:line="280"/>
      </w:pPr>
      <w:r>
        <w:rPr>
          <w:rFonts w:ascii="Calibri" w:cs="Calibri" w:eastAsia="Calibri" w:hAnsi="Calibri"/>
          <w:b/>
          <w:bCs/>
          <w:color w:val="1A1A2E"/>
          <w:sz w:val="21"/>
          <w:szCs w:val="21"/>
        </w:rPr>
        <w:t xml:space="preserve">Upload-based video, not native recording.  </w:t>
      </w:r>
      <w:r>
        <w:rPr>
          <w:rFonts w:ascii="Calibri" w:cs="Calibri" w:eastAsia="Calibri" w:hAnsi="Calibri"/>
          <w:color w:val="2B2B2B"/>
          <w:sz w:val="21"/>
          <w:szCs w:val="21"/>
        </w:rPr>
        <w:t xml:space="preserve"> — record elsewhere, upload here. Keeps the build lean and avoids the storage/compression overhead of native in-app recording.</w:t>
      </w:r>
    </w:p>
    <w:p>
      <w:pPr>
        <w:pStyle w:val="ListParagraph"/>
        <w:numPr>
          <w:ilvl w:val="0"/>
          <w:numId w:val="2"/>
        </w:numPr>
        <w:spacing w:after="100" w:line="280"/>
      </w:pPr>
      <w:r>
        <w:rPr>
          <w:rFonts w:ascii="Calibri" w:cs="Calibri" w:eastAsia="Calibri" w:hAnsi="Calibri"/>
          <w:b/>
          <w:bCs/>
          <w:color w:val="1A1A2E"/>
          <w:sz w:val="21"/>
          <w:szCs w:val="21"/>
        </w:rPr>
        <w:t xml:space="preserve">Phone-number login  </w:t>
      </w:r>
      <w:r>
        <w:rPr>
          <w:rFonts w:ascii="Calibri" w:cs="Calibri" w:eastAsia="Calibri" w:hAnsi="Calibri"/>
          <w:color w:val="2B2B2B"/>
          <w:sz w:val="21"/>
          <w:szCs w:val="21"/>
        </w:rPr>
        <w:t xml:space="preserve"> (OTP-based) as the primary login, since the audience is WhatsApp-native — don't force an email-only flow.</w:t>
      </w:r>
    </w:p>
    <w:p>
      <w:pPr>
        <w:pStyle w:val="ListParagraph"/>
        <w:numPr>
          <w:ilvl w:val="0"/>
          <w:numId w:val="2"/>
        </w:numPr>
        <w:spacing w:after="100" w:line="280"/>
      </w:pPr>
      <w:r>
        <w:rPr>
          <w:rFonts w:ascii="Calibri" w:cs="Calibri" w:eastAsia="Calibri" w:hAnsi="Calibri"/>
          <w:b/>
          <w:bCs/>
          <w:color w:val="1A1A2E"/>
          <w:sz w:val="21"/>
          <w:szCs w:val="21"/>
        </w:rPr>
        <w:t xml:space="preserve">Zoom/Meet integration  </w:t>
      </w:r>
      <w:r>
        <w:rPr>
          <w:rFonts w:ascii="Calibri" w:cs="Calibri" w:eastAsia="Calibri" w:hAnsi="Calibri"/>
          <w:color w:val="2B2B2B"/>
          <w:sz w:val="21"/>
          <w:szCs w:val="21"/>
        </w:rPr>
        <w:t xml:space="preserve"> for live sessions rather than building custom video infrastructure — faster to ship, proven reliability.</w:t>
      </w:r>
    </w:p>
    <w:p>
      <w:pPr>
        <w:pStyle w:val="ListParagraph"/>
        <w:numPr>
          <w:ilvl w:val="0"/>
          <w:numId w:val="2"/>
        </w:numPr>
        <w:spacing w:after="100" w:line="280"/>
      </w:pPr>
      <w:r>
        <w:rPr>
          <w:rFonts w:ascii="Calibri" w:cs="Calibri" w:eastAsia="Calibri" w:hAnsi="Calibri"/>
          <w:b/>
          <w:bCs/>
          <w:color w:val="1A1A2E"/>
          <w:sz w:val="21"/>
          <w:szCs w:val="21"/>
        </w:rPr>
        <w:t xml:space="preserve">WhatsApp-integrated notifications  </w:t>
      </w:r>
      <w:r>
        <w:rPr>
          <w:rFonts w:ascii="Calibri" w:cs="Calibri" w:eastAsia="Calibri" w:hAnsi="Calibri"/>
          <w:color w:val="2B2B2B"/>
          <w:sz w:val="21"/>
          <w:szCs w:val="21"/>
        </w:rPr>
        <w:t xml:space="preserve"> so daily prompts, words of the day, and reminders don't rely solely on members opening the app.</w:t>
      </w:r>
    </w:p>
    <w:p>
      <w:pPr>
        <w:pStyle w:val="Heading1"/>
        <w:pBdr>
          <w:bottom w:val="single" w:color="0071E3" w:sz="8" w:space="4"/>
        </w:pBdr>
        <w:spacing w:after="200" w:before="480"/>
      </w:pPr>
      <w:r>
        <w:rPr>
          <w:rFonts w:ascii="Calibri" w:cs="Calibri" w:eastAsia="Calibri" w:hAnsi="Calibri"/>
          <w:b/>
          <w:bCs/>
          <w:color w:val="1A1A2E"/>
          <w:sz w:val="30"/>
          <w:szCs w:val="30"/>
        </w:rPr>
        <w:t xml:space="preserve">8. Go-to-Market Strategy</w:t>
      </w:r>
    </w:p>
    <w:p>
      <w:pPr>
        <w:pStyle w:val="Heading2"/>
        <w:spacing w:after="120" w:before="300"/>
      </w:pPr>
      <w:r>
        <w:rPr>
          <w:rFonts w:ascii="Calibri" w:cs="Calibri" w:eastAsia="Calibri" w:hAnsi="Calibri"/>
          <w:b/>
          <w:bCs/>
          <w:color w:val="0071E3"/>
          <w:sz w:val="24"/>
          <w:szCs w:val="24"/>
        </w:rPr>
        <w:t xml:space="preserve">Phase 1 — Activate the warm list (Weeks 1–4)</w:t>
      </w:r>
    </w:p>
    <w:p>
      <w:pPr>
        <w:spacing w:after="160" w:line="300"/>
      </w:pPr>
      <w:r>
        <w:rPr>
          <w:rFonts w:ascii="Calibri" w:cs="Calibri" w:eastAsia="Calibri" w:hAnsi="Calibri"/>
          <w:b w:val="false"/>
          <w:bCs w:val="false"/>
          <w:i w:val="false"/>
          <w:iCs w:val="false"/>
          <w:color w:val="2B2B2B"/>
          <w:sz w:val="21"/>
          <w:szCs w:val="21"/>
        </w:rPr>
        <w:t xml:space="preserve">The 20,000–30,000 webinar registrants are the fastest, cheapest path to the first paying cohort. This runs as a Founding Member launch, not a hard sell:</w:t>
      </w:r>
    </w:p>
    <w:p>
      <w:pPr>
        <w:pStyle w:val="ListParagraph"/>
        <w:numPr>
          <w:ilvl w:val="0"/>
          <w:numId w:val="2"/>
        </w:numPr>
        <w:spacing w:after="100" w:line="280"/>
      </w:pPr>
      <w:r>
        <w:rPr>
          <w:rFonts w:ascii="Calibri" w:cs="Calibri" w:eastAsia="Calibri" w:hAnsi="Calibri"/>
          <w:b/>
          <w:bCs/>
          <w:color w:val="1A1A2E"/>
          <w:sz w:val="21"/>
          <w:szCs w:val="21"/>
        </w:rPr>
        <w:t xml:space="preserve">1. Share the idea.  </w:t>
      </w:r>
      <w:r>
        <w:rPr>
          <w:rFonts w:ascii="Calibri" w:cs="Calibri" w:eastAsia="Calibri" w:hAnsi="Calibri"/>
          <w:color w:val="2B2B2B"/>
          <w:sz w:val="21"/>
          <w:szCs w:val="21"/>
        </w:rPr>
        <w:t xml:space="preserve"> — a short message/video introducing the idea directly from Janhavi, framed as something being built for them.</w:t>
      </w:r>
    </w:p>
    <w:p>
      <w:pPr>
        <w:pStyle w:val="ListParagraph"/>
        <w:numPr>
          <w:ilvl w:val="0"/>
          <w:numId w:val="2"/>
        </w:numPr>
        <w:spacing w:after="100" w:line="280"/>
      </w:pPr>
      <w:r>
        <w:rPr>
          <w:rFonts w:ascii="Calibri" w:cs="Calibri" w:eastAsia="Calibri" w:hAnsi="Calibri"/>
          <w:b/>
          <w:bCs/>
          <w:color w:val="1A1A2E"/>
          <w:sz w:val="21"/>
          <w:szCs w:val="21"/>
        </w:rPr>
        <w:t xml:space="preserve">2. Cast the vision.  </w:t>
      </w:r>
      <w:r>
        <w:rPr>
          <w:rFonts w:ascii="Calibri" w:cs="Calibri" w:eastAsia="Calibri" w:hAnsi="Calibri"/>
          <w:color w:val="2B2B2B"/>
          <w:sz w:val="21"/>
          <w:szCs w:val="21"/>
        </w:rPr>
        <w:t xml:space="preserve"> — paint what fluent, confident speaking actually looks and feels like after 90 days in the community.</w:t>
      </w:r>
    </w:p>
    <w:p>
      <w:pPr>
        <w:pStyle w:val="ListParagraph"/>
        <w:numPr>
          <w:ilvl w:val="0"/>
          <w:numId w:val="2"/>
        </w:numPr>
        <w:spacing w:after="100" w:line="280"/>
      </w:pPr>
      <w:r>
        <w:rPr>
          <w:rFonts w:ascii="Calibri" w:cs="Calibri" w:eastAsia="Calibri" w:hAnsi="Calibri"/>
          <w:b/>
          <w:bCs/>
          <w:color w:val="1A1A2E"/>
          <w:sz w:val="21"/>
          <w:szCs w:val="21"/>
        </w:rPr>
        <w:t xml:space="preserve">3. The invitation.  </w:t>
      </w:r>
      <w:r>
        <w:rPr>
          <w:rFonts w:ascii="Calibri" w:cs="Calibri" w:eastAsia="Calibri" w:hAnsi="Calibri"/>
          <w:color w:val="2B2B2B"/>
          <w:sz w:val="21"/>
          <w:szCs w:val="21"/>
        </w:rPr>
        <w:t xml:space="preserve"> — 100 founding spots at ₹699/month, locked for life.</w:t>
      </w:r>
    </w:p>
    <w:p>
      <w:pPr>
        <w:pStyle w:val="ListParagraph"/>
        <w:numPr>
          <w:ilvl w:val="0"/>
          <w:numId w:val="2"/>
        </w:numPr>
        <w:spacing w:after="100" w:line="280"/>
      </w:pPr>
      <w:r>
        <w:rPr>
          <w:rFonts w:ascii="Calibri" w:cs="Calibri" w:eastAsia="Calibri" w:hAnsi="Calibri"/>
          <w:b/>
          <w:bCs/>
          <w:color w:val="1A1A2E"/>
          <w:sz w:val="21"/>
          <w:szCs w:val="21"/>
        </w:rPr>
        <w:t xml:space="preserve">4. One clear call to action.  </w:t>
      </w:r>
      <w:r>
        <w:rPr>
          <w:rFonts w:ascii="Calibri" w:cs="Calibri" w:eastAsia="Calibri" w:hAnsi="Calibri"/>
          <w:color w:val="2B2B2B"/>
          <w:sz w:val="21"/>
          <w:szCs w:val="21"/>
        </w:rPr>
        <w:t xml:space="preserve"> — a single link, one price, no menu of options to decide between.</w:t>
      </w:r>
    </w:p>
    <w:p>
      <w:pPr>
        <w:pStyle w:val="ListParagraph"/>
        <w:numPr>
          <w:ilvl w:val="0"/>
          <w:numId w:val="2"/>
        </w:numPr>
        <w:spacing w:after="100" w:line="280"/>
      </w:pPr>
      <w:r>
        <w:rPr>
          <w:rFonts w:ascii="Calibri" w:cs="Calibri" w:eastAsia="Calibri" w:hAnsi="Calibri"/>
          <w:b/>
          <w:bCs/>
          <w:color w:val="1A1A2E"/>
          <w:sz w:val="21"/>
          <w:szCs w:val="21"/>
        </w:rPr>
        <w:t xml:space="preserve">5. Follow-up sequence  </w:t>
      </w:r>
      <w:r>
        <w:rPr>
          <w:rFonts w:ascii="Calibri" w:cs="Calibri" w:eastAsia="Calibri" w:hAnsi="Calibri"/>
          <w:color w:val="2B2B2B"/>
          <w:sz w:val="21"/>
          <w:szCs w:val="21"/>
        </w:rPr>
        <w:t xml:space="preserve"> over 7–10 days — reminder, then social proof from early joiners, then urgency as spots close.</w:t>
      </w:r>
    </w:p>
    <w:p>
      <w:pPr>
        <w:pStyle w:val="Heading2"/>
        <w:spacing w:after="120" w:before="300"/>
      </w:pPr>
      <w:r>
        <w:rPr>
          <w:rFonts w:ascii="Calibri" w:cs="Calibri" w:eastAsia="Calibri" w:hAnsi="Calibri"/>
          <w:b/>
          <w:bCs/>
          <w:color w:val="0071E3"/>
          <w:sz w:val="24"/>
          <w:szCs w:val="24"/>
        </w:rPr>
        <w:t xml:space="preserve">Phase 2 — Organic layer (Weeks 5–12)</w:t>
      </w:r>
    </w:p>
    <w:p>
      <w:pPr>
        <w:spacing w:after="160" w:line="300"/>
      </w:pPr>
      <w:r>
        <w:rPr>
          <w:rFonts w:ascii="Calibri" w:cs="Calibri" w:eastAsia="Calibri" w:hAnsi="Calibri"/>
          <w:b w:val="false"/>
          <w:bCs w:val="false"/>
          <w:i w:val="false"/>
          <w:iCs w:val="false"/>
          <w:color w:val="2B2B2B"/>
          <w:sz w:val="21"/>
          <w:szCs w:val="21"/>
        </w:rPr>
        <w:t xml:space="preserve">Once founding members have real wins (speaking transformations, certificates, streaks), those become content: YouTube/Instagram clips of before-and-after speaking clips, member shoutouts, and a soft CTA at the end of relevant videos. This is kept separate from the performance-marketing funnel for the high-ticket courses to avoid channel conflict.</w:t>
      </w:r>
    </w:p>
    <w:p>
      <w:pPr>
        <w:pStyle w:val="Heading2"/>
        <w:spacing w:after="120" w:before="300"/>
      </w:pPr>
      <w:r>
        <w:rPr>
          <w:rFonts w:ascii="Calibri" w:cs="Calibri" w:eastAsia="Calibri" w:hAnsi="Calibri"/>
          <w:b/>
          <w:bCs/>
          <w:color w:val="0071E3"/>
          <w:sz w:val="24"/>
          <w:szCs w:val="24"/>
        </w:rPr>
        <w:t xml:space="preserve">Phase 3 — Closed-cohort scaling (Ongoing)</w:t>
      </w:r>
    </w:p>
    <w:p>
      <w:pPr>
        <w:spacing w:after="160" w:line="300"/>
      </w:pPr>
      <w:r>
        <w:rPr>
          <w:rFonts w:ascii="Calibri" w:cs="Calibri" w:eastAsia="Calibri" w:hAnsi="Calibri"/>
          <w:b w:val="false"/>
          <w:bCs w:val="false"/>
          <w:i w:val="false"/>
          <w:iCs w:val="false"/>
          <w:color w:val="2B2B2B"/>
          <w:sz w:val="21"/>
          <w:szCs w:val="21"/>
        </w:rPr>
        <w:t xml:space="preserve">After the founding cohort, enrollment reopens at ₹999/month on a quarterly cycle rather than staying open indefinitely. Closing and reopening preserves scarcity, keeps cohorts cohesive, and gives a natural rhythm for fresh promotional pushes.</w:t>
      </w:r>
    </w:p>
    <w:p>
      <w:pPr>
        <w:pStyle w:val="Heading1"/>
        <w:pBdr>
          <w:bottom w:val="single" w:color="0071E3" w:sz="8" w:space="4"/>
        </w:pBdr>
        <w:spacing w:after="200" w:before="480"/>
      </w:pPr>
      <w:r>
        <w:rPr>
          <w:rFonts w:ascii="Calibri" w:cs="Calibri" w:eastAsia="Calibri" w:hAnsi="Calibri"/>
          <w:b/>
          <w:bCs/>
          <w:color w:val="1A1A2E"/>
          <w:sz w:val="30"/>
          <w:szCs w:val="30"/>
        </w:rPr>
        <w:t xml:space="preserve">9. Retention Plan</w:t>
      </w:r>
    </w:p>
    <w:p>
      <w:pPr>
        <w:spacing w:after="160" w:line="300"/>
      </w:pPr>
      <w:r>
        <w:rPr>
          <w:rFonts w:ascii="Calibri" w:cs="Calibri" w:eastAsia="Calibri" w:hAnsi="Calibri"/>
          <w:b w:val="false"/>
          <w:bCs w:val="false"/>
          <w:i w:val="false"/>
          <w:iCs w:val="false"/>
          <w:color w:val="2B2B2B"/>
          <w:sz w:val="21"/>
          <w:szCs w:val="21"/>
        </w:rPr>
        <w:t xml:space="preserve">Acquisition gets people in — retention is what makes this actually profitable. Three things are built in from day one to protect against the churn that kills most memberships:</w:t>
      </w:r>
    </w:p>
    <w:p>
      <w:pPr>
        <w:pStyle w:val="ListParagraph"/>
        <w:numPr>
          <w:ilvl w:val="0"/>
          <w:numId w:val="2"/>
        </w:numPr>
        <w:spacing w:after="100" w:line="280"/>
      </w:pPr>
      <w:r>
        <w:rPr>
          <w:rFonts w:ascii="Calibri" w:cs="Calibri" w:eastAsia="Calibri" w:hAnsi="Calibri"/>
          <w:b/>
          <w:bCs/>
          <w:color w:val="1A1A2E"/>
          <w:sz w:val="21"/>
          <w:szCs w:val="21"/>
        </w:rPr>
        <w:t xml:space="preserve">Guided first 30 days.  </w:t>
      </w:r>
      <w:r>
        <w:rPr>
          <w:rFonts w:ascii="Calibri" w:cs="Calibri" w:eastAsia="Calibri" w:hAnsi="Calibri"/>
          <w:color w:val="2B2B2B"/>
          <w:sz w:val="21"/>
          <w:szCs w:val="21"/>
        </w:rPr>
        <w:t xml:space="preserve"> — welcome video, buddy pairing, and a first speaking post all happen within 48 hours, so no one has time to go quiet before they've engaged once.</w:t>
      </w:r>
    </w:p>
    <w:p>
      <w:pPr>
        <w:pStyle w:val="ListParagraph"/>
        <w:numPr>
          <w:ilvl w:val="0"/>
          <w:numId w:val="2"/>
        </w:numPr>
        <w:spacing w:after="100" w:line="280"/>
      </w:pPr>
      <w:r>
        <w:rPr>
          <w:rFonts w:ascii="Calibri" w:cs="Calibri" w:eastAsia="Calibri" w:hAnsi="Calibri"/>
          <w:b/>
          <w:bCs/>
          <w:color w:val="1A1A2E"/>
          <w:sz w:val="21"/>
          <w:szCs w:val="21"/>
        </w:rPr>
        <w:t xml:space="preserve">Predictable rhythm.  </w:t>
      </w:r>
      <w:r>
        <w:rPr>
          <w:rFonts w:ascii="Calibri" w:cs="Calibri" w:eastAsia="Calibri" w:hAnsi="Calibri"/>
          <w:color w:val="2B2B2B"/>
          <w:sz w:val="21"/>
          <w:szCs w:val="21"/>
        </w:rPr>
        <w:t xml:space="preserve"> — the feed, streaks, and weekly live sessions create a reason to open the app daily rather than a library to explore whenever.</w:t>
      </w:r>
    </w:p>
    <w:p>
      <w:pPr>
        <w:pStyle w:val="ListParagraph"/>
        <w:numPr>
          <w:ilvl w:val="0"/>
          <w:numId w:val="2"/>
        </w:numPr>
        <w:spacing w:after="100" w:line="280"/>
      </w:pPr>
      <w:r>
        <w:rPr>
          <w:rFonts w:ascii="Calibri" w:cs="Calibri" w:eastAsia="Calibri" w:hAnsi="Calibri"/>
          <w:b/>
          <w:bCs/>
          <w:color w:val="1A1A2E"/>
          <w:sz w:val="21"/>
          <w:szCs w:val="21"/>
        </w:rPr>
        <w:t xml:space="preserve">At-risk member outreach.  </w:t>
      </w:r>
      <w:r>
        <w:rPr>
          <w:rFonts w:ascii="Calibri" w:cs="Calibri" w:eastAsia="Calibri" w:hAnsi="Calibri"/>
          <w:color w:val="2B2B2B"/>
          <w:sz w:val="21"/>
          <w:szCs w:val="21"/>
        </w:rPr>
        <w:t xml:space="preserve"> — members who haven't posted or logged in for 5+ days get a personal nudge, not just an automated blast.</w:t>
      </w:r>
    </w:p>
    <w:p>
      <w:pPr>
        <w:pStyle w:val="Heading1"/>
        <w:pBdr>
          <w:bottom w:val="single" w:color="0071E3" w:sz="8" w:space="4"/>
        </w:pBdr>
        <w:spacing w:after="200" w:before="480"/>
      </w:pPr>
      <w:r>
        <w:rPr>
          <w:rFonts w:ascii="Calibri" w:cs="Calibri" w:eastAsia="Calibri" w:hAnsi="Calibri"/>
          <w:b/>
          <w:bCs/>
          <w:color w:val="1A1A2E"/>
          <w:sz w:val="30"/>
          <w:szCs w:val="30"/>
        </w:rPr>
        <w:t xml:space="preserve">10. Success Metrics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3400"/>
      </w:tblGrid>
      <w:tr>
        <w:trPr>
          <w:tblHeader/>
        </w:trPr>
        <w:tc>
          <w:tcPr>
            <w:tcW w:type="dxa" w:w="36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Metric</w:t>
            </w:r>
          </w:p>
        </w:tc>
        <w:tc>
          <w:tcPr>
            <w:tcW w:type="dxa" w:w="34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Target</w:t>
            </w:r>
          </w:p>
        </w:tc>
        <w:tc>
          <w:tcPr>
            <w:tcW w:type="dxa" w:w="34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Timeframe</w:t>
            </w:r>
          </w:p>
        </w:tc>
      </w:tr>
      <w:tr>
        <w:tc>
          <w:tcPr>
            <w:tcW w:type="dxa" w:w="3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Founding cohort fill rate</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100 spots filled</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Within 10 days of launch sequence</w:t>
            </w:r>
          </w:p>
        </w:tc>
      </w:tr>
      <w:tr>
        <w:tc>
          <w:tcPr>
            <w:tcW w:type="dxa" w:w="3600"/>
            <w:tcMar>
              <w:top w:type="dxa" w:w="120"/>
              <w:left w:type="dxa" w:w="160"/>
              <w:bottom w:type="dxa" w:w="120"/>
              <w:right w:type="dxa" w:w="160"/>
            </w:tcMar>
            <w:vAlign w:val="center"/>
          </w:tcPr>
          <w:p>
            <w:r>
              <w:rPr>
                <w:rFonts w:ascii="Calibri" w:cs="Calibri" w:eastAsia="Calibri" w:hAnsi="Calibri"/>
                <w:b/>
                <w:bCs/>
                <w:color w:val="2B2B2B"/>
                <w:sz w:val="20"/>
                <w:szCs w:val="20"/>
              </w:rPr>
              <w:t xml:space="preserve">Member activation rate</w:t>
            </w:r>
          </w:p>
        </w:tc>
        <w:tc>
          <w:tcPr>
            <w:tcW w:type="dxa" w:w="34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70%+ post a video in week 1</w:t>
            </w:r>
          </w:p>
        </w:tc>
        <w:tc>
          <w:tcPr>
            <w:tcW w:type="dxa" w:w="34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First 30 days</w:t>
            </w:r>
          </w:p>
        </w:tc>
      </w:tr>
      <w:tr>
        <w:tc>
          <w:tcPr>
            <w:tcW w:type="dxa" w:w="3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Weekly active engagement</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60%+ post/comment weekly</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Ongoing</w:t>
            </w:r>
          </w:p>
        </w:tc>
      </w:tr>
      <w:tr>
        <w:tc>
          <w:tcPr>
            <w:tcW w:type="dxa" w:w="3600"/>
            <w:tcMar>
              <w:top w:type="dxa" w:w="120"/>
              <w:left w:type="dxa" w:w="160"/>
              <w:bottom w:type="dxa" w:w="120"/>
              <w:right w:type="dxa" w:w="160"/>
            </w:tcMar>
            <w:vAlign w:val="center"/>
          </w:tcPr>
          <w:p>
            <w:r>
              <w:rPr>
                <w:rFonts w:ascii="Calibri" w:cs="Calibri" w:eastAsia="Calibri" w:hAnsi="Calibri"/>
                <w:b/>
                <w:bCs/>
                <w:color w:val="2B2B2B"/>
                <w:sz w:val="20"/>
                <w:szCs w:val="20"/>
              </w:rPr>
              <w:t xml:space="preserve">Monthly churn</w:t>
            </w:r>
          </w:p>
        </w:tc>
        <w:tc>
          <w:tcPr>
            <w:tcW w:type="dxa" w:w="34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Under 8–10%</w:t>
            </w:r>
          </w:p>
        </w:tc>
        <w:tc>
          <w:tcPr>
            <w:tcW w:type="dxa" w:w="34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By month 3, trending toward 5%</w:t>
            </w:r>
          </w:p>
        </w:tc>
      </w:tr>
      <w:tr>
        <w:tc>
          <w:tcPr>
            <w:tcW w:type="dxa" w:w="36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Referral-driven signups</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15–20% of new members</w:t>
            </w:r>
          </w:p>
        </w:tc>
        <w:tc>
          <w:tcPr>
            <w:tcW w:type="dxa" w:w="34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By month 4</w:t>
            </w:r>
          </w:p>
        </w:tc>
      </w:tr>
    </w:tbl>
    <w:p>
      <w:r>
        <w:br w:type="page"/>
      </w:r>
    </w:p>
    <w:p>
      <w:pPr>
        <w:pStyle w:val="Heading1"/>
        <w:pBdr>
          <w:bottom w:val="single" w:color="0071E3" w:sz="8" w:space="4"/>
        </w:pBdr>
        <w:spacing w:after="200" w:before="480"/>
      </w:pPr>
      <w:r>
        <w:rPr>
          <w:rFonts w:ascii="Calibri" w:cs="Calibri" w:eastAsia="Calibri" w:hAnsi="Calibri"/>
          <w:b/>
          <w:bCs/>
          <w:color w:val="1A1A2E"/>
          <w:sz w:val="30"/>
          <w:szCs w:val="30"/>
        </w:rPr>
        <w:t xml:space="preserve">11. Execution Roadmap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6200"/>
      </w:tblGrid>
      <w:tr>
        <w:trPr>
          <w:tblHeader/>
        </w:trPr>
        <w:tc>
          <w:tcPr>
            <w:tcW w:type="dxa" w:w="18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Timing</w:t>
            </w:r>
          </w:p>
        </w:tc>
        <w:tc>
          <w:tcPr>
            <w:tcW w:type="dxa" w:w="24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Phase</w:t>
            </w:r>
          </w:p>
        </w:tc>
        <w:tc>
          <w:tcPr>
            <w:tcW w:type="dxa" w:w="6200"/>
            <w:shd w:fill="1A1A2E" w:val="clear"/>
            <w:tcMar>
              <w:top w:type="dxa" w:w="120"/>
              <w:left w:type="dxa" w:w="160"/>
              <w:bottom w:type="dxa" w:w="120"/>
              <w:right w:type="dxa" w:w="160"/>
            </w:tcMar>
            <w:vAlign w:val="center"/>
          </w:tcPr>
          <w:p>
            <w:r>
              <w:rPr>
                <w:rFonts w:ascii="Calibri" w:cs="Calibri" w:eastAsia="Calibri" w:hAnsi="Calibri"/>
                <w:b/>
                <w:bCs/>
                <w:color w:val="FFFFFF"/>
                <w:sz w:val="20"/>
                <w:szCs w:val="20"/>
              </w:rPr>
              <w:t xml:space="preserve">What Happens</w:t>
            </w:r>
          </w:p>
        </w:tc>
      </w:tr>
      <w:tr>
        <w:tc>
          <w:tcPr>
            <w:tcW w:type="dxa" w:w="18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Weeks 1–3</w:t>
            </w:r>
          </w:p>
        </w:tc>
        <w:tc>
          <w:tcPr>
            <w:tcW w:type="dxa" w:w="2400"/>
            <w:shd w:fill="F2F6FC" w:val="clear"/>
            <w:tcMar>
              <w:top w:type="dxa" w:w="120"/>
              <w:left w:type="dxa" w:w="160"/>
              <w:bottom w:type="dxa" w:w="120"/>
              <w:right w:type="dxa" w:w="160"/>
            </w:tcMar>
            <w:vAlign w:val="center"/>
          </w:tcPr>
          <w:p>
            <w:r>
              <w:rPr>
                <w:rFonts w:ascii="Calibri" w:cs="Calibri" w:eastAsia="Calibri" w:hAnsi="Calibri"/>
                <w:b/>
                <w:bCs/>
                <w:color w:val="0071E3"/>
                <w:sz w:val="20"/>
                <w:szCs w:val="20"/>
              </w:rPr>
              <w:t xml:space="preserve">Build &amp; Prep</w:t>
            </w:r>
          </w:p>
        </w:tc>
        <w:tc>
          <w:tcPr>
            <w:tcW w:type="dxa" w:w="62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Platform build (buddy matching, feed, gamification, live-session integration, payments). Trainer hired and briefed. First 4 weeks of topics, words, and roleplay scenarios pre-planned and loaded.</w:t>
            </w:r>
          </w:p>
        </w:tc>
      </w:tr>
      <w:tr>
        <w:tc>
          <w:tcPr>
            <w:tcW w:type="dxa" w:w="1800"/>
            <w:tcMar>
              <w:top w:type="dxa" w:w="120"/>
              <w:left w:type="dxa" w:w="160"/>
              <w:bottom w:type="dxa" w:w="120"/>
              <w:right w:type="dxa" w:w="160"/>
            </w:tcMar>
            <w:vAlign w:val="center"/>
          </w:tcPr>
          <w:p>
            <w:r>
              <w:rPr>
                <w:rFonts w:ascii="Calibri" w:cs="Calibri" w:eastAsia="Calibri" w:hAnsi="Calibri"/>
                <w:b/>
                <w:bCs/>
                <w:color w:val="2B2B2B"/>
                <w:sz w:val="20"/>
                <w:szCs w:val="20"/>
              </w:rPr>
              <w:t xml:space="preserve">Week 4</w:t>
            </w:r>
          </w:p>
        </w:tc>
        <w:tc>
          <w:tcPr>
            <w:tcW w:type="dxa" w:w="2400"/>
            <w:tcMar>
              <w:top w:type="dxa" w:w="120"/>
              <w:left w:type="dxa" w:w="160"/>
              <w:bottom w:type="dxa" w:w="120"/>
              <w:right w:type="dxa" w:w="160"/>
            </w:tcMar>
            <w:vAlign w:val="center"/>
          </w:tcPr>
          <w:p>
            <w:r>
              <w:rPr>
                <w:rFonts w:ascii="Calibri" w:cs="Calibri" w:eastAsia="Calibri" w:hAnsi="Calibri"/>
                <w:b/>
                <w:bCs/>
                <w:color w:val="0071E3"/>
                <w:sz w:val="20"/>
                <w:szCs w:val="20"/>
              </w:rPr>
              <w:t xml:space="preserve">Founding Member Launch</w:t>
            </w:r>
          </w:p>
        </w:tc>
        <w:tc>
          <w:tcPr>
            <w:tcW w:type="dxa" w:w="62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Warm-list activation to the ~25,000 non-converted webinar registrants: idea share → vision cast → invitation (100 founding spots at ₹699) → single CTA → 7–10 day follow-up sequence.</w:t>
            </w:r>
          </w:p>
        </w:tc>
      </w:tr>
      <w:tr>
        <w:tc>
          <w:tcPr>
            <w:tcW w:type="dxa" w:w="18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Weeks 5–8</w:t>
            </w:r>
          </w:p>
        </w:tc>
        <w:tc>
          <w:tcPr>
            <w:tcW w:type="dxa" w:w="2400"/>
            <w:shd w:fill="F2F6FC" w:val="clear"/>
            <w:tcMar>
              <w:top w:type="dxa" w:w="120"/>
              <w:left w:type="dxa" w:w="160"/>
              <w:bottom w:type="dxa" w:w="120"/>
              <w:right w:type="dxa" w:w="160"/>
            </w:tcMar>
            <w:vAlign w:val="center"/>
          </w:tcPr>
          <w:p>
            <w:r>
              <w:rPr>
                <w:rFonts w:ascii="Calibri" w:cs="Calibri" w:eastAsia="Calibri" w:hAnsi="Calibri"/>
                <w:b/>
                <w:bCs/>
                <w:color w:val="0071E3"/>
                <w:sz w:val="20"/>
                <w:szCs w:val="20"/>
              </w:rPr>
              <w:t xml:space="preserve">Onboarding &amp; Early Retention</w:t>
            </w:r>
          </w:p>
        </w:tc>
        <w:tc>
          <w:tcPr>
            <w:tcW w:type="dxa" w:w="62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Guided 30-day onboarding for founding members: welcome + buddy pairing (day 1), first speaking win (week 1), first live session (week 2), first milestone/badge (week 3–4). Collect early testimonials and speaking transformations.</w:t>
            </w:r>
          </w:p>
        </w:tc>
      </w:tr>
      <w:tr>
        <w:tc>
          <w:tcPr>
            <w:tcW w:type="dxa" w:w="1800"/>
            <w:tcMar>
              <w:top w:type="dxa" w:w="120"/>
              <w:left w:type="dxa" w:w="160"/>
              <w:bottom w:type="dxa" w:w="120"/>
              <w:right w:type="dxa" w:w="160"/>
            </w:tcMar>
            <w:vAlign w:val="center"/>
          </w:tcPr>
          <w:p>
            <w:r>
              <w:rPr>
                <w:rFonts w:ascii="Calibri" w:cs="Calibri" w:eastAsia="Calibri" w:hAnsi="Calibri"/>
                <w:b/>
                <w:bCs/>
                <w:color w:val="2B2B2B"/>
                <w:sz w:val="20"/>
                <w:szCs w:val="20"/>
              </w:rPr>
              <w:t xml:space="preserve">Weeks 9–12</w:t>
            </w:r>
          </w:p>
        </w:tc>
        <w:tc>
          <w:tcPr>
            <w:tcW w:type="dxa" w:w="2400"/>
            <w:tcMar>
              <w:top w:type="dxa" w:w="120"/>
              <w:left w:type="dxa" w:w="160"/>
              <w:bottom w:type="dxa" w:w="120"/>
              <w:right w:type="dxa" w:w="160"/>
            </w:tcMar>
            <w:vAlign w:val="center"/>
          </w:tcPr>
          <w:p>
            <w:r>
              <w:rPr>
                <w:rFonts w:ascii="Calibri" w:cs="Calibri" w:eastAsia="Calibri" w:hAnsi="Calibri"/>
                <w:b/>
                <w:bCs/>
                <w:color w:val="0071E3"/>
                <w:sz w:val="20"/>
                <w:szCs w:val="20"/>
              </w:rPr>
              <w:t xml:space="preserve">Organic Layer &amp; Reopen</w:t>
            </w:r>
          </w:p>
        </w:tc>
        <w:tc>
          <w:tcPr>
            <w:tcW w:type="dxa" w:w="6200"/>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Testimonials and member wins repurposed into YouTube/Instagram content. Enrollment reopens to the public at ₹999/month with proof already in hand. Referral program activated.</w:t>
            </w:r>
          </w:p>
        </w:tc>
      </w:tr>
      <w:tr>
        <w:tc>
          <w:tcPr>
            <w:tcW w:type="dxa" w:w="1800"/>
            <w:shd w:fill="F2F6FC" w:val="clear"/>
            <w:tcMar>
              <w:top w:type="dxa" w:w="120"/>
              <w:left w:type="dxa" w:w="160"/>
              <w:bottom w:type="dxa" w:w="120"/>
              <w:right w:type="dxa" w:w="160"/>
            </w:tcMar>
            <w:vAlign w:val="center"/>
          </w:tcPr>
          <w:p>
            <w:r>
              <w:rPr>
                <w:rFonts w:ascii="Calibri" w:cs="Calibri" w:eastAsia="Calibri" w:hAnsi="Calibri"/>
                <w:b/>
                <w:bCs/>
                <w:color w:val="2B2B2B"/>
                <w:sz w:val="20"/>
                <w:szCs w:val="20"/>
              </w:rPr>
              <w:t xml:space="preserve">Ongoing (Quarterly)</w:t>
            </w:r>
          </w:p>
        </w:tc>
        <w:tc>
          <w:tcPr>
            <w:tcW w:type="dxa" w:w="2400"/>
            <w:shd w:fill="F2F6FC" w:val="clear"/>
            <w:tcMar>
              <w:top w:type="dxa" w:w="120"/>
              <w:left w:type="dxa" w:w="160"/>
              <w:bottom w:type="dxa" w:w="120"/>
              <w:right w:type="dxa" w:w="160"/>
            </w:tcMar>
            <w:vAlign w:val="center"/>
          </w:tcPr>
          <w:p>
            <w:r>
              <w:rPr>
                <w:rFonts w:ascii="Calibri" w:cs="Calibri" w:eastAsia="Calibri" w:hAnsi="Calibri"/>
                <w:b/>
                <w:bCs/>
                <w:color w:val="0071E3"/>
                <w:sz w:val="20"/>
                <w:szCs w:val="20"/>
              </w:rPr>
              <w:t xml:space="preserve">Closed-Cohort Cycle</w:t>
            </w:r>
          </w:p>
        </w:tc>
        <w:tc>
          <w:tcPr>
            <w:tcW w:type="dxa" w:w="6200"/>
            <w:shd w:fill="F2F6FC" w:val="clear"/>
            <w:tcMar>
              <w:top w:type="dxa" w:w="120"/>
              <w:left w:type="dxa" w:w="160"/>
              <w:bottom w:type="dxa" w:w="120"/>
              <w:right w:type="dxa" w:w="160"/>
            </w:tcMar>
            <w:vAlign w:val="center"/>
          </w:tcPr>
          <w:p>
            <w:r>
              <w:rPr>
                <w:rFonts w:ascii="Calibri" w:cs="Calibri" w:eastAsia="Calibri" w:hAnsi="Calibri"/>
                <w:b w:val="false"/>
                <w:bCs w:val="false"/>
                <w:color w:val="2B2B2B"/>
                <w:sz w:val="20"/>
                <w:szCs w:val="20"/>
              </w:rPr>
              <w:t xml:space="preserve">Enrollment closes and reopens on a quarterly rhythm to preserve scarcity and cohort cohesion, with new themed content seasons and a review of churn, engagement, and pricing.</w:t>
            </w:r>
          </w:p>
        </w:tc>
      </w:tr>
    </w:tbl>
    <w:p>
      <w:pPr>
        <w:pStyle w:val="Heading1"/>
        <w:pBdr>
          <w:bottom w:val="single" w:color="0071E3" w:sz="8" w:space="4"/>
        </w:pBdr>
        <w:spacing w:after="200" w:before="480"/>
      </w:pPr>
      <w:r>
        <w:rPr>
          <w:rFonts w:ascii="Calibri" w:cs="Calibri" w:eastAsia="Calibri" w:hAnsi="Calibri"/>
          <w:b/>
          <w:bCs/>
          <w:color w:val="1A1A2E"/>
          <w:sz w:val="30"/>
          <w:szCs w:val="30"/>
        </w:rPr>
        <w:t xml:space="preserve">12. Next Steps</w:t>
      </w:r>
    </w:p>
    <w:p>
      <w:pPr>
        <w:pStyle w:val="ListParagraph"/>
        <w:numPr>
          <w:ilvl w:val="0"/>
          <w:numId w:val="2"/>
        </w:numPr>
        <w:spacing w:after="100" w:line="280"/>
      </w:pPr>
      <w:r>
        <w:rPr>
          <w:rFonts w:ascii="Calibri" w:cs="Calibri" w:eastAsia="Calibri" w:hAnsi="Calibri"/>
          <w:b/>
          <w:bCs/>
          <w:color w:val="1A1A2E"/>
          <w:sz w:val="21"/>
          <w:szCs w:val="21"/>
        </w:rPr>
        <w:t xml:space="preserve">1. Sign off on this strategy  </w:t>
      </w:r>
      <w:r>
        <w:rPr>
          <w:rFonts w:ascii="Calibri" w:cs="Calibri" w:eastAsia="Calibri" w:hAnsi="Calibri"/>
          <w:color w:val="2B2B2B"/>
          <w:sz w:val="21"/>
          <w:szCs w:val="21"/>
        </w:rPr>
        <w:t xml:space="preserve"> and lock in the exact feature list for v1 vs. later phases.</w:t>
      </w:r>
    </w:p>
    <w:p>
      <w:pPr>
        <w:pStyle w:val="ListParagraph"/>
        <w:numPr>
          <w:ilvl w:val="0"/>
          <w:numId w:val="2"/>
        </w:numPr>
        <w:spacing w:after="100" w:line="280"/>
      </w:pPr>
      <w:r>
        <w:rPr>
          <w:rFonts w:ascii="Calibri" w:cs="Calibri" w:eastAsia="Calibri" w:hAnsi="Calibri"/>
          <w:b/>
          <w:bCs/>
          <w:color w:val="1A1A2E"/>
          <w:sz w:val="21"/>
          <w:szCs w:val="21"/>
        </w:rPr>
        <w:t xml:space="preserve">2. Finalize platform build scope  </w:t>
      </w:r>
      <w:r>
        <w:rPr>
          <w:rFonts w:ascii="Calibri" w:cs="Calibri" w:eastAsia="Calibri" w:hAnsi="Calibri"/>
          <w:color w:val="2B2B2B"/>
          <w:sz w:val="21"/>
          <w:szCs w:val="21"/>
        </w:rPr>
        <w:t xml:space="preserve"> with the development partner using the feature brief in Section 5.</w:t>
      </w:r>
    </w:p>
    <w:p>
      <w:pPr>
        <w:pStyle w:val="ListParagraph"/>
        <w:numPr>
          <w:ilvl w:val="0"/>
          <w:numId w:val="2"/>
        </w:numPr>
        <w:spacing w:after="100" w:line="280"/>
      </w:pPr>
      <w:r>
        <w:rPr>
          <w:rFonts w:ascii="Calibri" w:cs="Calibri" w:eastAsia="Calibri" w:hAnsi="Calibri"/>
          <w:b/>
          <w:bCs/>
          <w:color w:val="1A1A2E"/>
          <w:sz w:val="21"/>
          <w:szCs w:val="21"/>
        </w:rPr>
        <w:t xml:space="preserve">3. Hire and brief the trainer  </w:t>
      </w:r>
      <w:r>
        <w:rPr>
          <w:rFonts w:ascii="Calibri" w:cs="Calibri" w:eastAsia="Calibri" w:hAnsi="Calibri"/>
          <w:color w:val="2B2B2B"/>
          <w:sz w:val="21"/>
          <w:szCs w:val="21"/>
        </w:rPr>
        <w:t xml:space="preserve"> for the weekly live roleplay sessions.</w:t>
      </w:r>
    </w:p>
    <w:p>
      <w:pPr>
        <w:pStyle w:val="ListParagraph"/>
        <w:numPr>
          <w:ilvl w:val="0"/>
          <w:numId w:val="2"/>
        </w:numPr>
        <w:spacing w:after="100" w:line="280"/>
      </w:pPr>
      <w:r>
        <w:rPr>
          <w:rFonts w:ascii="Calibri" w:cs="Calibri" w:eastAsia="Calibri" w:hAnsi="Calibri"/>
          <w:b/>
          <w:bCs/>
          <w:color w:val="1A1A2E"/>
          <w:sz w:val="21"/>
          <w:szCs w:val="21"/>
        </w:rPr>
        <w:t xml:space="preserve">4. Prepare the founding member launch sequence  </w:t>
      </w:r>
      <w:r>
        <w:rPr>
          <w:rFonts w:ascii="Calibri" w:cs="Calibri" w:eastAsia="Calibri" w:hAnsi="Calibri"/>
          <w:color w:val="2B2B2B"/>
          <w:sz w:val="21"/>
          <w:szCs w:val="21"/>
        </w:rPr>
        <w:t xml:space="preserve"> and pre-plan the first 4 weeks of topics, words, and roleplay scenarios.</w:t>
      </w:r>
    </w:p>
    <w:p>
      <w:pPr>
        <w:pStyle w:val="ListParagraph"/>
        <w:numPr>
          <w:ilvl w:val="0"/>
          <w:numId w:val="2"/>
        </w:numPr>
        <w:spacing w:after="100" w:line="280"/>
      </w:pPr>
      <w:r>
        <w:rPr>
          <w:rFonts w:ascii="Calibri" w:cs="Calibri" w:eastAsia="Calibri" w:hAnsi="Calibri"/>
          <w:b/>
          <w:bCs/>
          <w:color w:val="1A1A2E"/>
          <w:sz w:val="21"/>
          <w:szCs w:val="21"/>
        </w:rPr>
        <w:t xml:space="preserve">5. Set a launch date  </w:t>
      </w:r>
      <w:r>
        <w:rPr>
          <w:rFonts w:ascii="Calibri" w:cs="Calibri" w:eastAsia="Calibri" w:hAnsi="Calibri"/>
          <w:color w:val="2B2B2B"/>
          <w:sz w:val="21"/>
          <w:szCs w:val="21"/>
        </w:rPr>
        <w:t xml:space="preserve"> for the ₹699 founding cohort of 100.</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Prepared for Janhavi Panwar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b/>
        <w:bCs/>
        <w:color w:val="595959"/>
        <w:sz w:val="16"/>
        <w:szCs w:val="16"/>
      </w:rPr>
      <w:t xml:space="preserve">J CURVE BY AVI  |  SPEAK-UP COMMUNITY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2026-07-10T12:53:34.128Z</dcterms:created>
  <dcterms:modified xsi:type="dcterms:W3CDTF">2026-07-10T12:53:34.140Z</dcterms:modified>
</cp:coreProperties>
</file>

<file path=docProps/custom.xml><?xml version="1.0" encoding="utf-8"?>
<Properties xmlns="http://schemas.openxmlformats.org/officeDocument/2006/custom-properties" xmlns:vt="http://schemas.openxmlformats.org/officeDocument/2006/docPropsVTypes"/>
</file>