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72EBA" w14:textId="77777777" w:rsidR="0039495B" w:rsidRDefault="00000000">
      <w:pPr>
        <w:pStyle w:val="Heading1"/>
        <w:jc w:val="center"/>
        <w:rPr>
          <w:rFonts w:ascii="Google Sans" w:eastAsia="Google Sans" w:hAnsi="Google Sans" w:cs="Google Sans"/>
        </w:rPr>
      </w:pPr>
      <w:bookmarkStart w:id="0" w:name="_evidx83t54sc" w:colFirst="0" w:colLast="0"/>
      <w:bookmarkEnd w:id="0"/>
      <w:proofErr w:type="spellStart"/>
      <w:r>
        <w:rPr>
          <w:rFonts w:ascii="Google Sans" w:eastAsia="Google Sans" w:hAnsi="Google Sans" w:cs="Google Sans"/>
        </w:rPr>
        <w:t>Botium</w:t>
      </w:r>
      <w:proofErr w:type="spellEnd"/>
      <w:r>
        <w:rPr>
          <w:rFonts w:ascii="Google Sans" w:eastAsia="Google Sans" w:hAnsi="Google Sans" w:cs="Google Sans"/>
        </w:rPr>
        <w:t xml:space="preserve"> Toys: Scope, goals, and risk assessment report</w:t>
      </w:r>
    </w:p>
    <w:p w14:paraId="60188835" w14:textId="77777777" w:rsidR="0039495B" w:rsidRDefault="00000000">
      <w:pPr>
        <w:rPr>
          <w:rFonts w:ascii="Google Sans" w:eastAsia="Google Sans" w:hAnsi="Google Sans" w:cs="Google Sans"/>
          <w:color w:val="CC0000"/>
          <w:sz w:val="24"/>
          <w:szCs w:val="24"/>
        </w:rPr>
      </w:pPr>
      <w:r>
        <w:rPr>
          <w:rFonts w:ascii="Google Sans" w:eastAsia="Google Sans" w:hAnsi="Google Sans" w:cs="Google Sans"/>
          <w:noProof/>
          <w:color w:val="CC0000"/>
          <w:sz w:val="24"/>
          <w:szCs w:val="24"/>
        </w:rPr>
        <mc:AlternateContent>
          <mc:Choice Requires="wpg">
            <w:drawing>
              <wp:inline distT="114300" distB="114300" distL="114300" distR="114300" wp14:anchorId="3F4A5E1F" wp14:editId="2309AB8C">
                <wp:extent cx="5943600" cy="14118"/>
                <wp:effectExtent l="0" t="0" r="0" b="0"/>
                <wp:docPr id="1" name="Straight Arrow Connector 1"/>
                <wp:cNvGraphicFramePr/>
                <a:graphic xmlns:a="http://schemas.openxmlformats.org/drawingml/2006/main">
                  <a:graphicData uri="http://schemas.microsoft.com/office/word/2010/wordprocessingShape">
                    <wps:wsp>
                      <wps:cNvCnPr/>
                      <wps:spPr>
                        <a:xfrm>
                          <a:off x="914400" y="1219200"/>
                          <a:ext cx="8001000" cy="0"/>
                        </a:xfrm>
                        <a:prstGeom prst="straightConnector1">
                          <a:avLst/>
                        </a:prstGeom>
                        <a:noFill/>
                        <a:ln w="19050" cap="flat" cmpd="sng">
                          <a:solidFill>
                            <a:srgbClr val="FFFF00"/>
                          </a:solidFill>
                          <a:prstDash val="solid"/>
                          <a:round/>
                          <a:headEnd type="none" w="med" len="med"/>
                          <a:tailEnd type="none" w="med" len="med"/>
                        </a:ln>
                      </wps:spPr>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14118"/>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43600" cy="14118"/>
                        </a:xfrm>
                        <a:prstGeom prst="rect"/>
                        <a:ln/>
                      </pic:spPr>
                    </pic:pic>
                  </a:graphicData>
                </a:graphic>
              </wp:inline>
            </w:drawing>
          </mc:Fallback>
        </mc:AlternateContent>
      </w:r>
    </w:p>
    <w:p w14:paraId="282E5603" w14:textId="77777777" w:rsidR="0039495B" w:rsidRDefault="00000000">
      <w:pPr>
        <w:pStyle w:val="Heading2"/>
        <w:rPr>
          <w:rFonts w:ascii="Google Sans" w:eastAsia="Google Sans" w:hAnsi="Google Sans" w:cs="Google Sans"/>
          <w:b/>
          <w:color w:val="000000"/>
          <w:sz w:val="24"/>
          <w:szCs w:val="24"/>
        </w:rPr>
      </w:pPr>
      <w:bookmarkStart w:id="1" w:name="_kc2jqdd8nifa" w:colFirst="0" w:colLast="0"/>
      <w:bookmarkEnd w:id="1"/>
      <w:r>
        <w:rPr>
          <w:rFonts w:ascii="Google Sans" w:eastAsia="Google Sans" w:hAnsi="Google Sans" w:cs="Google Sans"/>
        </w:rPr>
        <w:t>Scope and goals of the audit</w:t>
      </w:r>
    </w:p>
    <w:p w14:paraId="14A67521" w14:textId="77777777" w:rsidR="0039495B" w:rsidRDefault="00000000">
      <w:pPr>
        <w:pStyle w:val="Subtitle"/>
        <w:rPr>
          <w:rFonts w:ascii="Google Sans" w:eastAsia="Google Sans" w:hAnsi="Google Sans" w:cs="Google Sans"/>
          <w:color w:val="000000"/>
          <w:sz w:val="24"/>
          <w:szCs w:val="24"/>
        </w:rPr>
      </w:pPr>
      <w:bookmarkStart w:id="2" w:name="_5amnjv9mhbsx" w:colFirst="0" w:colLast="0"/>
      <w:bookmarkEnd w:id="2"/>
      <w:r>
        <w:rPr>
          <w:rFonts w:ascii="Google Sans" w:eastAsia="Google Sans" w:hAnsi="Google Sans" w:cs="Google Sans"/>
          <w:b/>
          <w:color w:val="000000"/>
          <w:sz w:val="24"/>
          <w:szCs w:val="24"/>
        </w:rPr>
        <w:t xml:space="preserve">Scope: </w:t>
      </w:r>
      <w:r>
        <w:rPr>
          <w:rFonts w:ascii="Google Sans" w:eastAsia="Google Sans" w:hAnsi="Google Sans" w:cs="Google Sans"/>
          <w:color w:val="000000"/>
          <w:sz w:val="24"/>
          <w:szCs w:val="24"/>
        </w:rPr>
        <w:t xml:space="preserve">The scope is defined as the entire security program at </w:t>
      </w:r>
      <w:proofErr w:type="spellStart"/>
      <w:r>
        <w:rPr>
          <w:rFonts w:ascii="Google Sans" w:eastAsia="Google Sans" w:hAnsi="Google Sans" w:cs="Google Sans"/>
          <w:color w:val="000000"/>
          <w:sz w:val="24"/>
          <w:szCs w:val="24"/>
        </w:rPr>
        <w:t>Botium</w:t>
      </w:r>
      <w:proofErr w:type="spellEnd"/>
      <w:r>
        <w:rPr>
          <w:rFonts w:ascii="Google Sans" w:eastAsia="Google Sans" w:hAnsi="Google Sans" w:cs="Google Sans"/>
          <w:color w:val="000000"/>
          <w:sz w:val="24"/>
          <w:szCs w:val="24"/>
        </w:rPr>
        <w:t xml:space="preserve"> Toys. This means all assets need to be assessed alongside internal processes and procedures related to the implementation of controls and compliance best practices.</w:t>
      </w:r>
    </w:p>
    <w:p w14:paraId="50E823C4" w14:textId="6B269CD7" w:rsidR="0039495B" w:rsidRDefault="00000000">
      <w:pPr>
        <w:pStyle w:val="Subtitle"/>
        <w:rPr>
          <w:rFonts w:ascii="Google Sans" w:eastAsia="Google Sans" w:hAnsi="Google Sans" w:cs="Google Sans"/>
          <w:color w:val="000000"/>
        </w:rPr>
      </w:pPr>
      <w:bookmarkStart w:id="3" w:name="_17mak1awllyh" w:colFirst="0" w:colLast="0"/>
      <w:bookmarkEnd w:id="3"/>
      <w:r>
        <w:rPr>
          <w:rFonts w:ascii="Google Sans" w:eastAsia="Google Sans" w:hAnsi="Google Sans" w:cs="Google Sans"/>
          <w:b/>
          <w:color w:val="000000"/>
          <w:sz w:val="24"/>
          <w:szCs w:val="24"/>
        </w:rPr>
        <w:t>Goals:</w:t>
      </w:r>
      <w:r>
        <w:rPr>
          <w:rFonts w:ascii="Google Sans" w:eastAsia="Google Sans" w:hAnsi="Google Sans" w:cs="Google Sans"/>
          <w:color w:val="000000"/>
          <w:sz w:val="24"/>
          <w:szCs w:val="24"/>
        </w:rPr>
        <w:t xml:space="preserve"> Assess existing assets and complete the controls and compliance checklist to determine which controls and compliance best practices need to be implemented </w:t>
      </w:r>
      <w:r w:rsidR="000D4314">
        <w:rPr>
          <w:rFonts w:ascii="Google Sans" w:eastAsia="Google Sans" w:hAnsi="Google Sans" w:cs="Google Sans"/>
          <w:color w:val="000000"/>
          <w:sz w:val="24"/>
          <w:szCs w:val="24"/>
        </w:rPr>
        <w:t>to improve</w:t>
      </w:r>
      <w:r>
        <w:rPr>
          <w:rFonts w:ascii="Google Sans" w:eastAsia="Google Sans" w:hAnsi="Google Sans" w:cs="Google Sans"/>
          <w:color w:val="000000"/>
          <w:sz w:val="24"/>
          <w:szCs w:val="24"/>
        </w:rPr>
        <w:t xml:space="preserve"> </w:t>
      </w:r>
      <w:proofErr w:type="spellStart"/>
      <w:r>
        <w:rPr>
          <w:rFonts w:ascii="Google Sans" w:eastAsia="Google Sans" w:hAnsi="Google Sans" w:cs="Google Sans"/>
          <w:color w:val="000000"/>
          <w:sz w:val="24"/>
          <w:szCs w:val="24"/>
        </w:rPr>
        <w:t>Botium</w:t>
      </w:r>
      <w:proofErr w:type="spellEnd"/>
      <w:r>
        <w:rPr>
          <w:rFonts w:ascii="Google Sans" w:eastAsia="Google Sans" w:hAnsi="Google Sans" w:cs="Google Sans"/>
          <w:color w:val="000000"/>
          <w:sz w:val="24"/>
          <w:szCs w:val="24"/>
        </w:rPr>
        <w:t xml:space="preserve"> Toys’ security posture.</w:t>
      </w:r>
    </w:p>
    <w:p w14:paraId="74B0F98E" w14:textId="77777777" w:rsidR="0039495B" w:rsidRDefault="00000000">
      <w:pPr>
        <w:pStyle w:val="Heading2"/>
        <w:rPr>
          <w:rFonts w:ascii="Google Sans" w:eastAsia="Google Sans" w:hAnsi="Google Sans" w:cs="Google Sans"/>
        </w:rPr>
      </w:pPr>
      <w:bookmarkStart w:id="4" w:name="_jdudu6fs5rtm" w:colFirst="0" w:colLast="0"/>
      <w:bookmarkEnd w:id="4"/>
      <w:r>
        <w:rPr>
          <w:rFonts w:ascii="Google Sans" w:eastAsia="Google Sans" w:hAnsi="Google Sans" w:cs="Google Sans"/>
        </w:rPr>
        <w:t>Current assets</w:t>
      </w:r>
    </w:p>
    <w:p w14:paraId="4462B73E" w14:textId="77777777" w:rsidR="0039495B"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Assets managed by the IT Department include: </w:t>
      </w:r>
    </w:p>
    <w:p w14:paraId="1A1CACB4" w14:textId="77777777" w:rsidR="0039495B"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 xml:space="preserve">On-premises equipment for in-office business needs  </w:t>
      </w:r>
    </w:p>
    <w:p w14:paraId="591A2D70" w14:textId="77777777" w:rsidR="0039495B"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Employee equipment: end-user devices (desktops/laptops, smartphones), remote workstations, headsets, cables, keyboards, mice, docking stations, surveillance cameras, etc.</w:t>
      </w:r>
    </w:p>
    <w:p w14:paraId="5C4DF66E" w14:textId="77777777" w:rsidR="0039495B"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Storefront products available for retail sale on site and online; stored in the company’s adjoining warehouse</w:t>
      </w:r>
    </w:p>
    <w:p w14:paraId="35F3C483" w14:textId="77777777" w:rsidR="0039495B"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Management of systems, software, and services: accounting, telecommunication, database, security, ecommerce, and inventory management</w:t>
      </w:r>
    </w:p>
    <w:p w14:paraId="63C6944E" w14:textId="77777777" w:rsidR="0039495B"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Internet access</w:t>
      </w:r>
    </w:p>
    <w:p w14:paraId="54344F73" w14:textId="77777777" w:rsidR="0039495B"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Internal network</w:t>
      </w:r>
    </w:p>
    <w:p w14:paraId="75D8C3D1" w14:textId="77777777" w:rsidR="0039495B"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Data retention and storage</w:t>
      </w:r>
    </w:p>
    <w:p w14:paraId="17DD2F5A" w14:textId="77777777" w:rsidR="0039495B"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 xml:space="preserve">Legacy system maintenance: end-of-life systems that require human monitoring </w:t>
      </w:r>
    </w:p>
    <w:p w14:paraId="1B6E3E14" w14:textId="77777777" w:rsidR="0039495B" w:rsidRDefault="00000000">
      <w:pPr>
        <w:pStyle w:val="Heading2"/>
        <w:rPr>
          <w:rFonts w:ascii="Google Sans" w:eastAsia="Google Sans" w:hAnsi="Google Sans" w:cs="Google Sans"/>
        </w:rPr>
      </w:pPr>
      <w:bookmarkStart w:id="5" w:name="_5i80k6dm51vy" w:colFirst="0" w:colLast="0"/>
      <w:bookmarkEnd w:id="5"/>
      <w:r>
        <w:rPr>
          <w:rFonts w:ascii="Google Sans" w:eastAsia="Google Sans" w:hAnsi="Google Sans" w:cs="Google Sans"/>
        </w:rPr>
        <w:lastRenderedPageBreak/>
        <w:t>Risk assessment</w:t>
      </w:r>
    </w:p>
    <w:p w14:paraId="6F504973" w14:textId="77777777" w:rsidR="0039495B" w:rsidRDefault="00000000">
      <w:pPr>
        <w:pStyle w:val="Heading3"/>
        <w:rPr>
          <w:rFonts w:ascii="Google Sans" w:eastAsia="Google Sans" w:hAnsi="Google Sans" w:cs="Google Sans"/>
        </w:rPr>
      </w:pPr>
      <w:bookmarkStart w:id="6" w:name="_tkycrv8qc7kh" w:colFirst="0" w:colLast="0"/>
      <w:bookmarkEnd w:id="6"/>
      <w:r>
        <w:rPr>
          <w:rFonts w:ascii="Google Sans" w:eastAsia="Google Sans" w:hAnsi="Google Sans" w:cs="Google Sans"/>
        </w:rPr>
        <w:t>Risk description</w:t>
      </w:r>
    </w:p>
    <w:p w14:paraId="761EA5DA" w14:textId="77777777" w:rsidR="0039495B" w:rsidRDefault="00000000">
      <w:pPr>
        <w:rPr>
          <w:rFonts w:ascii="Google Sans" w:eastAsia="Google Sans" w:hAnsi="Google Sans" w:cs="Google Sans"/>
        </w:rPr>
      </w:pPr>
      <w:r>
        <w:rPr>
          <w:rFonts w:ascii="Google Sans" w:eastAsia="Google Sans" w:hAnsi="Google Sans" w:cs="Google Sans"/>
          <w:sz w:val="24"/>
          <w:szCs w:val="24"/>
        </w:rPr>
        <w:t xml:space="preserve">Currently, there is inadequate management of assets. Additionally,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does not have all of the proper controls in place and may not be fully compliant with U.S. and international regulations and standards.</w:t>
      </w:r>
      <w:r>
        <w:rPr>
          <w:rFonts w:ascii="Google Sans" w:eastAsia="Google Sans" w:hAnsi="Google Sans" w:cs="Google Sans"/>
        </w:rPr>
        <w:t xml:space="preserve"> </w:t>
      </w:r>
    </w:p>
    <w:p w14:paraId="10CD9DC0" w14:textId="77777777" w:rsidR="0039495B" w:rsidRDefault="00000000">
      <w:pPr>
        <w:pStyle w:val="Heading3"/>
        <w:rPr>
          <w:rFonts w:ascii="Google Sans" w:eastAsia="Google Sans" w:hAnsi="Google Sans" w:cs="Google Sans"/>
        </w:rPr>
      </w:pPr>
      <w:bookmarkStart w:id="7" w:name="_pepjp18yvpjs" w:colFirst="0" w:colLast="0"/>
      <w:bookmarkEnd w:id="7"/>
      <w:r>
        <w:rPr>
          <w:rFonts w:ascii="Google Sans" w:eastAsia="Google Sans" w:hAnsi="Google Sans" w:cs="Google Sans"/>
        </w:rPr>
        <w:t>Control best practices</w:t>
      </w:r>
    </w:p>
    <w:p w14:paraId="3B298479" w14:textId="77777777" w:rsidR="0039495B"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The first of the five functions of the NIST CSF is Identify.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will need to dedicate resources to identify assets so they can appropriately manage them. Additionally, they will need to classify existing assets and determine the impact of the loss of existing assets, including systems, on business continuity.</w:t>
      </w:r>
    </w:p>
    <w:p w14:paraId="42CBF8DD" w14:textId="77777777" w:rsidR="0039495B" w:rsidRDefault="00000000">
      <w:pPr>
        <w:pStyle w:val="Heading3"/>
        <w:rPr>
          <w:rFonts w:ascii="Google Sans" w:eastAsia="Google Sans" w:hAnsi="Google Sans" w:cs="Google Sans"/>
        </w:rPr>
      </w:pPr>
      <w:bookmarkStart w:id="8" w:name="_ghnlzhum2uiy" w:colFirst="0" w:colLast="0"/>
      <w:bookmarkEnd w:id="8"/>
      <w:r>
        <w:rPr>
          <w:rFonts w:ascii="Google Sans" w:eastAsia="Google Sans" w:hAnsi="Google Sans" w:cs="Google Sans"/>
        </w:rPr>
        <w:t>Risk score</w:t>
      </w:r>
    </w:p>
    <w:p w14:paraId="26170722" w14:textId="77777777" w:rsidR="0039495B" w:rsidRDefault="00000000">
      <w:pPr>
        <w:rPr>
          <w:rFonts w:ascii="Google Sans" w:eastAsia="Google Sans" w:hAnsi="Google Sans" w:cs="Google Sans"/>
          <w:sz w:val="24"/>
          <w:szCs w:val="24"/>
        </w:rPr>
      </w:pPr>
      <w:r>
        <w:rPr>
          <w:rFonts w:ascii="Google Sans" w:eastAsia="Google Sans" w:hAnsi="Google Sans" w:cs="Google Sans"/>
          <w:sz w:val="24"/>
          <w:szCs w:val="24"/>
        </w:rPr>
        <w:t>On a scale of 1 to 10, the risk score is 8, which is fairly high. This is due to a lack of controls and adherence to compliance best practices.</w:t>
      </w:r>
    </w:p>
    <w:p w14:paraId="5C797CD1" w14:textId="77777777" w:rsidR="0039495B" w:rsidRDefault="00000000">
      <w:pPr>
        <w:pStyle w:val="Heading3"/>
        <w:rPr>
          <w:rFonts w:ascii="Google Sans" w:eastAsia="Google Sans" w:hAnsi="Google Sans" w:cs="Google Sans"/>
        </w:rPr>
      </w:pPr>
      <w:bookmarkStart w:id="9" w:name="_kmpxjpzb7q2o" w:colFirst="0" w:colLast="0"/>
      <w:bookmarkEnd w:id="9"/>
      <w:r>
        <w:rPr>
          <w:rFonts w:ascii="Google Sans" w:eastAsia="Google Sans" w:hAnsi="Google Sans" w:cs="Google Sans"/>
        </w:rPr>
        <w:t>Additional comments</w:t>
      </w:r>
    </w:p>
    <w:p w14:paraId="3BB6331F" w14:textId="77777777" w:rsidR="0039495B"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The potential impact from the loss of an asset is rated as medium, because the IT department does not know which assets would be at risk. The risk to assets or fines from governing bodies is high because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does not have all of the necessary controls in place and is not fully adhering to best practices related to compliance regulations that keep critical data private/secure. Review the following bullet points for specific details:</w:t>
      </w:r>
    </w:p>
    <w:p w14:paraId="57D3F3E4" w14:textId="77777777" w:rsidR="0039495B" w:rsidRDefault="0039495B">
      <w:pPr>
        <w:rPr>
          <w:rFonts w:ascii="Google Sans" w:eastAsia="Google Sans" w:hAnsi="Google Sans" w:cs="Google Sans"/>
          <w:sz w:val="24"/>
          <w:szCs w:val="24"/>
          <w:highlight w:val="yellow"/>
        </w:rPr>
      </w:pPr>
    </w:p>
    <w:p w14:paraId="7940648A" w14:textId="77777777" w:rsidR="0039495B" w:rsidRDefault="00000000">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Currently, all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employees have access to internally stored data and may be able to access cardholder data and customers’ PII/SPII.</w:t>
      </w:r>
    </w:p>
    <w:p w14:paraId="365E05DC" w14:textId="77777777" w:rsidR="0039495B" w:rsidRDefault="00000000">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Encryption is not currently used to ensure confidentiality of customers’ credit card information that is accepted, processed, transmitted, and stored locally in the company’s internal database. </w:t>
      </w:r>
    </w:p>
    <w:p w14:paraId="501388FC" w14:textId="77777777" w:rsidR="0039495B" w:rsidRDefault="00000000">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Access controls pertaining to least privilege and separation of duties have not been implemented.</w:t>
      </w:r>
    </w:p>
    <w:p w14:paraId="187B1101" w14:textId="77777777" w:rsidR="0039495B" w:rsidRDefault="00000000">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ensured availability and integrated controls to ensure data integrity.</w:t>
      </w:r>
    </w:p>
    <w:p w14:paraId="44480497" w14:textId="77777777" w:rsidR="0039495B"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a firewall that blocks traffic based on an appropriately defined set of security rules.</w:t>
      </w:r>
    </w:p>
    <w:p w14:paraId="19E4FBA9" w14:textId="77777777" w:rsidR="0039495B"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Antivirus software is installed and monitored regularly by the IT department. </w:t>
      </w:r>
    </w:p>
    <w:p w14:paraId="00973DF7" w14:textId="77777777" w:rsidR="0039495B"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The IT department has not installed an intrusion detection system (IDS).</w:t>
      </w:r>
    </w:p>
    <w:p w14:paraId="4530EFB7" w14:textId="2BDC1CE3" w:rsidR="0039495B"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There </w:t>
      </w:r>
      <w:r w:rsidR="000D4314">
        <w:rPr>
          <w:rFonts w:ascii="Google Sans" w:eastAsia="Google Sans" w:hAnsi="Google Sans" w:cs="Google Sans"/>
          <w:sz w:val="24"/>
          <w:szCs w:val="24"/>
        </w:rPr>
        <w:t>is</w:t>
      </w:r>
      <w:r>
        <w:rPr>
          <w:rFonts w:ascii="Google Sans" w:eastAsia="Google Sans" w:hAnsi="Google Sans" w:cs="Google Sans"/>
          <w:sz w:val="24"/>
          <w:szCs w:val="24"/>
        </w:rPr>
        <w:t xml:space="preserve"> no disaster recovery plans currently in place, and the company does not have backups of critical data. </w:t>
      </w:r>
    </w:p>
    <w:p w14:paraId="01692829" w14:textId="77777777" w:rsidR="0039495B"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14:paraId="3A366252" w14:textId="77777777" w:rsidR="0039495B"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Although a password policy exists, its requirements are nominal and not in line with current minimum password complexity requirements (e.g., at least eight characters, a combination of letters and at least one number; special characters). </w:t>
      </w:r>
    </w:p>
    <w:p w14:paraId="5366AAD2" w14:textId="77777777" w:rsidR="0039495B"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There is no centralized password management system that enforces the password policy’s minimum requirements, which sometimes affects productivity when employees/vendors submit a ticket to the IT department to recover or reset a password.</w:t>
      </w:r>
    </w:p>
    <w:p w14:paraId="24B42716" w14:textId="77777777" w:rsidR="0039495B"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While legacy systems are monitored and maintained, there is no regular schedule in place for these tasks and intervention methods are unclear.</w:t>
      </w:r>
    </w:p>
    <w:p w14:paraId="2E4C46F1" w14:textId="77777777" w:rsidR="0039495B"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store’s physical location, which includes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main offices, store front, and warehouse of products, has sufficient locks, up-to-date closed-circuit television (CCTV) surveillance, as well as functioning fire detection and prevention systems.</w:t>
      </w:r>
    </w:p>
    <w:sectPr w:rsidR="0039495B">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1A8BA" w14:textId="77777777" w:rsidR="006B37ED" w:rsidRDefault="006B37ED">
      <w:pPr>
        <w:spacing w:line="240" w:lineRule="auto"/>
      </w:pPr>
      <w:r>
        <w:separator/>
      </w:r>
    </w:p>
  </w:endnote>
  <w:endnote w:type="continuationSeparator" w:id="0">
    <w:p w14:paraId="0D79B456" w14:textId="77777777" w:rsidR="006B37ED" w:rsidRDefault="006B37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CD067D5C-8D9A-430C-B443-E49AD1AA7B9F}"/>
    <w:embedBold r:id="rId2" w:fontKey="{2B90C8A9-1D45-4A99-AA3A-7C7DA9335DCA}"/>
  </w:font>
  <w:font w:name="Calibri">
    <w:panose1 w:val="020F0502020204030204"/>
    <w:charset w:val="00"/>
    <w:family w:val="swiss"/>
    <w:pitch w:val="variable"/>
    <w:sig w:usb0="E4002EFF" w:usb1="C200247B" w:usb2="00000009" w:usb3="00000000" w:csb0="000001FF" w:csb1="00000000"/>
    <w:embedRegular r:id="rId3" w:fontKey="{7ACC9D80-704F-4F42-969E-A193A62F22B7}"/>
  </w:font>
  <w:font w:name="Cambria">
    <w:panose1 w:val="02040503050406030204"/>
    <w:charset w:val="00"/>
    <w:family w:val="roman"/>
    <w:pitch w:val="variable"/>
    <w:sig w:usb0="E00006FF" w:usb1="420024FF" w:usb2="02000000" w:usb3="00000000" w:csb0="0000019F" w:csb1="00000000"/>
    <w:embedRegular r:id="rId4" w:fontKey="{9BBBE97C-7B3B-4886-9EE5-3332F44C267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5C76D" w14:textId="77777777" w:rsidR="006B37ED" w:rsidRDefault="006B37ED">
      <w:pPr>
        <w:spacing w:line="240" w:lineRule="auto"/>
      </w:pPr>
      <w:r>
        <w:separator/>
      </w:r>
    </w:p>
  </w:footnote>
  <w:footnote w:type="continuationSeparator" w:id="0">
    <w:p w14:paraId="6B477C73" w14:textId="77777777" w:rsidR="006B37ED" w:rsidRDefault="006B37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6B14D" w14:textId="77777777" w:rsidR="0039495B" w:rsidRDefault="003949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913F3"/>
    <w:multiLevelType w:val="multilevel"/>
    <w:tmpl w:val="FA74F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FC86E9C"/>
    <w:multiLevelType w:val="multilevel"/>
    <w:tmpl w:val="3DAC7182"/>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494883">
    <w:abstractNumId w:val="0"/>
  </w:num>
  <w:num w:numId="2" w16cid:durableId="1638022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95B"/>
    <w:rsid w:val="000D4314"/>
    <w:rsid w:val="0039495B"/>
    <w:rsid w:val="00560B58"/>
    <w:rsid w:val="006B37ED"/>
    <w:rsid w:val="00A30598"/>
    <w:rsid w:val="00A5202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7DAB4"/>
  <w15:docId w15:val="{99876B75-D35E-47AC-A129-4D3F152D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AVIN NICOLO ROBLES</cp:lastModifiedBy>
  <cp:revision>3</cp:revision>
  <dcterms:created xsi:type="dcterms:W3CDTF">2025-07-23T13:34:00Z</dcterms:created>
  <dcterms:modified xsi:type="dcterms:W3CDTF">2025-07-23T13:58:00Z</dcterms:modified>
</cp:coreProperties>
</file>