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7FAB0" w14:textId="77777777" w:rsidR="00212403" w:rsidRDefault="00212403" w:rsidP="00D36062">
      <w:pPr>
        <w:jc w:val="center"/>
        <w:rPr>
          <w:rFonts w:ascii="Times New Roman" w:eastAsia="Times New Roman" w:hAnsi="Times New Roman" w:cs="Times New Roman"/>
          <w:b/>
          <w:sz w:val="24"/>
          <w:szCs w:val="24"/>
        </w:rPr>
      </w:pPr>
    </w:p>
    <w:p w14:paraId="2D13DCF6" w14:textId="77777777" w:rsidR="00212403" w:rsidRDefault="00212403" w:rsidP="00D36062">
      <w:pPr>
        <w:jc w:val="center"/>
        <w:rPr>
          <w:rFonts w:ascii="Times New Roman" w:eastAsia="Times New Roman" w:hAnsi="Times New Roman" w:cs="Times New Roman"/>
          <w:b/>
          <w:sz w:val="24"/>
          <w:szCs w:val="24"/>
        </w:rPr>
      </w:pPr>
    </w:p>
    <w:p w14:paraId="0CE7F5BC" w14:textId="77777777" w:rsidR="00212403" w:rsidRDefault="00212403" w:rsidP="00D36062">
      <w:pPr>
        <w:jc w:val="center"/>
        <w:rPr>
          <w:rFonts w:ascii="Times New Roman" w:eastAsia="Times New Roman" w:hAnsi="Times New Roman" w:cs="Times New Roman"/>
          <w:b/>
          <w:sz w:val="24"/>
          <w:szCs w:val="24"/>
        </w:rPr>
      </w:pPr>
    </w:p>
    <w:p w14:paraId="379C57E9" w14:textId="77777777" w:rsidR="00212403" w:rsidRDefault="00212403" w:rsidP="00D36062">
      <w:pPr>
        <w:jc w:val="center"/>
        <w:rPr>
          <w:rFonts w:ascii="Times New Roman" w:eastAsia="Times New Roman" w:hAnsi="Times New Roman" w:cs="Times New Roman"/>
          <w:b/>
          <w:sz w:val="24"/>
          <w:szCs w:val="24"/>
        </w:rPr>
      </w:pPr>
    </w:p>
    <w:p w14:paraId="130E1864" w14:textId="77777777" w:rsidR="00212403" w:rsidRDefault="00212403" w:rsidP="00D36062">
      <w:pPr>
        <w:jc w:val="center"/>
        <w:rPr>
          <w:rFonts w:ascii="Times New Roman" w:eastAsia="Times New Roman" w:hAnsi="Times New Roman" w:cs="Times New Roman"/>
          <w:b/>
          <w:sz w:val="24"/>
          <w:szCs w:val="24"/>
        </w:rPr>
      </w:pPr>
    </w:p>
    <w:p w14:paraId="5966F431" w14:textId="77777777" w:rsidR="00212403" w:rsidRDefault="00212403" w:rsidP="00D36062">
      <w:pPr>
        <w:jc w:val="center"/>
        <w:rPr>
          <w:rFonts w:ascii="Times New Roman" w:eastAsia="Times New Roman" w:hAnsi="Times New Roman" w:cs="Times New Roman"/>
          <w:b/>
          <w:sz w:val="24"/>
          <w:szCs w:val="24"/>
        </w:rPr>
      </w:pPr>
    </w:p>
    <w:p w14:paraId="32A37044" w14:textId="77777777" w:rsidR="00212403" w:rsidRDefault="00212403" w:rsidP="00D36062">
      <w:pPr>
        <w:jc w:val="center"/>
        <w:rPr>
          <w:rFonts w:ascii="Times New Roman" w:eastAsia="Times New Roman" w:hAnsi="Times New Roman" w:cs="Times New Roman"/>
          <w:b/>
          <w:sz w:val="24"/>
          <w:szCs w:val="24"/>
        </w:rPr>
      </w:pPr>
    </w:p>
    <w:p w14:paraId="586CCA46" w14:textId="77777777" w:rsidR="00212403" w:rsidRDefault="00212403" w:rsidP="00D36062">
      <w:pPr>
        <w:jc w:val="center"/>
        <w:rPr>
          <w:rFonts w:ascii="Times New Roman" w:eastAsia="Times New Roman" w:hAnsi="Times New Roman" w:cs="Times New Roman"/>
          <w:b/>
          <w:sz w:val="24"/>
          <w:szCs w:val="24"/>
        </w:rPr>
      </w:pPr>
    </w:p>
    <w:p w14:paraId="5E309BED" w14:textId="77777777" w:rsidR="00212403" w:rsidRDefault="00212403" w:rsidP="00D36062">
      <w:pPr>
        <w:jc w:val="center"/>
        <w:rPr>
          <w:rFonts w:ascii="Times New Roman" w:eastAsia="Times New Roman" w:hAnsi="Times New Roman" w:cs="Times New Roman"/>
          <w:b/>
          <w:sz w:val="24"/>
          <w:szCs w:val="24"/>
        </w:rPr>
      </w:pPr>
    </w:p>
    <w:p w14:paraId="27F224CA" w14:textId="77777777" w:rsidR="00212403" w:rsidRDefault="00212403" w:rsidP="00D36062">
      <w:pPr>
        <w:jc w:val="center"/>
        <w:rPr>
          <w:rFonts w:ascii="Times New Roman" w:eastAsia="Times New Roman" w:hAnsi="Times New Roman" w:cs="Times New Roman"/>
          <w:b/>
          <w:sz w:val="24"/>
          <w:szCs w:val="24"/>
        </w:rPr>
      </w:pPr>
    </w:p>
    <w:p w14:paraId="5A4BCE93" w14:textId="77777777" w:rsidR="00212403" w:rsidRDefault="00212403" w:rsidP="00D36062">
      <w:pPr>
        <w:jc w:val="center"/>
        <w:rPr>
          <w:rFonts w:ascii="Times New Roman" w:eastAsia="Times New Roman" w:hAnsi="Times New Roman" w:cs="Times New Roman"/>
          <w:b/>
          <w:sz w:val="24"/>
          <w:szCs w:val="24"/>
        </w:rPr>
      </w:pPr>
    </w:p>
    <w:p w14:paraId="436DF206" w14:textId="77777777" w:rsidR="00212403" w:rsidRDefault="00212403" w:rsidP="00212403">
      <w:pPr>
        <w:rPr>
          <w:rFonts w:ascii="Times New Roman" w:eastAsia="Times New Roman" w:hAnsi="Times New Roman" w:cs="Times New Roman"/>
          <w:b/>
          <w:sz w:val="24"/>
          <w:szCs w:val="24"/>
        </w:rPr>
      </w:pPr>
    </w:p>
    <w:p w14:paraId="4C17977E" w14:textId="6D9096CB" w:rsidR="00262015" w:rsidRPr="00262015" w:rsidRDefault="00262015" w:rsidP="00D36062">
      <w:pPr>
        <w:jc w:val="center"/>
        <w:rPr>
          <w:rFonts w:ascii="Times New Roman" w:eastAsia="Times New Roman" w:hAnsi="Times New Roman" w:cs="Times New Roman"/>
          <w:bCs/>
          <w:sz w:val="24"/>
          <w:szCs w:val="24"/>
        </w:rPr>
      </w:pPr>
      <w:r w:rsidRPr="00D36062">
        <w:rPr>
          <w:rFonts w:ascii="Times New Roman" w:eastAsia="Times New Roman" w:hAnsi="Times New Roman" w:cs="Times New Roman"/>
          <w:b/>
          <w:sz w:val="24"/>
          <w:szCs w:val="24"/>
        </w:rPr>
        <w:t>C</w:t>
      </w:r>
      <w:r w:rsidR="00D36062">
        <w:rPr>
          <w:rFonts w:ascii="Times New Roman" w:eastAsia="Times New Roman" w:hAnsi="Times New Roman" w:cs="Times New Roman"/>
          <w:b/>
          <w:sz w:val="24"/>
          <w:szCs w:val="24"/>
        </w:rPr>
        <w:t>OVID</w:t>
      </w:r>
      <w:r w:rsidRPr="00D36062">
        <w:rPr>
          <w:rFonts w:ascii="Times New Roman" w:eastAsia="Times New Roman" w:hAnsi="Times New Roman" w:cs="Times New Roman"/>
          <w:b/>
          <w:sz w:val="24"/>
          <w:szCs w:val="24"/>
        </w:rPr>
        <w:t xml:space="preserve">-19 </w:t>
      </w:r>
      <w:r w:rsidR="00D36062">
        <w:rPr>
          <w:rFonts w:ascii="Times New Roman" w:eastAsia="Times New Roman" w:hAnsi="Times New Roman" w:cs="Times New Roman"/>
          <w:b/>
          <w:sz w:val="24"/>
          <w:szCs w:val="24"/>
        </w:rPr>
        <w:t>IMPACT</w:t>
      </w:r>
      <w:r w:rsidRPr="00D36062">
        <w:rPr>
          <w:rFonts w:ascii="Times New Roman" w:eastAsia="Times New Roman" w:hAnsi="Times New Roman" w:cs="Times New Roman"/>
          <w:b/>
          <w:sz w:val="24"/>
          <w:szCs w:val="24"/>
        </w:rPr>
        <w:t xml:space="preserve"> </w:t>
      </w:r>
      <w:r w:rsidR="00D36062">
        <w:rPr>
          <w:rFonts w:ascii="Times New Roman" w:eastAsia="Times New Roman" w:hAnsi="Times New Roman" w:cs="Times New Roman"/>
          <w:b/>
          <w:sz w:val="24"/>
          <w:szCs w:val="24"/>
        </w:rPr>
        <w:t>OF</w:t>
      </w:r>
      <w:r w:rsidRPr="00D36062">
        <w:rPr>
          <w:rFonts w:ascii="Times New Roman" w:eastAsia="Times New Roman" w:hAnsi="Times New Roman" w:cs="Times New Roman"/>
          <w:b/>
          <w:sz w:val="24"/>
          <w:szCs w:val="24"/>
        </w:rPr>
        <w:t xml:space="preserve"> G</w:t>
      </w:r>
      <w:r w:rsidR="00D36062">
        <w:rPr>
          <w:rFonts w:ascii="Times New Roman" w:eastAsia="Times New Roman" w:hAnsi="Times New Roman" w:cs="Times New Roman"/>
          <w:b/>
          <w:sz w:val="24"/>
          <w:szCs w:val="24"/>
        </w:rPr>
        <w:t>LOBAL</w:t>
      </w:r>
      <w:r w:rsidRPr="00D36062">
        <w:rPr>
          <w:rFonts w:ascii="Times New Roman" w:eastAsia="Times New Roman" w:hAnsi="Times New Roman" w:cs="Times New Roman"/>
          <w:b/>
          <w:sz w:val="24"/>
          <w:szCs w:val="24"/>
        </w:rPr>
        <w:t xml:space="preserve"> I</w:t>
      </w:r>
      <w:r w:rsidR="00D36062">
        <w:rPr>
          <w:rFonts w:ascii="Times New Roman" w:eastAsia="Times New Roman" w:hAnsi="Times New Roman" w:cs="Times New Roman"/>
          <w:b/>
          <w:sz w:val="24"/>
          <w:szCs w:val="24"/>
        </w:rPr>
        <w:t>NDUSTRY</w:t>
      </w:r>
      <w:r w:rsidRPr="00D36062">
        <w:rPr>
          <w:rFonts w:ascii="Times New Roman" w:eastAsia="Times New Roman" w:hAnsi="Times New Roman" w:cs="Times New Roman"/>
          <w:b/>
          <w:sz w:val="24"/>
          <w:szCs w:val="24"/>
        </w:rPr>
        <w:t xml:space="preserve"> C</w:t>
      </w:r>
      <w:r w:rsidR="00D36062">
        <w:rPr>
          <w:rFonts w:ascii="Times New Roman" w:eastAsia="Times New Roman" w:hAnsi="Times New Roman" w:cs="Times New Roman"/>
          <w:b/>
          <w:sz w:val="24"/>
          <w:szCs w:val="24"/>
        </w:rPr>
        <w:t>LASSIFICATION</w:t>
      </w:r>
      <w:r w:rsidRPr="00D36062">
        <w:rPr>
          <w:rFonts w:ascii="Times New Roman" w:eastAsia="Times New Roman" w:hAnsi="Times New Roman" w:cs="Times New Roman"/>
          <w:b/>
          <w:sz w:val="24"/>
          <w:szCs w:val="24"/>
        </w:rPr>
        <w:t xml:space="preserve"> </w:t>
      </w:r>
      <w:r w:rsidR="00D36062">
        <w:rPr>
          <w:rFonts w:ascii="Times New Roman" w:eastAsia="Times New Roman" w:hAnsi="Times New Roman" w:cs="Times New Roman"/>
          <w:b/>
          <w:sz w:val="24"/>
          <w:szCs w:val="24"/>
        </w:rPr>
        <w:t>STANDARD</w:t>
      </w:r>
      <w:r w:rsidRPr="00D36062">
        <w:rPr>
          <w:rFonts w:ascii="Times New Roman" w:eastAsia="Times New Roman" w:hAnsi="Times New Roman" w:cs="Times New Roman"/>
          <w:b/>
          <w:sz w:val="24"/>
          <w:szCs w:val="24"/>
        </w:rPr>
        <w:t xml:space="preserve"> (GICS) </w:t>
      </w:r>
      <w:r w:rsidR="00D36062">
        <w:rPr>
          <w:rFonts w:ascii="Times New Roman" w:eastAsia="Times New Roman" w:hAnsi="Times New Roman" w:cs="Times New Roman"/>
          <w:b/>
          <w:sz w:val="24"/>
          <w:szCs w:val="24"/>
        </w:rPr>
        <w:t>SECTORS</w:t>
      </w:r>
      <w:r w:rsidRPr="00D36062">
        <w:rPr>
          <w:rFonts w:ascii="Times New Roman" w:eastAsia="Times New Roman" w:hAnsi="Times New Roman" w:cs="Times New Roman"/>
          <w:b/>
          <w:sz w:val="24"/>
          <w:szCs w:val="24"/>
        </w:rPr>
        <w:t>: A</w:t>
      </w:r>
      <w:r w:rsidR="00D36062">
        <w:rPr>
          <w:rFonts w:ascii="Times New Roman" w:eastAsia="Times New Roman" w:hAnsi="Times New Roman" w:cs="Times New Roman"/>
          <w:b/>
          <w:sz w:val="24"/>
          <w:szCs w:val="24"/>
        </w:rPr>
        <w:t>N</w:t>
      </w:r>
      <w:r w:rsidRPr="00D36062">
        <w:rPr>
          <w:rFonts w:ascii="Times New Roman" w:eastAsia="Times New Roman" w:hAnsi="Times New Roman" w:cs="Times New Roman"/>
          <w:b/>
          <w:sz w:val="24"/>
          <w:szCs w:val="24"/>
        </w:rPr>
        <w:t xml:space="preserve"> </w:t>
      </w:r>
      <w:r w:rsidR="00D36062">
        <w:rPr>
          <w:rFonts w:ascii="Times New Roman" w:eastAsia="Times New Roman" w:hAnsi="Times New Roman" w:cs="Times New Roman"/>
          <w:b/>
          <w:sz w:val="24"/>
          <w:szCs w:val="24"/>
        </w:rPr>
        <w:t>EMP</w:t>
      </w:r>
      <w:r w:rsidR="00CD6A26">
        <w:rPr>
          <w:rFonts w:ascii="Times New Roman" w:eastAsia="Times New Roman" w:hAnsi="Times New Roman" w:cs="Times New Roman"/>
          <w:b/>
          <w:sz w:val="24"/>
          <w:szCs w:val="24"/>
        </w:rPr>
        <w:t>I</w:t>
      </w:r>
      <w:r w:rsidR="00D36062">
        <w:rPr>
          <w:rFonts w:ascii="Times New Roman" w:eastAsia="Times New Roman" w:hAnsi="Times New Roman" w:cs="Times New Roman"/>
          <w:b/>
          <w:sz w:val="24"/>
          <w:szCs w:val="24"/>
        </w:rPr>
        <w:t>RICAL</w:t>
      </w:r>
      <w:r w:rsidRPr="00D36062">
        <w:rPr>
          <w:rFonts w:ascii="Times New Roman" w:eastAsia="Times New Roman" w:hAnsi="Times New Roman" w:cs="Times New Roman"/>
          <w:b/>
          <w:sz w:val="24"/>
          <w:szCs w:val="24"/>
        </w:rPr>
        <w:t xml:space="preserve"> </w:t>
      </w:r>
      <w:r w:rsidR="00D36062">
        <w:rPr>
          <w:rFonts w:ascii="Times New Roman" w:eastAsia="Times New Roman" w:hAnsi="Times New Roman" w:cs="Times New Roman"/>
          <w:b/>
          <w:sz w:val="24"/>
          <w:szCs w:val="24"/>
        </w:rPr>
        <w:t>ANALYSIS</w:t>
      </w:r>
      <w:r w:rsidRPr="00D36062">
        <w:rPr>
          <w:rFonts w:ascii="Times New Roman" w:eastAsia="Times New Roman" w:hAnsi="Times New Roman" w:cs="Times New Roman"/>
          <w:b/>
          <w:sz w:val="24"/>
          <w:szCs w:val="24"/>
        </w:rPr>
        <w:t xml:space="preserve"> </w:t>
      </w:r>
      <w:r w:rsidR="00D36062">
        <w:rPr>
          <w:rFonts w:ascii="Times New Roman" w:eastAsia="Times New Roman" w:hAnsi="Times New Roman" w:cs="Times New Roman"/>
          <w:b/>
          <w:sz w:val="24"/>
          <w:szCs w:val="24"/>
        </w:rPr>
        <w:t>THROUGH</w:t>
      </w:r>
      <w:r w:rsidRPr="00D36062">
        <w:rPr>
          <w:rFonts w:ascii="Times New Roman" w:eastAsia="Times New Roman" w:hAnsi="Times New Roman" w:cs="Times New Roman"/>
          <w:b/>
          <w:sz w:val="24"/>
          <w:szCs w:val="24"/>
        </w:rPr>
        <w:t xml:space="preserve"> </w:t>
      </w:r>
      <w:r w:rsidR="00D36062">
        <w:rPr>
          <w:rFonts w:ascii="Times New Roman" w:eastAsia="Times New Roman" w:hAnsi="Times New Roman" w:cs="Times New Roman"/>
          <w:b/>
          <w:sz w:val="24"/>
          <w:szCs w:val="24"/>
        </w:rPr>
        <w:t>EVENT</w:t>
      </w:r>
      <w:r w:rsidRPr="00D36062">
        <w:rPr>
          <w:rFonts w:ascii="Times New Roman" w:eastAsia="Times New Roman" w:hAnsi="Times New Roman" w:cs="Times New Roman"/>
          <w:b/>
          <w:sz w:val="24"/>
          <w:szCs w:val="24"/>
        </w:rPr>
        <w:t xml:space="preserve"> </w:t>
      </w:r>
      <w:r w:rsidR="00D36062">
        <w:rPr>
          <w:rFonts w:ascii="Times New Roman" w:eastAsia="Times New Roman" w:hAnsi="Times New Roman" w:cs="Times New Roman"/>
          <w:b/>
          <w:sz w:val="24"/>
          <w:szCs w:val="24"/>
        </w:rPr>
        <w:t>STUDY</w:t>
      </w:r>
      <w:r w:rsidRPr="00D36062">
        <w:rPr>
          <w:rFonts w:ascii="Times New Roman" w:eastAsia="Times New Roman" w:hAnsi="Times New Roman" w:cs="Times New Roman"/>
          <w:b/>
          <w:sz w:val="24"/>
          <w:szCs w:val="24"/>
        </w:rPr>
        <w:t xml:space="preserve"> </w:t>
      </w:r>
      <w:r w:rsidR="00D36062">
        <w:rPr>
          <w:rFonts w:ascii="Times New Roman" w:eastAsia="Times New Roman" w:hAnsi="Times New Roman" w:cs="Times New Roman"/>
          <w:b/>
          <w:sz w:val="24"/>
          <w:szCs w:val="24"/>
        </w:rPr>
        <w:t>APPROACH</w:t>
      </w:r>
      <w:r w:rsidRPr="00D36062">
        <w:rPr>
          <w:rFonts w:ascii="Times New Roman" w:eastAsia="Times New Roman" w:hAnsi="Times New Roman" w:cs="Times New Roman"/>
          <w:b/>
          <w:sz w:val="24"/>
          <w:szCs w:val="24"/>
        </w:rPr>
        <w:br/>
      </w:r>
      <w:r w:rsidRPr="00262015">
        <w:rPr>
          <w:rFonts w:ascii="Times New Roman" w:eastAsia="Times New Roman" w:hAnsi="Times New Roman" w:cs="Times New Roman"/>
          <w:bCs/>
          <w:sz w:val="24"/>
          <w:szCs w:val="24"/>
        </w:rPr>
        <w:br/>
        <w:t>Abhyudaya Rajbhandari</w:t>
      </w:r>
    </w:p>
    <w:p w14:paraId="2D1F8355" w14:textId="77777777" w:rsidR="00262015" w:rsidRPr="00262015" w:rsidRDefault="00262015" w:rsidP="00D36062">
      <w:pPr>
        <w:jc w:val="center"/>
        <w:rPr>
          <w:rFonts w:ascii="Times New Roman" w:eastAsia="Times New Roman" w:hAnsi="Times New Roman" w:cs="Times New Roman"/>
          <w:bCs/>
          <w:sz w:val="24"/>
          <w:szCs w:val="24"/>
        </w:rPr>
      </w:pPr>
    </w:p>
    <w:p w14:paraId="263B5D8A" w14:textId="77777777" w:rsidR="00262015" w:rsidRPr="00262015" w:rsidRDefault="00262015" w:rsidP="00D36062">
      <w:pPr>
        <w:rPr>
          <w:rFonts w:ascii="Times New Roman" w:eastAsia="Times New Roman" w:hAnsi="Times New Roman" w:cs="Times New Roman"/>
          <w:bCs/>
          <w:sz w:val="24"/>
          <w:szCs w:val="24"/>
        </w:rPr>
      </w:pPr>
    </w:p>
    <w:p w14:paraId="2C01F67A" w14:textId="7792EB5F" w:rsidR="00262015" w:rsidRPr="00262015" w:rsidRDefault="00262015" w:rsidP="00D36062">
      <w:pPr>
        <w:jc w:val="cente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Ameesh Upadhyay, Keith E Maskus</w:t>
      </w:r>
      <w:r w:rsidRPr="00262015">
        <w:rPr>
          <w:rFonts w:ascii="Times New Roman" w:eastAsia="Times New Roman" w:hAnsi="Times New Roman" w:cs="Times New Roman"/>
          <w:bCs/>
          <w:sz w:val="24"/>
          <w:szCs w:val="24"/>
        </w:rPr>
        <w:br/>
      </w:r>
    </w:p>
    <w:p w14:paraId="2E024AE7" w14:textId="2BE93226" w:rsidR="00262015" w:rsidRPr="00262015" w:rsidRDefault="00262015" w:rsidP="00D36062">
      <w:pPr>
        <w:jc w:val="cente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ASSET PROGRAM</w:t>
      </w:r>
    </w:p>
    <w:p w14:paraId="1FA6993C" w14:textId="77777777" w:rsidR="00262015" w:rsidRPr="00262015" w:rsidRDefault="00262015" w:rsidP="00D36062">
      <w:pPr>
        <w:jc w:val="center"/>
        <w:rPr>
          <w:rFonts w:ascii="Times New Roman" w:eastAsia="Times New Roman" w:hAnsi="Times New Roman" w:cs="Times New Roman"/>
          <w:bCs/>
          <w:sz w:val="24"/>
          <w:szCs w:val="24"/>
        </w:rPr>
      </w:pPr>
    </w:p>
    <w:p w14:paraId="53D92131" w14:textId="220CA157" w:rsidR="00262015" w:rsidRPr="00262015" w:rsidRDefault="00262015" w:rsidP="00D36062">
      <w:pPr>
        <w:jc w:val="cente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KNOX COLLEGE</w:t>
      </w:r>
    </w:p>
    <w:p w14:paraId="7316CB1C" w14:textId="574FFA6C" w:rsidR="00262015" w:rsidRPr="00262015" w:rsidRDefault="00262015" w:rsidP="00D36062">
      <w:pPr>
        <w:jc w:val="cente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Galesburg, IL 61401</w:t>
      </w:r>
    </w:p>
    <w:p w14:paraId="625804B2" w14:textId="26D5F994" w:rsidR="00262015" w:rsidRPr="00262015" w:rsidRDefault="00262015" w:rsidP="00D36062">
      <w:pPr>
        <w:jc w:val="cente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September 2023</w:t>
      </w:r>
    </w:p>
    <w:p w14:paraId="205E1760" w14:textId="7B50213A" w:rsidR="00B202F0" w:rsidRPr="00212403" w:rsidRDefault="00262015" w:rsidP="00C53D39">
      <w:pPr>
        <w:rPr>
          <w:rFonts w:ascii="Times New Roman" w:eastAsia="Times New Roman" w:hAnsi="Times New Roman" w:cs="Times New Roman"/>
          <w:b/>
          <w:sz w:val="28"/>
          <w:szCs w:val="28"/>
        </w:rPr>
      </w:pPr>
      <w:r w:rsidRPr="00262015">
        <w:rPr>
          <w:rFonts w:ascii="Times New Roman" w:eastAsia="Times New Roman" w:hAnsi="Times New Roman" w:cs="Times New Roman"/>
          <w:bCs/>
          <w:sz w:val="24"/>
          <w:szCs w:val="24"/>
        </w:rPr>
        <w:br w:type="page"/>
      </w:r>
      <w:r w:rsidR="00C53D39" w:rsidRPr="00212403">
        <w:rPr>
          <w:rFonts w:ascii="Times New Roman" w:eastAsia="Times New Roman" w:hAnsi="Times New Roman" w:cs="Times New Roman"/>
          <w:b/>
          <w:sz w:val="28"/>
          <w:szCs w:val="28"/>
        </w:rPr>
        <w:lastRenderedPageBreak/>
        <w:t xml:space="preserve">1. </w:t>
      </w:r>
      <w:r w:rsidR="00C600BB" w:rsidRPr="00212403">
        <w:rPr>
          <w:rFonts w:ascii="Times New Roman" w:eastAsia="Times New Roman" w:hAnsi="Times New Roman" w:cs="Times New Roman"/>
          <w:b/>
          <w:sz w:val="28"/>
          <w:szCs w:val="28"/>
        </w:rPr>
        <w:t>Introduction</w:t>
      </w:r>
    </w:p>
    <w:p w14:paraId="205E1761" w14:textId="77777777" w:rsidR="00B202F0" w:rsidRPr="00262015" w:rsidRDefault="00B202F0">
      <w:pPr>
        <w:rPr>
          <w:rFonts w:ascii="Times New Roman" w:eastAsia="Times New Roman" w:hAnsi="Times New Roman" w:cs="Times New Roman"/>
          <w:bCs/>
          <w:sz w:val="24"/>
          <w:szCs w:val="24"/>
        </w:rPr>
      </w:pPr>
    </w:p>
    <w:p w14:paraId="205E1762" w14:textId="48D51B64" w:rsidR="00B202F0" w:rsidRPr="00262015" w:rsidRDefault="00C600BB">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Since the Coronavirus disease (COVID-19) outbreak, there has been extensive research on its impact on the global economy and the financial markets. Some studies investigate the unprecedented impact of the pandemic on the stock exchange of G-20 countries and WAEMU (West African Economic and Monetary Union) (Singh et al.; Zoungrana et al.). Some studies investigate whether the COVID-19 pandemic significantly affected the performance of 11 leading global stock indices and </w:t>
      </w:r>
      <w:r w:rsidR="002B2E88" w:rsidRPr="00262015">
        <w:rPr>
          <w:rFonts w:ascii="Times New Roman" w:eastAsia="Times New Roman" w:hAnsi="Times New Roman" w:cs="Times New Roman"/>
          <w:bCs/>
          <w:sz w:val="24"/>
          <w:szCs w:val="24"/>
        </w:rPr>
        <w:t>explore</w:t>
      </w:r>
      <w:r w:rsidRPr="00262015">
        <w:rPr>
          <w:rFonts w:ascii="Times New Roman" w:eastAsia="Times New Roman" w:hAnsi="Times New Roman" w:cs="Times New Roman"/>
          <w:bCs/>
          <w:sz w:val="24"/>
          <w:szCs w:val="24"/>
        </w:rPr>
        <w:t xml:space="preserve"> the extent and direction of the pandemic in the performance of the stock indices (Ji et al.).</w:t>
      </w:r>
    </w:p>
    <w:p w14:paraId="205E1763" w14:textId="77777777" w:rsidR="00B202F0" w:rsidRPr="00262015" w:rsidRDefault="00B202F0">
      <w:pPr>
        <w:rPr>
          <w:rFonts w:ascii="Times New Roman" w:eastAsia="Times New Roman" w:hAnsi="Times New Roman" w:cs="Times New Roman"/>
          <w:bCs/>
          <w:sz w:val="24"/>
          <w:szCs w:val="24"/>
        </w:rPr>
      </w:pPr>
    </w:p>
    <w:p w14:paraId="205E1764" w14:textId="547F972B" w:rsidR="00B202F0" w:rsidRPr="00262015" w:rsidRDefault="00C600BB">
      <w:pPr>
        <w:rPr>
          <w:rFonts w:ascii="Times New Roman" w:eastAsia="Times New Roman" w:hAnsi="Times New Roman" w:cs="Times New Roman"/>
          <w:bCs/>
          <w:sz w:val="24"/>
          <w:szCs w:val="24"/>
          <w:highlight w:val="white"/>
        </w:rPr>
      </w:pPr>
      <w:r w:rsidRPr="00262015">
        <w:rPr>
          <w:rFonts w:ascii="Times New Roman" w:eastAsia="Times New Roman" w:hAnsi="Times New Roman" w:cs="Times New Roman"/>
          <w:bCs/>
          <w:sz w:val="24"/>
          <w:szCs w:val="24"/>
        </w:rPr>
        <w:t xml:space="preserve">Due to the severity and frequency of the virus, many countries all over the world started taking Public Health and Social Measures (PMSH) defined by WHO such as social distancing, wearing masks, and lockdowns to mitigate the spread (“Coronavirus”). Economic activity particularly suffered in sectors that rely heavily on human interaction in product or service products such as hotels, restaurants, retail, and entertainment (Ashraf et al., 2021). Looking back to 1985, no other infectious disease outbreak had more than a tiny effect on U.S. stock market volatility (Baker et al.). </w:t>
      </w:r>
      <w:r w:rsidR="00AC77ED" w:rsidRPr="00262015">
        <w:rPr>
          <w:rFonts w:ascii="Times New Roman" w:eastAsia="Times New Roman" w:hAnsi="Times New Roman" w:cs="Times New Roman"/>
          <w:bCs/>
          <w:sz w:val="24"/>
          <w:szCs w:val="24"/>
        </w:rPr>
        <w:t>L</w:t>
      </w:r>
      <w:r w:rsidRPr="00262015">
        <w:rPr>
          <w:rFonts w:ascii="Times New Roman" w:eastAsia="Times New Roman" w:hAnsi="Times New Roman" w:cs="Times New Roman"/>
          <w:bCs/>
          <w:sz w:val="24"/>
          <w:szCs w:val="24"/>
        </w:rPr>
        <w:t xml:space="preserve">ooking back </w:t>
      </w:r>
      <w:r w:rsidR="00AC77ED" w:rsidRPr="00262015">
        <w:rPr>
          <w:rFonts w:ascii="Times New Roman" w:eastAsia="Times New Roman" w:hAnsi="Times New Roman" w:cs="Times New Roman"/>
          <w:bCs/>
          <w:sz w:val="24"/>
          <w:szCs w:val="24"/>
        </w:rPr>
        <w:t xml:space="preserve">further </w:t>
      </w:r>
      <w:r w:rsidRPr="00262015">
        <w:rPr>
          <w:rFonts w:ascii="Times New Roman" w:eastAsia="Times New Roman" w:hAnsi="Times New Roman" w:cs="Times New Roman"/>
          <w:bCs/>
          <w:sz w:val="24"/>
          <w:szCs w:val="24"/>
        </w:rPr>
        <w:t xml:space="preserve">to 1900, </w:t>
      </w:r>
      <w:r w:rsidR="00AC77ED" w:rsidRPr="00262015">
        <w:rPr>
          <w:rFonts w:ascii="Times New Roman" w:eastAsia="Times New Roman" w:hAnsi="Times New Roman" w:cs="Times New Roman"/>
          <w:bCs/>
          <w:sz w:val="24"/>
          <w:szCs w:val="24"/>
        </w:rPr>
        <w:t>there is not</w:t>
      </w:r>
      <w:r w:rsidRPr="00262015">
        <w:rPr>
          <w:rFonts w:ascii="Times New Roman" w:eastAsia="Times New Roman" w:hAnsi="Times New Roman" w:cs="Times New Roman"/>
          <w:bCs/>
          <w:sz w:val="24"/>
          <w:szCs w:val="24"/>
        </w:rPr>
        <w:t xml:space="preserve"> a single instance in which contemporaneous newspaper accounts attribute a large daily market move to pandemic-related developments. That includes the Spanish Flu of 1918-20, which killed an estimated 2.0 percent of the world’s population (Barro et al., 2020). In contrast, various studies have shown that news related to COVID-19 – both positive and negative – is the dominant driver of large daily U.S. stock market moves. </w:t>
      </w:r>
      <w:r w:rsidRPr="00262015">
        <w:rPr>
          <w:rFonts w:ascii="Times New Roman" w:eastAsia="Times New Roman" w:hAnsi="Times New Roman" w:cs="Times New Roman"/>
          <w:bCs/>
          <w:sz w:val="24"/>
          <w:szCs w:val="24"/>
          <w:highlight w:val="white"/>
        </w:rPr>
        <w:t xml:space="preserve">Recent studies by </w:t>
      </w:r>
      <w:hyperlink r:id="rId8" w:anchor="bib0004">
        <w:r w:rsidRPr="00262015">
          <w:rPr>
            <w:rFonts w:ascii="Times New Roman" w:eastAsia="Times New Roman" w:hAnsi="Times New Roman" w:cs="Times New Roman"/>
            <w:bCs/>
            <w:sz w:val="24"/>
            <w:szCs w:val="24"/>
            <w:highlight w:val="white"/>
          </w:rPr>
          <w:t>Baek et al., 2020</w:t>
        </w:r>
      </w:hyperlink>
      <w:r w:rsidRPr="00262015">
        <w:rPr>
          <w:rFonts w:ascii="Times New Roman" w:eastAsia="Times New Roman" w:hAnsi="Times New Roman" w:cs="Times New Roman"/>
          <w:bCs/>
          <w:sz w:val="24"/>
          <w:szCs w:val="24"/>
          <w:highlight w:val="white"/>
        </w:rPr>
        <w:t xml:space="preserve">; </w:t>
      </w:r>
      <w:hyperlink r:id="rId9" w:anchor="bib0015">
        <w:r w:rsidRPr="00262015">
          <w:rPr>
            <w:rFonts w:ascii="Times New Roman" w:eastAsia="Times New Roman" w:hAnsi="Times New Roman" w:cs="Times New Roman"/>
            <w:bCs/>
            <w:sz w:val="24"/>
            <w:szCs w:val="24"/>
            <w:highlight w:val="white"/>
          </w:rPr>
          <w:t>Goodell and Huynh, 2020</w:t>
        </w:r>
      </w:hyperlink>
      <w:r w:rsidRPr="00262015">
        <w:rPr>
          <w:rFonts w:ascii="Times New Roman" w:eastAsia="Times New Roman" w:hAnsi="Times New Roman" w:cs="Times New Roman"/>
          <w:bCs/>
          <w:sz w:val="24"/>
          <w:szCs w:val="24"/>
          <w:highlight w:val="white"/>
        </w:rPr>
        <w:t xml:space="preserve">; </w:t>
      </w:r>
      <w:hyperlink r:id="rId10" w:anchor="bib0020">
        <w:r w:rsidRPr="00262015">
          <w:rPr>
            <w:rFonts w:ascii="Times New Roman" w:eastAsia="Times New Roman" w:hAnsi="Times New Roman" w:cs="Times New Roman"/>
            <w:bCs/>
            <w:sz w:val="24"/>
            <w:szCs w:val="24"/>
            <w:highlight w:val="white"/>
          </w:rPr>
          <w:t>Koren and Pető, 2020</w:t>
        </w:r>
      </w:hyperlink>
      <w:r w:rsidRPr="00262015">
        <w:rPr>
          <w:rFonts w:ascii="Times New Roman" w:eastAsia="Times New Roman" w:hAnsi="Times New Roman" w:cs="Times New Roman"/>
          <w:bCs/>
          <w:sz w:val="24"/>
          <w:szCs w:val="24"/>
          <w:highlight w:val="white"/>
        </w:rPr>
        <w:t xml:space="preserve"> show that changes in volatility are more sensitive to COVID-19 news than economic indicators. Additionally, the negative news regarding the number of deaths is twice as impactful as positive news regarding recoveries suggesting a negativity bias (Baker et al.).</w:t>
      </w:r>
    </w:p>
    <w:p w14:paraId="205E1765" w14:textId="77777777" w:rsidR="00B202F0" w:rsidRPr="00262015" w:rsidRDefault="00B202F0">
      <w:pPr>
        <w:rPr>
          <w:rFonts w:ascii="Times New Roman" w:eastAsia="Times New Roman" w:hAnsi="Times New Roman" w:cs="Times New Roman"/>
          <w:bCs/>
          <w:sz w:val="24"/>
          <w:szCs w:val="24"/>
          <w:highlight w:val="white"/>
        </w:rPr>
      </w:pPr>
    </w:p>
    <w:p w14:paraId="205E1766" w14:textId="436C6981" w:rsidR="00B202F0" w:rsidRPr="00262015" w:rsidRDefault="00AC77ED">
      <w:pPr>
        <w:rPr>
          <w:rFonts w:ascii="Times New Roman" w:eastAsia="Times New Roman" w:hAnsi="Times New Roman" w:cs="Times New Roman"/>
          <w:bCs/>
          <w:sz w:val="24"/>
          <w:szCs w:val="24"/>
          <w:highlight w:val="white"/>
        </w:rPr>
      </w:pPr>
      <w:r w:rsidRPr="00262015">
        <w:rPr>
          <w:rFonts w:ascii="Times New Roman" w:eastAsia="Times New Roman" w:hAnsi="Times New Roman" w:cs="Times New Roman"/>
          <w:bCs/>
          <w:sz w:val="24"/>
          <w:szCs w:val="24"/>
          <w:highlight w:val="white"/>
        </w:rPr>
        <w:t>T</w:t>
      </w:r>
      <w:r w:rsidR="00C600BB" w:rsidRPr="00262015">
        <w:rPr>
          <w:rFonts w:ascii="Times New Roman" w:eastAsia="Times New Roman" w:hAnsi="Times New Roman" w:cs="Times New Roman"/>
          <w:bCs/>
          <w:sz w:val="24"/>
          <w:szCs w:val="24"/>
          <w:highlight w:val="white"/>
        </w:rPr>
        <w:t xml:space="preserve">he ongoing situation of the pandemic makes it important to take contemporaneous events and data into account. </w:t>
      </w:r>
      <w:r w:rsidRPr="00262015">
        <w:rPr>
          <w:rFonts w:ascii="Times New Roman" w:eastAsia="Times New Roman" w:hAnsi="Times New Roman" w:cs="Times New Roman"/>
          <w:bCs/>
          <w:sz w:val="24"/>
          <w:szCs w:val="24"/>
          <w:highlight w:val="white"/>
        </w:rPr>
        <w:t xml:space="preserve">Despite the extensive literature available on the pandemic’s impact on the stock market, </w:t>
      </w:r>
      <w:r w:rsidR="00C600BB" w:rsidRPr="00262015">
        <w:rPr>
          <w:rFonts w:ascii="Times New Roman" w:eastAsia="Times New Roman" w:hAnsi="Times New Roman" w:cs="Times New Roman"/>
          <w:bCs/>
          <w:sz w:val="24"/>
          <w:szCs w:val="24"/>
          <w:highlight w:val="white"/>
        </w:rPr>
        <w:t xml:space="preserve">few studies take into consideration the Omicron wave of COVID-19. The intense global surge of Omicron infections and waves of infection of subvariants of Omicron caused essential services to be rapidly overwhelmed in many countries, including through illness or quarantine of essential personnel. The reduced severity of Omicron, compared to Delta, changed the cost-benefit balance of implementing strict PHSM and further contributed to the decoupling between incidence and severe disease (WHO, 2023). Moreover, the previous studies don’t take into account the ongoing banking crisis in 2023 and the rapid increase in interest rates and their effects on the stock market. The current events can be a long-term outcome of the pandemic and taking them into account may be imperative for drawing a comprehensive conclusion on the pandemic and the stock market. </w:t>
      </w:r>
    </w:p>
    <w:p w14:paraId="205E1767" w14:textId="77777777" w:rsidR="00B202F0" w:rsidRPr="00262015" w:rsidRDefault="00B202F0">
      <w:pPr>
        <w:rPr>
          <w:rFonts w:ascii="Times New Roman" w:eastAsia="Times New Roman" w:hAnsi="Times New Roman" w:cs="Times New Roman"/>
          <w:bCs/>
          <w:sz w:val="24"/>
          <w:szCs w:val="24"/>
        </w:rPr>
      </w:pPr>
    </w:p>
    <w:p w14:paraId="205E1768" w14:textId="77777777" w:rsidR="00B202F0" w:rsidRPr="00262015" w:rsidRDefault="00C600BB">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lastRenderedPageBreak/>
        <w:t xml:space="preserve">Three of the aforementioned research are utilize the event study approach to provide insights into the impact of COVID-19 on the stock market. Event studies have become increasingly sophisticated over the years, with modifications made to accommodate specific hypotheses and confounding variables. This progress has enabled researchers to analyze the impact of significant events, such as the outbreak of COVID-19, on financial markets (MacKinlay, 1997). </w:t>
      </w:r>
    </w:p>
    <w:p w14:paraId="205E1769" w14:textId="77777777" w:rsidR="00B202F0" w:rsidRPr="00262015" w:rsidRDefault="00B202F0">
      <w:pPr>
        <w:rPr>
          <w:rFonts w:ascii="Times New Roman" w:eastAsia="Times New Roman" w:hAnsi="Times New Roman" w:cs="Times New Roman"/>
          <w:bCs/>
          <w:sz w:val="24"/>
          <w:szCs w:val="24"/>
        </w:rPr>
      </w:pPr>
    </w:p>
    <w:p w14:paraId="2D8A0244" w14:textId="098377E4" w:rsidR="00E74282" w:rsidRDefault="00E74282">
      <w:pPr>
        <w:rPr>
          <w:rFonts w:ascii="Times New Roman" w:eastAsia="Times New Roman" w:hAnsi="Times New Roman" w:cs="Times New Roman"/>
          <w:bCs/>
          <w:sz w:val="24"/>
          <w:szCs w:val="24"/>
        </w:rPr>
      </w:pPr>
      <w:r w:rsidRPr="00E74282">
        <w:rPr>
          <w:rFonts w:ascii="Times New Roman" w:eastAsia="Times New Roman" w:hAnsi="Times New Roman" w:cs="Times New Roman"/>
          <w:bCs/>
          <w:sz w:val="24"/>
          <w:szCs w:val="24"/>
        </w:rPr>
        <w:t>I employ the event study methodology to analyze the impact of COVID-19 on specific sectors within the stock market. The study utilizes S&amp;P sector indices that align with the General Industry Classification Standards (GICS) sectors, with all data sourced from investing.com. It investigates the shift in investor sentiment before and after the event. A key insight from the research is the potentia</w:t>
      </w:r>
      <w:r>
        <w:rPr>
          <w:rFonts w:ascii="Times New Roman" w:eastAsia="Times New Roman" w:hAnsi="Times New Roman" w:cs="Times New Roman"/>
          <w:bCs/>
          <w:sz w:val="24"/>
          <w:szCs w:val="24"/>
        </w:rPr>
        <w:t xml:space="preserve">l attainment of </w:t>
      </w:r>
      <w:r w:rsidR="002B2E88">
        <w:rPr>
          <w:rFonts w:ascii="Times New Roman" w:eastAsia="Times New Roman" w:hAnsi="Times New Roman" w:cs="Times New Roman"/>
          <w:bCs/>
          <w:sz w:val="24"/>
          <w:szCs w:val="24"/>
        </w:rPr>
        <w:t>i</w:t>
      </w:r>
      <w:r w:rsidR="002B2E88" w:rsidRPr="00E74282">
        <w:rPr>
          <w:rFonts w:ascii="Times New Roman" w:eastAsia="Times New Roman" w:hAnsi="Times New Roman" w:cs="Times New Roman"/>
          <w:bCs/>
          <w:sz w:val="24"/>
          <w:szCs w:val="24"/>
        </w:rPr>
        <w:t>n</w:t>
      </w:r>
      <w:r w:rsidR="002B2E88">
        <w:rPr>
          <w:rFonts w:ascii="Times New Roman" w:eastAsia="Times New Roman" w:hAnsi="Times New Roman" w:cs="Times New Roman"/>
          <w:bCs/>
          <w:sz w:val="24"/>
          <w:szCs w:val="24"/>
        </w:rPr>
        <w:t>formation about</w:t>
      </w:r>
      <w:r w:rsidRPr="00E74282">
        <w:rPr>
          <w:rFonts w:ascii="Times New Roman" w:eastAsia="Times New Roman" w:hAnsi="Times New Roman" w:cs="Times New Roman"/>
          <w:bCs/>
          <w:sz w:val="24"/>
          <w:szCs w:val="24"/>
        </w:rPr>
        <w:t xml:space="preserve"> the</w:t>
      </w:r>
      <w:r w:rsidR="002B2E88">
        <w:rPr>
          <w:rFonts w:ascii="Times New Roman" w:eastAsia="Times New Roman" w:hAnsi="Times New Roman" w:cs="Times New Roman"/>
          <w:bCs/>
          <w:sz w:val="24"/>
          <w:szCs w:val="24"/>
        </w:rPr>
        <w:t xml:space="preserve"> event in the</w:t>
      </w:r>
      <w:r w:rsidRPr="00E74282">
        <w:rPr>
          <w:rFonts w:ascii="Times New Roman" w:eastAsia="Times New Roman" w:hAnsi="Times New Roman" w:cs="Times New Roman"/>
          <w:bCs/>
          <w:sz w:val="24"/>
          <w:szCs w:val="24"/>
        </w:rPr>
        <w:t xml:space="preserve"> market preceding the event, as highlighted by MacKinlay (1997).</w:t>
      </w:r>
    </w:p>
    <w:p w14:paraId="41152C46" w14:textId="77777777" w:rsidR="00D75250" w:rsidRDefault="00D75250">
      <w:pPr>
        <w:rPr>
          <w:rFonts w:ascii="Times New Roman" w:eastAsia="Times New Roman" w:hAnsi="Times New Roman" w:cs="Times New Roman"/>
          <w:bCs/>
          <w:sz w:val="24"/>
          <w:szCs w:val="24"/>
        </w:rPr>
      </w:pPr>
    </w:p>
    <w:p w14:paraId="64B35B99" w14:textId="2C75808C" w:rsidR="00D75250" w:rsidRDefault="00947B62">
      <w:pPr>
        <w:rPr>
          <w:rFonts w:ascii="Times New Roman" w:eastAsia="Times New Roman" w:hAnsi="Times New Roman" w:cs="Times New Roman"/>
          <w:bCs/>
          <w:sz w:val="24"/>
          <w:szCs w:val="24"/>
        </w:rPr>
      </w:pPr>
      <w:r w:rsidRPr="00947B62">
        <w:rPr>
          <w:rFonts w:ascii="Times New Roman" w:eastAsia="Times New Roman" w:hAnsi="Times New Roman" w:cs="Times New Roman"/>
          <w:bCs/>
          <w:sz w:val="24"/>
          <w:szCs w:val="24"/>
        </w:rPr>
        <w:t>Examining Tables 4 and 5, it becomes evident that the pandemic wielded predominantly adverse effects across various sectors. Nevertheless, it is important to note that certain sectors managed to exhibit a rather positive response. As a case in point, the energy sector bore a significantly unfavorable brunt, as evidenced by the CAR plummeting from a statistically significant -2.3464 in the pre-event period to a staggering -17.4570 in the post-event period.</w:t>
      </w:r>
    </w:p>
    <w:p w14:paraId="66D2E890" w14:textId="77777777" w:rsidR="002E2264" w:rsidRDefault="002E2264">
      <w:pPr>
        <w:rPr>
          <w:rFonts w:ascii="Times New Roman" w:eastAsia="Times New Roman" w:hAnsi="Times New Roman" w:cs="Times New Roman"/>
          <w:bCs/>
          <w:sz w:val="24"/>
          <w:szCs w:val="24"/>
        </w:rPr>
      </w:pPr>
    </w:p>
    <w:p w14:paraId="1F85FCC7" w14:textId="68E69169" w:rsidR="002E2264" w:rsidRDefault="002E2264">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 contrast,</w:t>
      </w:r>
      <w:r w:rsidR="00687B14">
        <w:rPr>
          <w:rFonts w:ascii="Times New Roman" w:eastAsia="Times New Roman" w:hAnsi="Times New Roman" w:cs="Times New Roman"/>
          <w:bCs/>
          <w:sz w:val="24"/>
          <w:szCs w:val="24"/>
        </w:rPr>
        <w:t xml:space="preserve"> </w:t>
      </w:r>
      <w:r w:rsidR="007A17D0">
        <w:rPr>
          <w:rFonts w:ascii="Times New Roman" w:eastAsia="Times New Roman" w:hAnsi="Times New Roman" w:cs="Times New Roman"/>
          <w:bCs/>
          <w:sz w:val="24"/>
          <w:szCs w:val="24"/>
        </w:rPr>
        <w:t>Consumer Staples</w:t>
      </w:r>
      <w:r w:rsidR="00687B14">
        <w:rPr>
          <w:rFonts w:ascii="Times New Roman" w:eastAsia="Times New Roman" w:hAnsi="Times New Roman" w:cs="Times New Roman"/>
          <w:bCs/>
          <w:sz w:val="24"/>
          <w:szCs w:val="24"/>
        </w:rPr>
        <w:t xml:space="preserve"> sector experienced a </w:t>
      </w:r>
      <w:r w:rsidR="00E461BF">
        <w:rPr>
          <w:rFonts w:ascii="Times New Roman" w:eastAsia="Times New Roman" w:hAnsi="Times New Roman" w:cs="Times New Roman"/>
          <w:bCs/>
          <w:sz w:val="24"/>
          <w:szCs w:val="24"/>
        </w:rPr>
        <w:t xml:space="preserve">positive effect post pandemic. </w:t>
      </w:r>
      <w:r w:rsidR="00850C0C">
        <w:rPr>
          <w:rFonts w:ascii="Times New Roman" w:eastAsia="Times New Roman" w:hAnsi="Times New Roman" w:cs="Times New Roman"/>
          <w:bCs/>
          <w:sz w:val="24"/>
          <w:szCs w:val="24"/>
        </w:rPr>
        <w:t xml:space="preserve">It is evident from the CAR rising from a statistically </w:t>
      </w:r>
      <w:r w:rsidR="007A17D0">
        <w:rPr>
          <w:rFonts w:ascii="Times New Roman" w:eastAsia="Times New Roman" w:hAnsi="Times New Roman" w:cs="Times New Roman"/>
          <w:bCs/>
          <w:sz w:val="24"/>
          <w:szCs w:val="24"/>
        </w:rPr>
        <w:t xml:space="preserve">significant -1.7328 </w:t>
      </w:r>
      <w:r w:rsidR="002D437B">
        <w:rPr>
          <w:rFonts w:ascii="Times New Roman" w:eastAsia="Times New Roman" w:hAnsi="Times New Roman" w:cs="Times New Roman"/>
          <w:bCs/>
          <w:sz w:val="24"/>
          <w:szCs w:val="24"/>
        </w:rPr>
        <w:t xml:space="preserve">in the pre-event period </w:t>
      </w:r>
      <w:r w:rsidR="007A17D0">
        <w:rPr>
          <w:rFonts w:ascii="Times New Roman" w:eastAsia="Times New Roman" w:hAnsi="Times New Roman" w:cs="Times New Roman"/>
          <w:bCs/>
          <w:sz w:val="24"/>
          <w:szCs w:val="24"/>
        </w:rPr>
        <w:t>to 0.0</w:t>
      </w:r>
      <w:r w:rsidR="002D437B">
        <w:rPr>
          <w:rFonts w:ascii="Times New Roman" w:eastAsia="Times New Roman" w:hAnsi="Times New Roman" w:cs="Times New Roman"/>
          <w:bCs/>
          <w:sz w:val="24"/>
          <w:szCs w:val="24"/>
        </w:rPr>
        <w:t>692 in the post-event period.</w:t>
      </w:r>
      <w:r w:rsidR="00F80F03">
        <w:rPr>
          <w:rFonts w:ascii="Times New Roman" w:eastAsia="Times New Roman" w:hAnsi="Times New Roman" w:cs="Times New Roman"/>
          <w:bCs/>
          <w:sz w:val="24"/>
          <w:szCs w:val="24"/>
        </w:rPr>
        <w:t xml:space="preserve"> We will explore the causation of these reaction further in the paper. </w:t>
      </w:r>
    </w:p>
    <w:p w14:paraId="5D9FC43D" w14:textId="77777777" w:rsidR="00947B62" w:rsidRPr="00262015" w:rsidRDefault="00947B62">
      <w:pPr>
        <w:rPr>
          <w:rFonts w:ascii="Times New Roman" w:eastAsia="Times New Roman" w:hAnsi="Times New Roman" w:cs="Times New Roman"/>
          <w:bCs/>
          <w:sz w:val="24"/>
          <w:szCs w:val="24"/>
        </w:rPr>
      </w:pPr>
    </w:p>
    <w:p w14:paraId="205E176A" w14:textId="242F4D56" w:rsidR="00B202F0" w:rsidRPr="00262015" w:rsidRDefault="00AC77ED">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This</w:t>
      </w:r>
      <w:r w:rsidR="00C600BB" w:rsidRPr="00262015">
        <w:rPr>
          <w:rFonts w:ascii="Times New Roman" w:eastAsia="Times New Roman" w:hAnsi="Times New Roman" w:cs="Times New Roman"/>
          <w:bCs/>
          <w:sz w:val="24"/>
          <w:szCs w:val="24"/>
        </w:rPr>
        <w:t xml:space="preserve"> study contributes to </w:t>
      </w:r>
      <w:r w:rsidR="00E74282" w:rsidRPr="00262015">
        <w:rPr>
          <w:rFonts w:ascii="Times New Roman" w:eastAsia="Times New Roman" w:hAnsi="Times New Roman" w:cs="Times New Roman"/>
          <w:bCs/>
          <w:sz w:val="24"/>
          <w:szCs w:val="24"/>
        </w:rPr>
        <w:t>literature</w:t>
      </w:r>
      <w:r w:rsidR="00C600BB" w:rsidRPr="00262015">
        <w:rPr>
          <w:rFonts w:ascii="Times New Roman" w:eastAsia="Times New Roman" w:hAnsi="Times New Roman" w:cs="Times New Roman"/>
          <w:bCs/>
          <w:sz w:val="24"/>
          <w:szCs w:val="24"/>
        </w:rPr>
        <w:t xml:space="preserve"> </w:t>
      </w:r>
      <w:r w:rsidR="006206E9">
        <w:rPr>
          <w:rFonts w:ascii="Times New Roman" w:eastAsia="Times New Roman" w:hAnsi="Times New Roman" w:cs="Times New Roman"/>
          <w:bCs/>
          <w:sz w:val="24"/>
          <w:szCs w:val="24"/>
        </w:rPr>
        <w:t xml:space="preserve">investigating </w:t>
      </w:r>
      <w:r w:rsidR="00C600BB" w:rsidRPr="00262015">
        <w:rPr>
          <w:rFonts w:ascii="Times New Roman" w:eastAsia="Times New Roman" w:hAnsi="Times New Roman" w:cs="Times New Roman"/>
          <w:bCs/>
          <w:sz w:val="24"/>
          <w:szCs w:val="24"/>
        </w:rPr>
        <w:t xml:space="preserve">the effects of unexpected events and catastrophes on the financial markets. Second, it will </w:t>
      </w:r>
      <w:r w:rsidR="00F4550B">
        <w:rPr>
          <w:rFonts w:ascii="Times New Roman" w:eastAsia="Times New Roman" w:hAnsi="Times New Roman" w:cs="Times New Roman"/>
          <w:bCs/>
          <w:sz w:val="24"/>
          <w:szCs w:val="24"/>
        </w:rPr>
        <w:t>add to</w:t>
      </w:r>
      <w:r w:rsidR="00C600BB" w:rsidRPr="00262015">
        <w:rPr>
          <w:rFonts w:ascii="Times New Roman" w:eastAsia="Times New Roman" w:hAnsi="Times New Roman" w:cs="Times New Roman"/>
          <w:bCs/>
          <w:sz w:val="24"/>
          <w:szCs w:val="24"/>
        </w:rPr>
        <w:t xml:space="preserve"> the findings in the </w:t>
      </w:r>
      <w:r w:rsidR="00E71DA7">
        <w:rPr>
          <w:rFonts w:ascii="Times New Roman" w:eastAsia="Times New Roman" w:hAnsi="Times New Roman" w:cs="Times New Roman"/>
          <w:bCs/>
          <w:sz w:val="24"/>
          <w:szCs w:val="24"/>
        </w:rPr>
        <w:t>existing</w:t>
      </w:r>
      <w:r w:rsidR="00C600BB" w:rsidRPr="00262015">
        <w:rPr>
          <w:rFonts w:ascii="Times New Roman" w:eastAsia="Times New Roman" w:hAnsi="Times New Roman" w:cs="Times New Roman"/>
          <w:bCs/>
          <w:sz w:val="24"/>
          <w:szCs w:val="24"/>
        </w:rPr>
        <w:t xml:space="preserve"> literature regarding COVID-19’s impact on the stock market. Last, it documents how different waves of the pandemic affected the stock market. </w:t>
      </w:r>
    </w:p>
    <w:p w14:paraId="205E176B" w14:textId="77777777" w:rsidR="00B202F0" w:rsidRPr="00262015" w:rsidRDefault="00B202F0">
      <w:pPr>
        <w:rPr>
          <w:rFonts w:ascii="Times New Roman" w:eastAsia="Times New Roman" w:hAnsi="Times New Roman" w:cs="Times New Roman"/>
          <w:bCs/>
          <w:sz w:val="24"/>
          <w:szCs w:val="24"/>
        </w:rPr>
      </w:pPr>
    </w:p>
    <w:p w14:paraId="205E176D" w14:textId="6BB1B28D" w:rsidR="00B202F0" w:rsidRPr="00262015" w:rsidRDefault="00C600BB">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The remainder of the paper is structured as follows: the second section contains relevant literature on the topic. The third section presents elucidates what an event study is</w:t>
      </w:r>
      <w:r w:rsidR="00C369E4">
        <w:rPr>
          <w:rFonts w:ascii="Times New Roman" w:eastAsia="Times New Roman" w:hAnsi="Times New Roman" w:cs="Times New Roman"/>
          <w:bCs/>
          <w:sz w:val="24"/>
          <w:szCs w:val="24"/>
        </w:rPr>
        <w:t xml:space="preserve"> and</w:t>
      </w:r>
      <w:r w:rsidRPr="00262015">
        <w:rPr>
          <w:rFonts w:ascii="Times New Roman" w:eastAsia="Times New Roman" w:hAnsi="Times New Roman" w:cs="Times New Roman"/>
          <w:bCs/>
          <w:sz w:val="24"/>
          <w:szCs w:val="24"/>
        </w:rPr>
        <w:t xml:space="preserve"> sets up the methodology that will be used to analyze the impact. The </w:t>
      </w:r>
      <w:r w:rsidR="00C369E4">
        <w:rPr>
          <w:rFonts w:ascii="Times New Roman" w:eastAsia="Times New Roman" w:hAnsi="Times New Roman" w:cs="Times New Roman"/>
          <w:bCs/>
          <w:sz w:val="24"/>
          <w:szCs w:val="24"/>
        </w:rPr>
        <w:t>fourth section</w:t>
      </w:r>
      <w:r w:rsidRPr="00262015">
        <w:rPr>
          <w:rFonts w:ascii="Times New Roman" w:eastAsia="Times New Roman" w:hAnsi="Times New Roman" w:cs="Times New Roman"/>
          <w:bCs/>
          <w:sz w:val="24"/>
          <w:szCs w:val="24"/>
        </w:rPr>
        <w:t xml:space="preserve"> will summarize the data sources. The </w:t>
      </w:r>
      <w:r w:rsidR="00C369E4">
        <w:rPr>
          <w:rFonts w:ascii="Times New Roman" w:eastAsia="Times New Roman" w:hAnsi="Times New Roman" w:cs="Times New Roman"/>
          <w:bCs/>
          <w:sz w:val="24"/>
          <w:szCs w:val="24"/>
        </w:rPr>
        <w:t>fifth</w:t>
      </w:r>
      <w:r w:rsidRPr="00262015">
        <w:rPr>
          <w:rFonts w:ascii="Times New Roman" w:eastAsia="Times New Roman" w:hAnsi="Times New Roman" w:cs="Times New Roman"/>
          <w:bCs/>
          <w:sz w:val="24"/>
          <w:szCs w:val="24"/>
        </w:rPr>
        <w:t xml:space="preserve"> section will present the results of the study. Finally, the </w:t>
      </w:r>
      <w:r w:rsidR="003B52A3">
        <w:rPr>
          <w:rFonts w:ascii="Times New Roman" w:eastAsia="Times New Roman" w:hAnsi="Times New Roman" w:cs="Times New Roman"/>
          <w:bCs/>
          <w:sz w:val="24"/>
          <w:szCs w:val="24"/>
        </w:rPr>
        <w:t xml:space="preserve">sixth </w:t>
      </w:r>
      <w:r w:rsidRPr="00262015">
        <w:rPr>
          <w:rFonts w:ascii="Times New Roman" w:eastAsia="Times New Roman" w:hAnsi="Times New Roman" w:cs="Times New Roman"/>
          <w:bCs/>
          <w:sz w:val="24"/>
          <w:szCs w:val="24"/>
        </w:rPr>
        <w:t xml:space="preserve">section concludes the findings. </w:t>
      </w:r>
      <w:r w:rsidR="00AC77ED" w:rsidRPr="00262015">
        <w:rPr>
          <w:rFonts w:ascii="Times New Roman" w:eastAsia="Times New Roman" w:hAnsi="Times New Roman" w:cs="Times New Roman"/>
          <w:bCs/>
          <w:sz w:val="24"/>
          <w:szCs w:val="24"/>
        </w:rPr>
        <w:t>An Appendix section contains definitions</w:t>
      </w:r>
      <w:r w:rsidR="00961675">
        <w:rPr>
          <w:rFonts w:ascii="Times New Roman" w:eastAsia="Times New Roman" w:hAnsi="Times New Roman" w:cs="Times New Roman"/>
          <w:bCs/>
          <w:sz w:val="24"/>
          <w:szCs w:val="24"/>
        </w:rPr>
        <w:t xml:space="preserve">, </w:t>
      </w:r>
      <w:r w:rsidR="00AC77ED" w:rsidRPr="00262015">
        <w:rPr>
          <w:rFonts w:ascii="Times New Roman" w:eastAsia="Times New Roman" w:hAnsi="Times New Roman" w:cs="Times New Roman"/>
          <w:bCs/>
          <w:sz w:val="24"/>
          <w:szCs w:val="24"/>
        </w:rPr>
        <w:t>and results not shown in the main paper.</w:t>
      </w:r>
      <w:r w:rsidR="00C53D39" w:rsidRPr="00262015">
        <w:rPr>
          <w:bCs/>
        </w:rPr>
        <w:br/>
      </w:r>
      <w:r w:rsidR="00C53D39" w:rsidRPr="00262015">
        <w:rPr>
          <w:bCs/>
        </w:rPr>
        <w:br/>
      </w:r>
      <w:r w:rsidR="00C53D39" w:rsidRPr="00212403">
        <w:rPr>
          <w:rFonts w:ascii="Times New Roman" w:eastAsia="Times New Roman" w:hAnsi="Times New Roman" w:cs="Times New Roman"/>
          <w:b/>
          <w:sz w:val="28"/>
          <w:szCs w:val="28"/>
        </w:rPr>
        <w:t xml:space="preserve">2. </w:t>
      </w:r>
      <w:r w:rsidRPr="00212403">
        <w:rPr>
          <w:rFonts w:ascii="Times New Roman" w:eastAsia="Times New Roman" w:hAnsi="Times New Roman" w:cs="Times New Roman"/>
          <w:b/>
          <w:sz w:val="28"/>
          <w:szCs w:val="28"/>
        </w:rPr>
        <w:t>Literature Review</w:t>
      </w:r>
    </w:p>
    <w:p w14:paraId="205E176E" w14:textId="77777777" w:rsidR="00B202F0" w:rsidRPr="00262015" w:rsidRDefault="00B202F0">
      <w:pPr>
        <w:rPr>
          <w:rFonts w:ascii="Times New Roman" w:eastAsia="Times New Roman" w:hAnsi="Times New Roman" w:cs="Times New Roman"/>
          <w:bCs/>
          <w:sz w:val="24"/>
          <w:szCs w:val="24"/>
        </w:rPr>
      </w:pPr>
    </w:p>
    <w:p w14:paraId="205E176F" w14:textId="77777777" w:rsidR="00B202F0" w:rsidRPr="00262015" w:rsidRDefault="00C600BB">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COVID-19 is fundamentally different from financial and economic crises as it is intrinsically uncertain, when the crisis will end and when major or small economies will bounce back from the current recession are unknown, compared to the structural problem or defects inherent to financial and economic crises (Ji et al., 2021).</w:t>
      </w:r>
    </w:p>
    <w:p w14:paraId="205E1770" w14:textId="77777777" w:rsidR="00B202F0" w:rsidRPr="00262015" w:rsidRDefault="00B202F0">
      <w:pPr>
        <w:rPr>
          <w:rFonts w:ascii="Times New Roman" w:eastAsia="Times New Roman" w:hAnsi="Times New Roman" w:cs="Times New Roman"/>
          <w:bCs/>
          <w:sz w:val="24"/>
          <w:szCs w:val="24"/>
        </w:rPr>
      </w:pPr>
    </w:p>
    <w:p w14:paraId="205E1771" w14:textId="17855038" w:rsidR="00B202F0" w:rsidRPr="00262015" w:rsidRDefault="00C600BB">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Ji et al. (2021) </w:t>
      </w:r>
      <w:r w:rsidR="00B43BC5" w:rsidRPr="00262015">
        <w:rPr>
          <w:rFonts w:ascii="Times New Roman" w:eastAsia="Times New Roman" w:hAnsi="Times New Roman" w:cs="Times New Roman"/>
          <w:bCs/>
          <w:sz w:val="24"/>
          <w:szCs w:val="24"/>
        </w:rPr>
        <w:t>uses</w:t>
      </w:r>
      <w:r w:rsidRPr="00262015">
        <w:rPr>
          <w:rFonts w:ascii="Times New Roman" w:eastAsia="Times New Roman" w:hAnsi="Times New Roman" w:cs="Times New Roman"/>
          <w:bCs/>
          <w:sz w:val="24"/>
          <w:szCs w:val="24"/>
        </w:rPr>
        <w:t xml:space="preserve"> the event study method to analyze the impact of the COVID-19 pandemic on global stock indices. The study takes January 23, 2020, when the news of the Wuhan lockdown was released to the public, as the event date. Their research indicates that COVID-19, as a significant negative shock, has an adverse effect on the stock market indices of the affected areas. China Stock indices Hang Sen Index (HIS) and Shanghai Composite Index (SSEI) experienced the most significant drop in earnings on the first day after the event. Their paper further suggests the Abnormal Returns (ARs) of the Asian stock market indices experienced a sharp drop on the day of the event because COVID-19 was confined to Asia. Moreover, their analysis of OLS regressions indicates that the daily ARs on the stock market indices are negatively associated with the number of confirmed cases at the onset of the COVID-19 pandemic, meaning that the international stock markets are sensitive to the evolution of the novel coronavirus.</w:t>
      </w:r>
    </w:p>
    <w:p w14:paraId="205E1772" w14:textId="77777777" w:rsidR="00B202F0" w:rsidRPr="00262015" w:rsidRDefault="00B202F0">
      <w:pPr>
        <w:rPr>
          <w:rFonts w:ascii="Times New Roman" w:eastAsia="Times New Roman" w:hAnsi="Times New Roman" w:cs="Times New Roman"/>
          <w:bCs/>
          <w:sz w:val="24"/>
          <w:szCs w:val="24"/>
        </w:rPr>
      </w:pPr>
    </w:p>
    <w:p w14:paraId="205E1773" w14:textId="2229B9F9" w:rsidR="00B202F0" w:rsidRPr="00262015" w:rsidRDefault="00C600BB">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Singh et al. (2020) also </w:t>
      </w:r>
      <w:r w:rsidR="00B43BC5" w:rsidRPr="00262015">
        <w:rPr>
          <w:rFonts w:ascii="Times New Roman" w:eastAsia="Times New Roman" w:hAnsi="Times New Roman" w:cs="Times New Roman"/>
          <w:bCs/>
          <w:sz w:val="24"/>
          <w:szCs w:val="24"/>
        </w:rPr>
        <w:t>uses</w:t>
      </w:r>
      <w:r w:rsidRPr="00262015">
        <w:rPr>
          <w:rFonts w:ascii="Times New Roman" w:eastAsia="Times New Roman" w:hAnsi="Times New Roman" w:cs="Times New Roman"/>
          <w:bCs/>
          <w:sz w:val="24"/>
          <w:szCs w:val="24"/>
        </w:rPr>
        <w:t xml:space="preserve"> the event study method to analyze the Stock Market response to the COVID-19 outbreak in G-20 countries. G-20 countries consist of both highly developed and developing economies, hence, the sample is extensive and produces comprehensive empirical results. The event window is 57 days long and the event date in this study is chosen as 20 January 2020, when for the </w:t>
      </w:r>
      <w:r w:rsidR="00B43BC5" w:rsidRPr="00262015">
        <w:rPr>
          <w:rFonts w:ascii="Times New Roman" w:eastAsia="Times New Roman" w:hAnsi="Times New Roman" w:cs="Times New Roman"/>
          <w:bCs/>
          <w:sz w:val="24"/>
          <w:szCs w:val="24"/>
        </w:rPr>
        <w:t>first-time</w:t>
      </w:r>
      <w:r w:rsidRPr="00262015">
        <w:rPr>
          <w:rFonts w:ascii="Times New Roman" w:eastAsia="Times New Roman" w:hAnsi="Times New Roman" w:cs="Times New Roman"/>
          <w:bCs/>
          <w:sz w:val="24"/>
          <w:szCs w:val="24"/>
        </w:rPr>
        <w:t xml:space="preserve"> news of the virus appeared in the media, unlike the date the Wuhan lockdown was announced used by Ji et al. (2021). The results reveal that post-outbreak, stock markets all over the world performed badly and experienced negative returns. However, in the pandemic's later stages, the economy is discovered to gradually recover from the setback, as indicated by the positive cumulative abnormal returns (CARs). This is due to the market absorbing the shock to some extent and countries resuming their economic activities. Overall the results suggest that future uncertainty due to the COVID-19 outbreak, initially, caused panic selling in the stock market across the globe. However, as the stock markets started experiencing the influx of capital, it helped facilitate the recovery which helped mitigate the volatility and negative cumulative abnormal returns. This study concluded that investors could adopt long-term investment strategies in weakened market conditions, and the suitable response would be to buy stocks. </w:t>
      </w:r>
    </w:p>
    <w:p w14:paraId="205E1774" w14:textId="77777777" w:rsidR="00B202F0" w:rsidRPr="00262015" w:rsidRDefault="00B202F0">
      <w:pPr>
        <w:rPr>
          <w:rFonts w:ascii="Times New Roman" w:eastAsia="Times New Roman" w:hAnsi="Times New Roman" w:cs="Times New Roman"/>
          <w:bCs/>
          <w:sz w:val="24"/>
          <w:szCs w:val="24"/>
        </w:rPr>
      </w:pPr>
    </w:p>
    <w:p w14:paraId="205E177C" w14:textId="46D8212C" w:rsidR="00B202F0" w:rsidRDefault="00C600BB">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He et al. (2020) </w:t>
      </w:r>
      <w:r w:rsidR="00B43BC5" w:rsidRPr="00262015">
        <w:rPr>
          <w:rFonts w:ascii="Times New Roman" w:eastAsia="Times New Roman" w:hAnsi="Times New Roman" w:cs="Times New Roman"/>
          <w:bCs/>
          <w:sz w:val="24"/>
          <w:szCs w:val="24"/>
        </w:rPr>
        <w:t>uses</w:t>
      </w:r>
      <w:r w:rsidRPr="00262015">
        <w:rPr>
          <w:rFonts w:ascii="Times New Roman" w:eastAsia="Times New Roman" w:hAnsi="Times New Roman" w:cs="Times New Roman"/>
          <w:bCs/>
          <w:sz w:val="24"/>
          <w:szCs w:val="24"/>
        </w:rPr>
        <w:t xml:space="preserve"> an event study approach to empirically study the market performance and response trends of Chinese industries to the Covid-19 pandemic. They conclude that transportation, mining, electricity and heating, and environment industries have been adversely impacted by the pandemic. However, manufacturing, information technology, education, and healthcare industries have been resilient to the pandemic (Zoungrana et al, 2020). Liu et al. (2020) analyze the immediate effect of COVID-19 on the stock market of major affected countries. The result shows investor’s fear sentiment is proved to be a complete mediator and transmission channel for the COVID-19 outbreak’s effect on stock markets.</w:t>
      </w:r>
    </w:p>
    <w:p w14:paraId="2541ED1C" w14:textId="77777777" w:rsidR="00F80F03" w:rsidRPr="00262015" w:rsidRDefault="00F80F03">
      <w:pPr>
        <w:rPr>
          <w:rFonts w:ascii="Times New Roman" w:eastAsia="Times New Roman" w:hAnsi="Times New Roman" w:cs="Times New Roman"/>
          <w:bCs/>
          <w:sz w:val="24"/>
          <w:szCs w:val="24"/>
        </w:rPr>
      </w:pPr>
    </w:p>
    <w:p w14:paraId="205E177D" w14:textId="24584CE2" w:rsidR="00B202F0" w:rsidRPr="00212403" w:rsidRDefault="00C53D39">
      <w:pPr>
        <w:rPr>
          <w:rFonts w:ascii="Times New Roman" w:eastAsia="Times New Roman" w:hAnsi="Times New Roman" w:cs="Times New Roman"/>
          <w:b/>
          <w:sz w:val="28"/>
          <w:szCs w:val="28"/>
        </w:rPr>
      </w:pPr>
      <w:r w:rsidRPr="00212403">
        <w:rPr>
          <w:rFonts w:ascii="Times New Roman" w:eastAsia="Times New Roman" w:hAnsi="Times New Roman" w:cs="Times New Roman"/>
          <w:b/>
          <w:sz w:val="28"/>
          <w:szCs w:val="28"/>
        </w:rPr>
        <w:lastRenderedPageBreak/>
        <w:t xml:space="preserve">3. </w:t>
      </w:r>
      <w:r w:rsidR="00C600BB" w:rsidRPr="00212403">
        <w:rPr>
          <w:rFonts w:ascii="Times New Roman" w:eastAsia="Times New Roman" w:hAnsi="Times New Roman" w:cs="Times New Roman"/>
          <w:b/>
          <w:sz w:val="28"/>
          <w:szCs w:val="28"/>
        </w:rPr>
        <w:t>Event Study</w:t>
      </w:r>
    </w:p>
    <w:p w14:paraId="205E1780" w14:textId="77777777" w:rsidR="00B202F0" w:rsidRPr="00262015" w:rsidRDefault="00B202F0">
      <w:pPr>
        <w:rPr>
          <w:rFonts w:ascii="Times New Roman" w:eastAsia="Times New Roman" w:hAnsi="Times New Roman" w:cs="Times New Roman"/>
          <w:bCs/>
          <w:sz w:val="24"/>
          <w:szCs w:val="24"/>
        </w:rPr>
      </w:pPr>
    </w:p>
    <w:p w14:paraId="205E1783" w14:textId="438DD020" w:rsidR="00B202F0" w:rsidRPr="00262015" w:rsidRDefault="00C600BB" w:rsidP="00D51CFC">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Event studies have a long history</w:t>
      </w:r>
      <w:r w:rsidR="00B814F4">
        <w:rPr>
          <w:rFonts w:ascii="Times New Roman" w:eastAsia="Times New Roman" w:hAnsi="Times New Roman" w:cs="Times New Roman"/>
          <w:bCs/>
          <w:sz w:val="24"/>
          <w:szCs w:val="24"/>
        </w:rPr>
        <w:t xml:space="preserve"> since James Dolley (1933)</w:t>
      </w:r>
      <w:r w:rsidRPr="00262015">
        <w:rPr>
          <w:rFonts w:ascii="Times New Roman" w:eastAsia="Times New Roman" w:hAnsi="Times New Roman" w:cs="Times New Roman"/>
          <w:bCs/>
          <w:sz w:val="24"/>
          <w:szCs w:val="24"/>
        </w:rPr>
        <w:t xml:space="preserve">. </w:t>
      </w:r>
      <w:r w:rsidRPr="009C5143">
        <w:rPr>
          <w:rFonts w:ascii="Times New Roman" w:eastAsia="Times New Roman" w:hAnsi="Times New Roman" w:cs="Times New Roman"/>
          <w:bCs/>
          <w:sz w:val="24"/>
          <w:szCs w:val="24"/>
        </w:rPr>
        <w:t xml:space="preserve">Since </w:t>
      </w:r>
      <w:r w:rsidR="00D51CFC" w:rsidRPr="009C5143">
        <w:rPr>
          <w:rFonts w:ascii="Times New Roman" w:eastAsia="Times New Roman" w:hAnsi="Times New Roman" w:cs="Times New Roman"/>
          <w:bCs/>
          <w:sz w:val="24"/>
          <w:szCs w:val="24"/>
        </w:rPr>
        <w:t>this pioneering</w:t>
      </w:r>
      <w:r w:rsidRPr="009C5143">
        <w:rPr>
          <w:rFonts w:ascii="Times New Roman" w:eastAsia="Times New Roman" w:hAnsi="Times New Roman" w:cs="Times New Roman"/>
          <w:bCs/>
          <w:sz w:val="24"/>
          <w:szCs w:val="24"/>
        </w:rPr>
        <w:t xml:space="preserve"> research,</w:t>
      </w:r>
      <w:r w:rsidR="00D51CFC" w:rsidRPr="009C5143">
        <w:rPr>
          <w:rFonts w:ascii="Times New Roman" w:eastAsia="Times New Roman" w:hAnsi="Times New Roman" w:cs="Times New Roman"/>
          <w:bCs/>
          <w:sz w:val="24"/>
          <w:szCs w:val="24"/>
        </w:rPr>
        <w:t xml:space="preserve"> economists have used event studies to study the impact of specific events on particular entities such as the value of a firm, the housing market, and the stock market.</w:t>
      </w:r>
      <w:r w:rsidRPr="009C5143">
        <w:rPr>
          <w:rFonts w:ascii="Times New Roman" w:eastAsia="Times New Roman" w:hAnsi="Times New Roman" w:cs="Times New Roman"/>
          <w:bCs/>
          <w:sz w:val="24"/>
          <w:szCs w:val="24"/>
        </w:rPr>
        <w:t xml:space="preserve"> </w:t>
      </w:r>
      <w:r w:rsidR="00D51CFC" w:rsidRPr="009C5143">
        <w:rPr>
          <w:rFonts w:ascii="Times New Roman" w:eastAsia="Times New Roman" w:hAnsi="Times New Roman" w:cs="Times New Roman"/>
          <w:bCs/>
          <w:sz w:val="24"/>
          <w:szCs w:val="24"/>
        </w:rPr>
        <w:t>There</w:t>
      </w:r>
      <w:r w:rsidRPr="009C5143">
        <w:rPr>
          <w:rFonts w:ascii="Times New Roman" w:eastAsia="Times New Roman" w:hAnsi="Times New Roman" w:cs="Times New Roman"/>
          <w:bCs/>
          <w:sz w:val="24"/>
          <w:szCs w:val="24"/>
        </w:rPr>
        <w:t xml:space="preserve"> have been modifications that relate to complications arising from violations of the statistical assumption used in the early work and relate to adjustments in the design to accommodate more specific hypotheses</w:t>
      </w:r>
      <w:r w:rsidR="009C5143" w:rsidRPr="009C5143">
        <w:rPr>
          <w:rFonts w:ascii="Times New Roman" w:eastAsia="Times New Roman" w:hAnsi="Times New Roman" w:cs="Times New Roman"/>
          <w:bCs/>
          <w:sz w:val="24"/>
          <w:szCs w:val="24"/>
        </w:rPr>
        <w:t xml:space="preserve"> </w:t>
      </w:r>
      <w:r w:rsidR="009C5143">
        <w:rPr>
          <w:rFonts w:ascii="Times New Roman" w:eastAsia="Times New Roman" w:hAnsi="Times New Roman" w:cs="Times New Roman"/>
          <w:bCs/>
          <w:sz w:val="24"/>
          <w:szCs w:val="24"/>
        </w:rPr>
        <w:t>(</w:t>
      </w:r>
      <w:r w:rsidR="00B814F4">
        <w:rPr>
          <w:rFonts w:ascii="Times New Roman" w:eastAsia="Times New Roman" w:hAnsi="Times New Roman" w:cs="Times New Roman"/>
          <w:bCs/>
          <w:sz w:val="24"/>
          <w:szCs w:val="24"/>
        </w:rPr>
        <w:t>MacKinlay, 1997</w:t>
      </w:r>
      <w:r w:rsidR="009C5143">
        <w:rPr>
          <w:rFonts w:ascii="Times New Roman" w:eastAsia="Times New Roman" w:hAnsi="Times New Roman" w:cs="Times New Roman"/>
          <w:bCs/>
          <w:sz w:val="24"/>
          <w:szCs w:val="24"/>
        </w:rPr>
        <w:t>)</w:t>
      </w:r>
      <w:r w:rsidRPr="00262015">
        <w:rPr>
          <w:rFonts w:ascii="Times New Roman" w:eastAsia="Times New Roman" w:hAnsi="Times New Roman" w:cs="Times New Roman"/>
          <w:bCs/>
          <w:sz w:val="24"/>
          <w:szCs w:val="24"/>
        </w:rPr>
        <w:t xml:space="preserve">.  </w:t>
      </w:r>
    </w:p>
    <w:p w14:paraId="205E1784" w14:textId="77777777" w:rsidR="00B202F0" w:rsidRPr="00262015" w:rsidRDefault="00B202F0">
      <w:pPr>
        <w:rPr>
          <w:rFonts w:ascii="Times New Roman" w:eastAsia="Times New Roman" w:hAnsi="Times New Roman" w:cs="Times New Roman"/>
          <w:bCs/>
          <w:sz w:val="24"/>
          <w:szCs w:val="24"/>
        </w:rPr>
      </w:pPr>
    </w:p>
    <w:p w14:paraId="205E1785" w14:textId="64B900E8" w:rsidR="00B202F0" w:rsidRPr="00262015" w:rsidRDefault="00D51CFC">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A</w:t>
      </w:r>
      <w:r w:rsidR="00C600BB" w:rsidRPr="00262015">
        <w:rPr>
          <w:rFonts w:ascii="Times New Roman" w:eastAsia="Times New Roman" w:hAnsi="Times New Roman" w:cs="Times New Roman"/>
          <w:bCs/>
          <w:sz w:val="24"/>
          <w:szCs w:val="24"/>
        </w:rPr>
        <w:t xml:space="preserve">n event study measures the impact of an </w:t>
      </w:r>
      <w:r w:rsidRPr="00262015">
        <w:rPr>
          <w:rFonts w:ascii="Times New Roman" w:eastAsia="Times New Roman" w:hAnsi="Times New Roman" w:cs="Times New Roman"/>
          <w:bCs/>
          <w:sz w:val="24"/>
          <w:szCs w:val="24"/>
        </w:rPr>
        <w:t>economic</w:t>
      </w:r>
      <w:r w:rsidR="00C600BB" w:rsidRPr="00262015">
        <w:rPr>
          <w:rFonts w:ascii="Times New Roman" w:eastAsia="Times New Roman" w:hAnsi="Times New Roman" w:cs="Times New Roman"/>
          <w:bCs/>
          <w:sz w:val="24"/>
          <w:szCs w:val="24"/>
        </w:rPr>
        <w:t xml:space="preserve"> event on the price of a security. It is based on the assumption of an efficient market hypothesis</w:t>
      </w:r>
      <w:r w:rsidRPr="00262015">
        <w:rPr>
          <w:rFonts w:ascii="Times New Roman" w:eastAsia="Times New Roman" w:hAnsi="Times New Roman" w:cs="Times New Roman"/>
          <w:bCs/>
          <w:sz w:val="24"/>
          <w:szCs w:val="24"/>
        </w:rPr>
        <w:t xml:space="preserve"> that </w:t>
      </w:r>
      <w:r w:rsidR="00C600BB" w:rsidRPr="00262015">
        <w:rPr>
          <w:rFonts w:ascii="Times New Roman" w:eastAsia="Times New Roman" w:hAnsi="Times New Roman" w:cs="Times New Roman"/>
          <w:bCs/>
          <w:sz w:val="24"/>
          <w:szCs w:val="24"/>
        </w:rPr>
        <w:t xml:space="preserve">the effects of an event will immediately reflect in security prices. Thus a measure of the event’s economic impact can be constructed using security prices observed over a relatively short time period. </w:t>
      </w:r>
    </w:p>
    <w:p w14:paraId="205E1786" w14:textId="77777777" w:rsidR="00B202F0" w:rsidRPr="00262015" w:rsidRDefault="00B202F0">
      <w:pPr>
        <w:rPr>
          <w:rFonts w:ascii="Times New Roman" w:eastAsia="Times New Roman" w:hAnsi="Times New Roman" w:cs="Times New Roman"/>
          <w:bCs/>
          <w:sz w:val="24"/>
          <w:szCs w:val="24"/>
        </w:rPr>
      </w:pPr>
    </w:p>
    <w:p w14:paraId="205E1787" w14:textId="4F605D92" w:rsidR="00B202F0" w:rsidRPr="00262015" w:rsidRDefault="00C600BB">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The initial step for conducting an event study is defining the event and identifying the time period over which the security prices involved in the event will be examined — the event window. For this paper, we are attempting to examine the impact of COVID-19 on the stock market</w:t>
      </w:r>
      <w:r w:rsidR="00D51CFC" w:rsidRPr="00262015">
        <w:rPr>
          <w:rFonts w:ascii="Times New Roman" w:eastAsia="Times New Roman" w:hAnsi="Times New Roman" w:cs="Times New Roman"/>
          <w:bCs/>
          <w:sz w:val="24"/>
          <w:szCs w:val="24"/>
        </w:rPr>
        <w:t>. Following the recent literature</w:t>
      </w:r>
      <w:r w:rsidRPr="00262015">
        <w:rPr>
          <w:rFonts w:ascii="Times New Roman" w:eastAsia="Times New Roman" w:hAnsi="Times New Roman" w:cs="Times New Roman"/>
          <w:bCs/>
          <w:sz w:val="24"/>
          <w:szCs w:val="24"/>
        </w:rPr>
        <w:t>,</w:t>
      </w:r>
      <w:r w:rsidR="00D51CFC" w:rsidRPr="00262015">
        <w:rPr>
          <w:rFonts w:ascii="Times New Roman" w:eastAsia="Times New Roman" w:hAnsi="Times New Roman" w:cs="Times New Roman"/>
          <w:bCs/>
          <w:sz w:val="24"/>
          <w:szCs w:val="24"/>
        </w:rPr>
        <w:t xml:space="preserve"> I choose</w:t>
      </w:r>
      <w:r w:rsidRPr="00262015">
        <w:rPr>
          <w:rFonts w:ascii="Times New Roman" w:eastAsia="Times New Roman" w:hAnsi="Times New Roman" w:cs="Times New Roman"/>
          <w:bCs/>
          <w:sz w:val="24"/>
          <w:szCs w:val="24"/>
        </w:rPr>
        <w:t xml:space="preserve"> the event </w:t>
      </w:r>
      <w:r w:rsidR="00D51CFC" w:rsidRPr="00262015">
        <w:rPr>
          <w:rFonts w:ascii="Times New Roman" w:eastAsia="Times New Roman" w:hAnsi="Times New Roman" w:cs="Times New Roman"/>
          <w:bCs/>
          <w:sz w:val="24"/>
          <w:szCs w:val="24"/>
        </w:rPr>
        <w:t>as</w:t>
      </w:r>
      <w:r w:rsidRPr="00262015">
        <w:rPr>
          <w:rFonts w:ascii="Times New Roman" w:eastAsia="Times New Roman" w:hAnsi="Times New Roman" w:cs="Times New Roman"/>
          <w:bCs/>
          <w:sz w:val="24"/>
          <w:szCs w:val="24"/>
        </w:rPr>
        <w:t xml:space="preserve"> the announcement of the outbreak of the pandemi</w:t>
      </w:r>
      <w:r w:rsidR="00D51CFC" w:rsidRPr="00262015">
        <w:rPr>
          <w:rFonts w:ascii="Times New Roman" w:eastAsia="Times New Roman" w:hAnsi="Times New Roman" w:cs="Times New Roman"/>
          <w:bCs/>
          <w:sz w:val="24"/>
          <w:szCs w:val="24"/>
        </w:rPr>
        <w:t>c.</w:t>
      </w:r>
      <w:r w:rsidRPr="00262015">
        <w:rPr>
          <w:rFonts w:ascii="Times New Roman" w:eastAsia="Times New Roman" w:hAnsi="Times New Roman" w:cs="Times New Roman"/>
          <w:bCs/>
          <w:sz w:val="24"/>
          <w:szCs w:val="24"/>
        </w:rPr>
        <w:t xml:space="preserve"> </w:t>
      </w:r>
      <w:r w:rsidR="00D51CFC" w:rsidRPr="00262015">
        <w:rPr>
          <w:rFonts w:ascii="Times New Roman" w:eastAsia="Times New Roman" w:hAnsi="Times New Roman" w:cs="Times New Roman"/>
          <w:bCs/>
          <w:sz w:val="24"/>
          <w:szCs w:val="24"/>
        </w:rPr>
        <w:t>T</w:t>
      </w:r>
      <w:r w:rsidRPr="00262015">
        <w:rPr>
          <w:rFonts w:ascii="Times New Roman" w:eastAsia="Times New Roman" w:hAnsi="Times New Roman" w:cs="Times New Roman"/>
          <w:bCs/>
          <w:sz w:val="24"/>
          <w:szCs w:val="24"/>
        </w:rPr>
        <w:t xml:space="preserve">he event window will include the announcement day. It is </w:t>
      </w:r>
      <w:r w:rsidR="00D51CFC" w:rsidRPr="00262015">
        <w:rPr>
          <w:rFonts w:ascii="Times New Roman" w:eastAsia="Times New Roman" w:hAnsi="Times New Roman" w:cs="Times New Roman"/>
          <w:bCs/>
          <w:sz w:val="24"/>
          <w:szCs w:val="24"/>
        </w:rPr>
        <w:t>common</w:t>
      </w:r>
      <w:r w:rsidRPr="00262015">
        <w:rPr>
          <w:rFonts w:ascii="Times New Roman" w:eastAsia="Times New Roman" w:hAnsi="Times New Roman" w:cs="Times New Roman"/>
          <w:bCs/>
          <w:sz w:val="24"/>
          <w:szCs w:val="24"/>
        </w:rPr>
        <w:t xml:space="preserve"> to include larger time period</w:t>
      </w:r>
      <w:r w:rsidR="00D51CFC" w:rsidRPr="00262015">
        <w:rPr>
          <w:rFonts w:ascii="Times New Roman" w:eastAsia="Times New Roman" w:hAnsi="Times New Roman" w:cs="Times New Roman"/>
          <w:bCs/>
          <w:sz w:val="24"/>
          <w:szCs w:val="24"/>
        </w:rPr>
        <w:t>s</w:t>
      </w:r>
      <w:r w:rsidRPr="00262015">
        <w:rPr>
          <w:rFonts w:ascii="Times New Roman" w:eastAsia="Times New Roman" w:hAnsi="Times New Roman" w:cs="Times New Roman"/>
          <w:bCs/>
          <w:sz w:val="24"/>
          <w:szCs w:val="24"/>
        </w:rPr>
        <w:t xml:space="preserve"> as it helps capture the effect of the event post-announcement. The prior time period also may provide interesting insights. </w:t>
      </w:r>
    </w:p>
    <w:p w14:paraId="205E1788" w14:textId="77777777" w:rsidR="00B202F0" w:rsidRPr="00262015" w:rsidRDefault="00B202F0">
      <w:pPr>
        <w:rPr>
          <w:rFonts w:ascii="Times New Roman" w:eastAsia="Times New Roman" w:hAnsi="Times New Roman" w:cs="Times New Roman"/>
          <w:bCs/>
          <w:sz w:val="24"/>
          <w:szCs w:val="24"/>
        </w:rPr>
      </w:pPr>
    </w:p>
    <w:p w14:paraId="205E1789" w14:textId="77777777" w:rsidR="00B202F0" w:rsidRPr="00262015" w:rsidRDefault="00C600BB">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Appraisal of the event’s impact requires a measure of abnormal returns. It is the difference between the actual ex-post return of the security over the event window and the normal return of the firm over the event window. The normal return is the expected return without conditioning on the event taking place. For firm i and event date τ the abnormal return is</w:t>
      </w:r>
    </w:p>
    <w:p w14:paraId="205E178A" w14:textId="77777777" w:rsidR="00B202F0" w:rsidRPr="00262015" w:rsidRDefault="00B202F0">
      <w:pPr>
        <w:rPr>
          <w:rFonts w:ascii="Times New Roman" w:eastAsia="Times New Roman" w:hAnsi="Times New Roman" w:cs="Times New Roman"/>
          <w:bCs/>
          <w:sz w:val="24"/>
          <w:szCs w:val="24"/>
        </w:rPr>
      </w:pPr>
    </w:p>
    <w:p w14:paraId="205E178B" w14:textId="314C98BA" w:rsidR="00B202F0" w:rsidRPr="003A4DD2" w:rsidRDefault="00CD6A26">
      <w:pPr>
        <w:jc w:val="center"/>
        <w:rPr>
          <w:rFonts w:ascii="Times New Roman" w:eastAsia="Times New Roman" w:hAnsi="Times New Roman" w:cs="Times New Roman"/>
          <w:bCs/>
          <w:iCs/>
          <w:sz w:val="24"/>
          <w:szCs w:val="24"/>
        </w:rPr>
      </w:pPr>
      <m:oMathPara>
        <m:oMath>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AR</m:t>
              </m:r>
            </m:e>
            <m:sub>
              <m:r>
                <m:rPr>
                  <m:sty m:val="p"/>
                </m:rPr>
                <w:rPr>
                  <w:rFonts w:ascii="Cambria Math" w:eastAsia="Times New Roman" w:hAnsi="Cambria Math" w:cs="Times New Roman"/>
                  <w:sz w:val="24"/>
                  <w:szCs w:val="24"/>
                </w:rPr>
                <m:t xml:space="preserve">i,τ </m:t>
              </m:r>
            </m:sub>
          </m:sSub>
          <m:r>
            <m:rPr>
              <m:sty m:val="p"/>
            </m:rPr>
            <w:rPr>
              <w:rFonts w:ascii="Cambria Math" w:eastAsia="Times New Roman" w:hAnsi="Cambria Math" w:cs="Times New Roman"/>
              <w:sz w:val="24"/>
              <w:szCs w:val="24"/>
            </w:rPr>
            <m:t>=</m:t>
          </m:r>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i,τ</m:t>
              </m:r>
            </m:sub>
          </m:sSub>
          <m:r>
            <m:rPr>
              <m:sty m:val="p"/>
            </m:rPr>
            <w:rPr>
              <w:rFonts w:ascii="Cambria Math" w:eastAsia="Times New Roman" w:hAnsi="Cambria Math" w:cs="Times New Roman"/>
              <w:sz w:val="24"/>
              <w:szCs w:val="24"/>
            </w:rPr>
            <m:t xml:space="preserve"> - E (</m:t>
          </m:r>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i,τ</m:t>
              </m:r>
            </m:sub>
          </m:sSub>
          <m:r>
            <m:rPr>
              <m:sty m:val="p"/>
            </m:rPr>
            <w:rPr>
              <w:rFonts w:ascii="Cambria Math" w:eastAsia="Times New Roman" w:hAnsi="Cambria Math" w:cs="Times New Roman"/>
              <w:sz w:val="24"/>
              <w:szCs w:val="24"/>
            </w:rPr>
            <m:t xml:space="preserve"> | </m:t>
          </m:r>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X</m:t>
              </m:r>
            </m:e>
            <m:sub>
              <m:r>
                <m:rPr>
                  <m:sty m:val="p"/>
                </m:rPr>
                <w:rPr>
                  <w:rFonts w:ascii="Cambria Math" w:eastAsia="Times New Roman" w:hAnsi="Cambria Math" w:cs="Times New Roman"/>
                  <w:sz w:val="24"/>
                  <w:szCs w:val="24"/>
                </w:rPr>
                <m:t>τ</m:t>
              </m:r>
            </m:sub>
          </m:sSub>
          <m:r>
            <m:rPr>
              <m:sty m:val="p"/>
            </m:rPr>
            <w:rPr>
              <w:rFonts w:ascii="Cambria Math" w:eastAsia="Times New Roman" w:hAnsi="Cambria Math" w:cs="Times New Roman"/>
              <w:sz w:val="24"/>
              <w:szCs w:val="24"/>
            </w:rPr>
            <m:t>)</m:t>
          </m:r>
        </m:oMath>
      </m:oMathPara>
    </w:p>
    <w:p w14:paraId="7B830056" w14:textId="77777777" w:rsidR="00D51CFC" w:rsidRPr="00262015" w:rsidRDefault="00D51CFC">
      <w:pPr>
        <w:jc w:val="center"/>
        <w:rPr>
          <w:rFonts w:ascii="Times New Roman" w:eastAsia="Times New Roman" w:hAnsi="Times New Roman" w:cs="Times New Roman"/>
          <w:bCs/>
          <w:sz w:val="24"/>
          <w:szCs w:val="24"/>
        </w:rPr>
      </w:pPr>
    </w:p>
    <w:p w14:paraId="205E178C" w14:textId="76CFD3CB" w:rsidR="00B202F0" w:rsidRPr="00262015" w:rsidRDefault="00C600BB">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Where </w:t>
      </w:r>
      <m:oMath>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AR</m:t>
            </m:r>
          </m:e>
          <m:sub>
            <m:r>
              <m:rPr>
                <m:sty m:val="p"/>
              </m:rPr>
              <w:rPr>
                <w:rFonts w:ascii="Cambria Math" w:eastAsia="Times New Roman" w:hAnsi="Cambria Math" w:cs="Times New Roman"/>
                <w:sz w:val="24"/>
                <w:szCs w:val="24"/>
              </w:rPr>
              <m:t xml:space="preserve">i,τ </m:t>
            </m:r>
          </m:sub>
        </m:sSub>
      </m:oMath>
      <w:r w:rsidRPr="003A4DD2">
        <w:rPr>
          <w:rFonts w:ascii="Times New Roman" w:eastAsia="Times New Roman" w:hAnsi="Times New Roman" w:cs="Times New Roman"/>
          <w:bCs/>
          <w:iCs/>
          <w:sz w:val="24"/>
          <w:szCs w:val="24"/>
        </w:rPr>
        <w:t xml:space="preserve">, </w:t>
      </w:r>
      <m:oMath>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i,τ</m:t>
            </m:r>
          </m:sub>
        </m:sSub>
        <m:r>
          <m:rPr>
            <m:sty m:val="p"/>
          </m:rPr>
          <w:rPr>
            <w:rFonts w:ascii="Cambria Math" w:eastAsia="Times New Roman" w:hAnsi="Cambria Math" w:cs="Times New Roman"/>
            <w:sz w:val="24"/>
            <w:szCs w:val="24"/>
          </w:rPr>
          <m:t xml:space="preserve"> </m:t>
        </m:r>
      </m:oMath>
      <w:r w:rsidRPr="003A4DD2">
        <w:rPr>
          <w:rFonts w:ascii="Times New Roman" w:eastAsia="Times New Roman" w:hAnsi="Times New Roman" w:cs="Times New Roman"/>
          <w:bCs/>
          <w:iCs/>
          <w:sz w:val="24"/>
          <w:szCs w:val="24"/>
        </w:rPr>
        <w:t xml:space="preserve">, and </w:t>
      </w:r>
      <m:oMath>
        <m:r>
          <m:rPr>
            <m:sty m:val="p"/>
          </m:rPr>
          <w:rPr>
            <w:rFonts w:ascii="Cambria Math" w:eastAsia="Times New Roman" w:hAnsi="Cambria Math" w:cs="Times New Roman"/>
            <w:sz w:val="24"/>
            <w:szCs w:val="24"/>
          </w:rPr>
          <m:t>E (</m:t>
        </m:r>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i,τ</m:t>
            </m:r>
          </m:sub>
        </m:sSub>
        <m:r>
          <m:rPr>
            <m:sty m:val="p"/>
          </m:rPr>
          <w:rPr>
            <w:rFonts w:ascii="Cambria Math" w:eastAsia="Times New Roman" w:hAnsi="Cambria Math" w:cs="Times New Roman"/>
            <w:sz w:val="24"/>
            <w:szCs w:val="24"/>
          </w:rPr>
          <m:t xml:space="preserve"> | </m:t>
        </m:r>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X</m:t>
            </m:r>
          </m:e>
          <m:sub>
            <m:r>
              <m:rPr>
                <m:sty m:val="p"/>
              </m:rPr>
              <w:rPr>
                <w:rFonts w:ascii="Cambria Math" w:eastAsia="Times New Roman" w:hAnsi="Cambria Math" w:cs="Times New Roman"/>
                <w:sz w:val="24"/>
                <w:szCs w:val="24"/>
              </w:rPr>
              <m:t>τ</m:t>
            </m:r>
          </m:sub>
        </m:sSub>
        <m:r>
          <m:rPr>
            <m:sty m:val="p"/>
          </m:rPr>
          <w:rPr>
            <w:rFonts w:ascii="Cambria Math" w:eastAsia="Times New Roman" w:hAnsi="Cambria Math" w:cs="Times New Roman"/>
            <w:sz w:val="24"/>
            <w:szCs w:val="24"/>
          </w:rPr>
          <m:t>)</m:t>
        </m:r>
      </m:oMath>
      <w:r w:rsidRPr="00262015">
        <w:rPr>
          <w:rFonts w:ascii="Times New Roman" w:eastAsia="Times New Roman" w:hAnsi="Times New Roman" w:cs="Times New Roman"/>
          <w:bCs/>
          <w:sz w:val="24"/>
          <w:szCs w:val="24"/>
        </w:rPr>
        <w:t xml:space="preserve"> are the abnormal, actual, and normal returns respectively for the time period </w:t>
      </w:r>
      <m:oMath>
        <m:r>
          <m:rPr>
            <m:sty m:val="p"/>
          </m:rPr>
          <w:rPr>
            <w:rFonts w:ascii="Cambria Math" w:eastAsia="Times New Roman" w:hAnsi="Cambria Math" w:cs="Times New Roman"/>
            <w:sz w:val="24"/>
            <w:szCs w:val="24"/>
          </w:rPr>
          <m:t>τ</m:t>
        </m:r>
      </m:oMath>
      <w:r w:rsidRPr="00262015">
        <w:rPr>
          <w:rFonts w:ascii="Times New Roman" w:eastAsia="Times New Roman" w:hAnsi="Times New Roman" w:cs="Times New Roman"/>
          <w:bCs/>
          <w:sz w:val="24"/>
          <w:szCs w:val="24"/>
        </w:rPr>
        <w:t>.</w:t>
      </w:r>
      <w:r w:rsidRPr="003A4DD2">
        <w:rPr>
          <w:rFonts w:ascii="Times New Roman" w:eastAsia="Times New Roman" w:hAnsi="Times New Roman" w:cs="Times New Roman"/>
          <w:bCs/>
          <w:i/>
          <w:iCs/>
          <w:sz w:val="24"/>
          <w:szCs w:val="24"/>
        </w:rPr>
        <w:t xml:space="preserve"> </w:t>
      </w:r>
      <m:oMath>
        <m:sSub>
          <m:sSubPr>
            <m:ctrlPr>
              <w:rPr>
                <w:rFonts w:ascii="Cambria Math" w:eastAsia="Times New Roman" w:hAnsi="Cambria Math" w:cs="Times New Roman"/>
                <w:bCs/>
                <w:i/>
                <w:iCs/>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τ</m:t>
            </m:r>
          </m:sub>
        </m:sSub>
      </m:oMath>
      <w:r w:rsidRPr="00262015">
        <w:rPr>
          <w:rFonts w:ascii="Times New Roman" w:eastAsia="Times New Roman" w:hAnsi="Times New Roman" w:cs="Times New Roman"/>
          <w:bCs/>
          <w:sz w:val="24"/>
          <w:szCs w:val="24"/>
        </w:rPr>
        <w:t xml:space="preserve"> is the conditioning information for the normal return model. There are two common choices for modeling the normal return — the constant mean return model where </w:t>
      </w:r>
      <m:oMath>
        <m:sSub>
          <m:sSubPr>
            <m:ctrlPr>
              <w:rPr>
                <w:rFonts w:ascii="Cambria Math" w:eastAsia="Times New Roman" w:hAnsi="Cambria Math" w:cs="Times New Roman"/>
                <w:bCs/>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τ</m:t>
            </m:r>
          </m:sub>
        </m:sSub>
      </m:oMath>
      <w:r w:rsidRPr="00262015">
        <w:rPr>
          <w:rFonts w:ascii="Times New Roman" w:eastAsia="Times New Roman" w:hAnsi="Times New Roman" w:cs="Times New Roman"/>
          <w:bCs/>
          <w:sz w:val="24"/>
          <w:szCs w:val="24"/>
        </w:rPr>
        <w:t xml:space="preserve"> is constant, and the market model where </w:t>
      </w:r>
      <m:oMath>
        <m:sSub>
          <m:sSubPr>
            <m:ctrlPr>
              <w:rPr>
                <w:rFonts w:ascii="Cambria Math" w:eastAsia="Times New Roman" w:hAnsi="Cambria Math" w:cs="Times New Roman"/>
                <w:bCs/>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τ</m:t>
            </m:r>
          </m:sub>
        </m:sSub>
      </m:oMath>
      <w:r w:rsidRPr="00262015">
        <w:rPr>
          <w:rFonts w:ascii="Times New Roman" w:eastAsia="Times New Roman" w:hAnsi="Times New Roman" w:cs="Times New Roman"/>
          <w:bCs/>
          <w:sz w:val="24"/>
          <w:szCs w:val="24"/>
        </w:rPr>
        <w:t xml:space="preserve"> is the market return. We will be utilizing the market model which assumes a stable linear relation between the market return and the security return. </w:t>
      </w:r>
    </w:p>
    <w:p w14:paraId="205E178D" w14:textId="77777777" w:rsidR="00B202F0" w:rsidRPr="00262015" w:rsidRDefault="00B202F0">
      <w:pPr>
        <w:rPr>
          <w:rFonts w:ascii="Times New Roman" w:eastAsia="Times New Roman" w:hAnsi="Times New Roman" w:cs="Times New Roman"/>
          <w:bCs/>
          <w:sz w:val="24"/>
          <w:szCs w:val="24"/>
        </w:rPr>
      </w:pPr>
    </w:p>
    <w:p w14:paraId="205E178E" w14:textId="77777777" w:rsidR="00B202F0" w:rsidRPr="00262015" w:rsidRDefault="00C600BB">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After the selection of a normal performance model and the event window, the estimation window needs to be defined. This is a time period prior to the event window which doesn’t include the event date. Conventionally, the event window and the estimation window don’t overlap to prevent the event from influencing the normal performance model parameter estimates. With the parameter estimates for the normal performance model, the abnormal returns can be calculated. </w:t>
      </w:r>
    </w:p>
    <w:p w14:paraId="205E178F" w14:textId="77777777" w:rsidR="00B202F0" w:rsidRPr="00262015" w:rsidRDefault="00B202F0">
      <w:pPr>
        <w:rPr>
          <w:rFonts w:ascii="Times New Roman" w:eastAsia="Times New Roman" w:hAnsi="Times New Roman" w:cs="Times New Roman"/>
          <w:bCs/>
          <w:sz w:val="24"/>
          <w:szCs w:val="24"/>
        </w:rPr>
      </w:pPr>
    </w:p>
    <w:p w14:paraId="205E17A9" w14:textId="17455E57" w:rsidR="00B202F0" w:rsidRDefault="00C600BB" w:rsidP="00271287">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Next comes the design of a testing framework for abnormal returns.</w:t>
      </w:r>
    </w:p>
    <w:p w14:paraId="6690490E" w14:textId="77777777" w:rsidR="00271287" w:rsidRPr="00262015" w:rsidRDefault="00271287" w:rsidP="00271287">
      <w:pPr>
        <w:rPr>
          <w:rFonts w:ascii="Times New Roman" w:eastAsia="Times New Roman" w:hAnsi="Times New Roman" w:cs="Times New Roman"/>
          <w:bCs/>
          <w:sz w:val="24"/>
          <w:szCs w:val="24"/>
        </w:rPr>
      </w:pPr>
    </w:p>
    <w:p w14:paraId="205E17AA" w14:textId="7958EFB5" w:rsidR="00B202F0" w:rsidRPr="00262015" w:rsidRDefault="00246BD5">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Now</w:t>
      </w:r>
      <w:r w:rsidR="00C600BB" w:rsidRPr="00262015">
        <w:rPr>
          <w:rFonts w:ascii="Times New Roman" w:eastAsia="Times New Roman" w:hAnsi="Times New Roman" w:cs="Times New Roman"/>
          <w:bCs/>
          <w:sz w:val="24"/>
          <w:szCs w:val="24"/>
        </w:rPr>
        <w:t xml:space="preserve">, let’s define the timeline for the event study. </w:t>
      </w:r>
      <w:r w:rsidR="000F0B3F">
        <w:rPr>
          <w:rFonts w:ascii="Times New Roman" w:eastAsia="Times New Roman" w:hAnsi="Times New Roman" w:cs="Times New Roman"/>
          <w:bCs/>
          <w:sz w:val="24"/>
          <w:szCs w:val="24"/>
        </w:rPr>
        <w:t xml:space="preserve">The event day is represented by </w:t>
      </w:r>
      <w:r w:rsidR="00C600BB" w:rsidRPr="00262015">
        <w:rPr>
          <w:rFonts w:ascii="Times New Roman" w:eastAsia="Times New Roman" w:hAnsi="Times New Roman" w:cs="Times New Roman"/>
          <w:bCs/>
          <w:sz w:val="24"/>
          <w:szCs w:val="24"/>
        </w:rPr>
        <w:t>τ</w:t>
      </w:r>
      <w:r>
        <w:rPr>
          <w:rFonts w:ascii="Times New Roman" w:eastAsia="Times New Roman" w:hAnsi="Times New Roman" w:cs="Times New Roman"/>
          <w:bCs/>
          <w:sz w:val="24"/>
          <w:szCs w:val="24"/>
        </w:rPr>
        <w:t xml:space="preserve"> = 0</w:t>
      </w:r>
      <w:r w:rsidR="00C600BB" w:rsidRPr="00262015">
        <w:rPr>
          <w:rFonts w:ascii="Times New Roman" w:eastAsia="Times New Roman" w:hAnsi="Times New Roman" w:cs="Times New Roman"/>
          <w:bCs/>
          <w:sz w:val="24"/>
          <w:szCs w:val="24"/>
        </w:rPr>
        <w:t xml:space="preserve">. T₁ + 1 to T₂ represents the event window, and T₀ + 1 </w:t>
      </w:r>
      <w:r w:rsidR="000F0B3F" w:rsidRPr="00262015">
        <w:rPr>
          <w:rFonts w:ascii="Times New Roman" w:eastAsia="Times New Roman" w:hAnsi="Times New Roman" w:cs="Times New Roman"/>
          <w:bCs/>
          <w:sz w:val="24"/>
          <w:szCs w:val="24"/>
        </w:rPr>
        <w:t>to T</w:t>
      </w:r>
      <w:r w:rsidR="00C600BB" w:rsidRPr="00262015">
        <w:rPr>
          <w:rFonts w:ascii="Times New Roman" w:eastAsia="Times New Roman" w:hAnsi="Times New Roman" w:cs="Times New Roman"/>
          <w:bCs/>
          <w:sz w:val="24"/>
          <w:szCs w:val="24"/>
        </w:rPr>
        <w:t xml:space="preserve">₁ constitutes the estimation window that we will utilize to predict expected returns. Even though the event is an announcement on a particular date, it is typical to set an event window of a length larger than one. This facilitates the use of abnormal returns around the event day in the analysis. </w:t>
      </w:r>
    </w:p>
    <w:p w14:paraId="205E17AB" w14:textId="77777777" w:rsidR="00B202F0" w:rsidRPr="00262015" w:rsidRDefault="00B202F0">
      <w:pPr>
        <w:rPr>
          <w:rFonts w:ascii="Times New Roman" w:eastAsia="Times New Roman" w:hAnsi="Times New Roman" w:cs="Times New Roman"/>
          <w:bCs/>
          <w:sz w:val="24"/>
          <w:szCs w:val="24"/>
        </w:rPr>
      </w:pPr>
    </w:p>
    <w:p w14:paraId="205E17AC" w14:textId="77777777" w:rsidR="00B202F0" w:rsidRPr="00262015" w:rsidRDefault="00C600BB">
      <w:pPr>
        <w:jc w:val="center"/>
        <w:rPr>
          <w:rFonts w:ascii="Times New Roman" w:eastAsia="Times New Roman" w:hAnsi="Times New Roman" w:cs="Times New Roman"/>
          <w:bCs/>
          <w:sz w:val="24"/>
          <w:szCs w:val="24"/>
        </w:rPr>
      </w:pPr>
      <w:r w:rsidRPr="00262015">
        <w:rPr>
          <w:rFonts w:ascii="Times New Roman" w:eastAsia="Times New Roman" w:hAnsi="Times New Roman" w:cs="Times New Roman"/>
          <w:bCs/>
          <w:noProof/>
          <w:sz w:val="24"/>
          <w:szCs w:val="24"/>
        </w:rPr>
        <w:drawing>
          <wp:inline distT="114300" distB="114300" distL="114300" distR="114300" wp14:anchorId="205E17D8" wp14:editId="205E17D9">
            <wp:extent cx="5110163" cy="114651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110163" cy="1146511"/>
                    </a:xfrm>
                    <a:prstGeom prst="rect">
                      <a:avLst/>
                    </a:prstGeom>
                    <a:ln/>
                  </pic:spPr>
                </pic:pic>
              </a:graphicData>
            </a:graphic>
          </wp:inline>
        </w:drawing>
      </w:r>
    </w:p>
    <w:p w14:paraId="205E17AD" w14:textId="77777777" w:rsidR="00B202F0" w:rsidRPr="00262015" w:rsidRDefault="00C600BB">
      <w:pPr>
        <w:jc w:val="center"/>
        <w:rPr>
          <w:rFonts w:ascii="Times New Roman" w:eastAsia="Times New Roman" w:hAnsi="Times New Roman" w:cs="Times New Roman"/>
          <w:bCs/>
          <w:sz w:val="24"/>
          <w:szCs w:val="24"/>
        </w:rPr>
      </w:pPr>
      <w:r w:rsidRPr="00FE6171">
        <w:rPr>
          <w:rFonts w:ascii="Times New Roman" w:eastAsia="Times New Roman" w:hAnsi="Times New Roman" w:cs="Times New Roman"/>
          <w:b/>
          <w:sz w:val="24"/>
          <w:szCs w:val="24"/>
        </w:rPr>
        <w:t>Figure 1:</w:t>
      </w:r>
      <w:r w:rsidRPr="00262015">
        <w:rPr>
          <w:rFonts w:ascii="Times New Roman" w:eastAsia="Times New Roman" w:hAnsi="Times New Roman" w:cs="Times New Roman"/>
          <w:bCs/>
          <w:sz w:val="24"/>
          <w:szCs w:val="24"/>
        </w:rPr>
        <w:t xml:space="preserve"> Timeline for Event Study</w:t>
      </w:r>
    </w:p>
    <w:p w14:paraId="205E17AE" w14:textId="77777777" w:rsidR="00B202F0" w:rsidRPr="00262015" w:rsidRDefault="00B202F0">
      <w:pPr>
        <w:jc w:val="center"/>
        <w:rPr>
          <w:rFonts w:ascii="Times New Roman" w:eastAsia="Times New Roman" w:hAnsi="Times New Roman" w:cs="Times New Roman"/>
          <w:bCs/>
          <w:sz w:val="24"/>
          <w:szCs w:val="24"/>
        </w:rPr>
      </w:pPr>
    </w:p>
    <w:p w14:paraId="205E17AF" w14:textId="3CFE3EE7" w:rsidR="00B202F0" w:rsidRDefault="00C600BB">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It is typical for the </w:t>
      </w:r>
      <w:r w:rsidR="000F0B3F" w:rsidRPr="00262015">
        <w:rPr>
          <w:rFonts w:ascii="Times New Roman" w:eastAsia="Times New Roman" w:hAnsi="Times New Roman" w:cs="Times New Roman"/>
          <w:bCs/>
          <w:sz w:val="24"/>
          <w:szCs w:val="24"/>
        </w:rPr>
        <w:t>windows</w:t>
      </w:r>
      <w:r w:rsidRPr="00262015">
        <w:rPr>
          <w:rFonts w:ascii="Times New Roman" w:eastAsia="Times New Roman" w:hAnsi="Times New Roman" w:cs="Times New Roman"/>
          <w:bCs/>
          <w:sz w:val="24"/>
          <w:szCs w:val="24"/>
        </w:rPr>
        <w:t xml:space="preserve"> not to overlap with each other. This design provides estimators for the parameters of the normal return model which aren’t influenced by returns around the event. Including the event window while estimating the normal model parameters would lead both the normal and abnormal returns to capture the effect of the event. This would be problematic as the model is built under the assumption that abnormal returns </w:t>
      </w:r>
      <w:r w:rsidR="000F0B3F" w:rsidRPr="00262015">
        <w:rPr>
          <w:rFonts w:ascii="Times New Roman" w:eastAsia="Times New Roman" w:hAnsi="Times New Roman" w:cs="Times New Roman"/>
          <w:bCs/>
          <w:sz w:val="24"/>
          <w:szCs w:val="24"/>
        </w:rPr>
        <w:t>capture</w:t>
      </w:r>
      <w:r w:rsidRPr="00262015">
        <w:rPr>
          <w:rFonts w:ascii="Times New Roman" w:eastAsia="Times New Roman" w:hAnsi="Times New Roman" w:cs="Times New Roman"/>
          <w:bCs/>
          <w:sz w:val="24"/>
          <w:szCs w:val="24"/>
        </w:rPr>
        <w:t xml:space="preserve"> the impact of the event.</w:t>
      </w:r>
    </w:p>
    <w:p w14:paraId="06F40963" w14:textId="77777777" w:rsidR="003A4DD2" w:rsidRDefault="003A4DD2">
      <w:pPr>
        <w:rPr>
          <w:rFonts w:ascii="Times New Roman" w:eastAsia="Times New Roman" w:hAnsi="Times New Roman" w:cs="Times New Roman"/>
          <w:bCs/>
          <w:sz w:val="24"/>
          <w:szCs w:val="24"/>
        </w:rPr>
      </w:pPr>
    </w:p>
    <w:p w14:paraId="633005A6" w14:textId="5986A4B4" w:rsidR="003A4DD2" w:rsidRPr="00262015" w:rsidRDefault="003A4DD2">
      <w:pPr>
        <w:rPr>
          <w:rFonts w:ascii="Times New Roman" w:eastAsia="Times New Roman" w:hAnsi="Times New Roman" w:cs="Times New Roman"/>
          <w:bCs/>
          <w:sz w:val="24"/>
          <w:szCs w:val="24"/>
        </w:rPr>
      </w:pPr>
      <w:r w:rsidRPr="003A4DD2">
        <w:rPr>
          <w:rFonts w:ascii="Times New Roman" w:eastAsia="Times New Roman" w:hAnsi="Times New Roman" w:cs="Times New Roman"/>
          <w:bCs/>
          <w:sz w:val="24"/>
          <w:szCs w:val="24"/>
        </w:rPr>
        <w:t>The normal returns during the estimation window period can be calculated using Ordinary Least Square (OLS).</w:t>
      </w:r>
    </w:p>
    <w:p w14:paraId="495B8A88" w14:textId="77777777" w:rsidR="00227892" w:rsidRDefault="00227892">
      <w:pPr>
        <w:rPr>
          <w:rFonts w:ascii="Times New Roman" w:eastAsia="Times New Roman" w:hAnsi="Times New Roman" w:cs="Times New Roman"/>
          <w:bCs/>
          <w:sz w:val="24"/>
          <w:szCs w:val="24"/>
        </w:rPr>
      </w:pPr>
    </w:p>
    <w:p w14:paraId="0808F9E5" w14:textId="49794900" w:rsidR="003A4DD2" w:rsidRPr="003A4DD2" w:rsidRDefault="00CD6A26">
      <w:pPr>
        <w:rPr>
          <w:rFonts w:ascii="Times New Roman" w:eastAsia="Times New Roman" w:hAnsi="Times New Roman" w:cs="Times New Roman"/>
          <w:bCs/>
          <w:iCs/>
          <w:sz w:val="24"/>
          <w:szCs w:val="24"/>
        </w:rPr>
      </w:pPr>
      <m:oMathPara>
        <m:oMath>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i,  t</m:t>
              </m:r>
            </m:sub>
          </m:sSub>
          <m:r>
            <m:rPr>
              <m:sty m:val="p"/>
            </m:rPr>
            <w:rPr>
              <w:rFonts w:ascii="Cambria Math" w:eastAsia="Times New Roman" w:hAnsi="Cambria Math" w:cs="Times New Roman"/>
              <w:sz w:val="24"/>
              <w:szCs w:val="24"/>
            </w:rPr>
            <m:t xml:space="preserve">= </m:t>
          </m:r>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α</m:t>
              </m:r>
            </m:e>
            <m:sub>
              <m:r>
                <m:rPr>
                  <m:sty m:val="p"/>
                </m:rPr>
                <w:rPr>
                  <w:rFonts w:ascii="Cambria Math" w:eastAsia="Times New Roman" w:hAnsi="Cambria Math" w:cs="Times New Roman"/>
                  <w:sz w:val="24"/>
                  <w:szCs w:val="24"/>
                </w:rPr>
                <m:t>i</m:t>
              </m:r>
            </m:sub>
          </m:sSub>
          <m:r>
            <m:rPr>
              <m:sty m:val="p"/>
            </m:rPr>
            <w:rPr>
              <w:rFonts w:ascii="Cambria Math" w:eastAsia="Times New Roman" w:hAnsi="Cambria Math" w:cs="Times New Roman"/>
              <w:sz w:val="24"/>
              <w:szCs w:val="24"/>
            </w:rPr>
            <m:t xml:space="preserve">+ </m:t>
          </m:r>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β</m:t>
              </m:r>
            </m:e>
            <m:sub>
              <m:r>
                <m:rPr>
                  <m:sty m:val="p"/>
                </m:rPr>
                <w:rPr>
                  <w:rFonts w:ascii="Cambria Math" w:eastAsia="Times New Roman" w:hAnsi="Cambria Math" w:cs="Times New Roman"/>
                  <w:sz w:val="24"/>
                  <w:szCs w:val="24"/>
                </w:rPr>
                <m:t>i</m:t>
              </m:r>
            </m:sub>
          </m:sSub>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m,  t</m:t>
              </m:r>
            </m:sub>
          </m:sSub>
        </m:oMath>
      </m:oMathPara>
    </w:p>
    <w:p w14:paraId="205E17B4" w14:textId="77777777" w:rsidR="00B202F0" w:rsidRPr="00262015" w:rsidRDefault="00B202F0">
      <w:pPr>
        <w:jc w:val="center"/>
        <w:rPr>
          <w:rFonts w:ascii="Times New Roman" w:eastAsia="Times New Roman" w:hAnsi="Times New Roman" w:cs="Times New Roman"/>
          <w:bCs/>
          <w:sz w:val="24"/>
          <w:szCs w:val="24"/>
        </w:rPr>
      </w:pPr>
    </w:p>
    <w:p w14:paraId="205E17B5" w14:textId="465D789B" w:rsidR="00B202F0" w:rsidRPr="00262015" w:rsidRDefault="003A4DD2">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Where </w:t>
      </w:r>
      <m:oMath>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i,t</m:t>
            </m:r>
          </m:sub>
        </m:sSub>
        <m:r>
          <m:rPr>
            <m:sty m:val="p"/>
          </m:rPr>
          <w:rPr>
            <w:rFonts w:ascii="Cambria Math" w:eastAsia="Times New Roman" w:hAnsi="Cambria Math" w:cs="Times New Roman"/>
            <w:sz w:val="24"/>
            <w:szCs w:val="24"/>
          </w:rPr>
          <m:t xml:space="preserve"> =ln[</m:t>
        </m:r>
        <m:f>
          <m:fPr>
            <m:ctrlPr>
              <w:rPr>
                <w:rFonts w:ascii="Cambria Math" w:eastAsia="Times New Roman" w:hAnsi="Cambria Math" w:cs="Times New Roman"/>
                <w:bCs/>
                <w:iCs/>
                <w:sz w:val="24"/>
                <w:szCs w:val="24"/>
              </w:rPr>
            </m:ctrlPr>
          </m:fPr>
          <m:num>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p</m:t>
                </m:r>
              </m:e>
              <m:sub>
                <m:r>
                  <m:rPr>
                    <m:sty m:val="p"/>
                  </m:rPr>
                  <w:rPr>
                    <w:rFonts w:ascii="Cambria Math" w:eastAsia="Times New Roman" w:hAnsi="Cambria Math" w:cs="Times New Roman"/>
                    <w:sz w:val="24"/>
                    <w:szCs w:val="24"/>
                  </w:rPr>
                  <m:t>i,t</m:t>
                </m:r>
              </m:sub>
            </m:sSub>
          </m:num>
          <m:den>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p</m:t>
                </m:r>
              </m:e>
              <m:sub>
                <m:r>
                  <m:rPr>
                    <m:sty m:val="p"/>
                  </m:rPr>
                  <w:rPr>
                    <w:rFonts w:ascii="Cambria Math" w:eastAsia="Times New Roman" w:hAnsi="Cambria Math" w:cs="Times New Roman"/>
                    <w:sz w:val="24"/>
                    <w:szCs w:val="24"/>
                  </w:rPr>
                  <m:t>i,  t -1</m:t>
                </m:r>
              </m:sub>
            </m:sSub>
          </m:den>
        </m:f>
        <m:r>
          <m:rPr>
            <m:sty m:val="p"/>
          </m:rPr>
          <w:rPr>
            <w:rFonts w:ascii="Cambria Math" w:eastAsia="Times New Roman" w:hAnsi="Cambria Math" w:cs="Times New Roman"/>
            <w:sz w:val="24"/>
            <w:szCs w:val="24"/>
          </w:rPr>
          <m:t>]</m:t>
        </m:r>
        <m:r>
          <w:rPr>
            <w:rFonts w:ascii="Cambria Math" w:eastAsia="Times New Roman" w:hAnsi="Cambria Math" w:cs="Times New Roman"/>
            <w:sz w:val="24"/>
            <w:szCs w:val="24"/>
          </w:rPr>
          <m:t xml:space="preserve"> </m:t>
        </m:r>
      </m:oMath>
      <w:r w:rsidR="00C600BB" w:rsidRPr="00262015">
        <w:rPr>
          <w:rFonts w:ascii="Times New Roman" w:eastAsia="Times New Roman" w:hAnsi="Times New Roman" w:cs="Times New Roman"/>
          <w:bCs/>
          <w:sz w:val="24"/>
          <w:szCs w:val="24"/>
        </w:rPr>
        <w:t>is the return on the index</w:t>
      </w:r>
      <w:r w:rsidR="000F0B3F">
        <w:rPr>
          <w:rFonts w:ascii="Times New Roman" w:eastAsia="Times New Roman" w:hAnsi="Times New Roman" w:cs="Times New Roman"/>
          <w:bCs/>
          <w:sz w:val="24"/>
          <w:szCs w:val="24"/>
        </w:rPr>
        <w:t xml:space="preserve"> i</w:t>
      </w:r>
      <w:r w:rsidR="00C600BB" w:rsidRPr="00262015">
        <w:rPr>
          <w:rFonts w:ascii="Times New Roman" w:eastAsia="Times New Roman" w:hAnsi="Times New Roman" w:cs="Times New Roman"/>
          <w:bCs/>
          <w:sz w:val="24"/>
          <w:szCs w:val="24"/>
        </w:rPr>
        <w:t xml:space="preserve"> on day t; </w:t>
      </w:r>
      <m:oMath>
        <m:r>
          <w:rPr>
            <w:rFonts w:ascii="Cambria Math" w:eastAsia="Times New Roman" w:hAnsi="Cambria Math" w:cs="Times New Roman"/>
            <w:sz w:val="24"/>
            <w:szCs w:val="24"/>
          </w:rPr>
          <m:t xml:space="preserve"> </m:t>
        </m:r>
        <m:sSub>
          <m:sSubPr>
            <m:ctrlPr>
              <w:rPr>
                <w:rFonts w:ascii="Cambria Math" w:eastAsia="Times New Roman" w:hAnsi="Cambria Math" w:cs="Times New Roman"/>
                <w:bCs/>
                <w:sz w:val="24"/>
                <w:szCs w:val="24"/>
              </w:rPr>
            </m:ctrlPr>
          </m:sSubPr>
          <m:e>
            <m:r>
              <m:rPr>
                <m:sty m:val="p"/>
              </m:rPr>
              <w:rPr>
                <w:rFonts w:ascii="Cambria Math" w:eastAsia="Times New Roman" w:hAnsi="Cambria Math" w:cs="Times New Roman"/>
                <w:sz w:val="24"/>
                <w:szCs w:val="24"/>
              </w:rPr>
              <m:t>α</m:t>
            </m:r>
          </m:e>
          <m:sub>
            <m:r>
              <w:rPr>
                <w:rFonts w:ascii="Cambria Math" w:eastAsia="Times New Roman" w:hAnsi="Cambria Math" w:cs="Times New Roman"/>
                <w:sz w:val="24"/>
                <w:szCs w:val="24"/>
              </w:rPr>
              <m:t xml:space="preserve">i </m:t>
            </m:r>
          </m:sub>
        </m:sSub>
      </m:oMath>
      <w:r w:rsidR="00C600BB" w:rsidRPr="00262015">
        <w:rPr>
          <w:rFonts w:ascii="Times New Roman" w:eastAsia="Times New Roman" w:hAnsi="Times New Roman" w:cs="Times New Roman"/>
          <w:bCs/>
          <w:sz w:val="24"/>
          <w:szCs w:val="24"/>
        </w:rPr>
        <w:t xml:space="preserve"> is the intercept term;</w:t>
      </w:r>
      <w:r w:rsidR="00C600BB" w:rsidRPr="003A4DD2">
        <w:rPr>
          <w:rFonts w:ascii="Times New Roman" w:eastAsia="Times New Roman" w:hAnsi="Times New Roman" w:cs="Times New Roman"/>
          <w:bCs/>
          <w:sz w:val="24"/>
          <w:szCs w:val="24"/>
        </w:rPr>
        <w:t xml:space="preserve"> </w:t>
      </w:r>
      <m:oMath>
        <m:sSub>
          <m:sSubPr>
            <m:ctrlPr>
              <w:rPr>
                <w:rFonts w:ascii="Cambria Math" w:eastAsia="Times New Roman" w:hAnsi="Cambria Math" w:cs="Times New Roman"/>
                <w:bCs/>
                <w:sz w:val="24"/>
                <w:szCs w:val="24"/>
              </w:rPr>
            </m:ctrlPr>
          </m:sSubPr>
          <m:e>
            <m:r>
              <m:rPr>
                <m:sty m:val="p"/>
              </m:rPr>
              <w:rPr>
                <w:rFonts w:ascii="Cambria Math" w:eastAsia="Times New Roman" w:hAnsi="Cambria Math" w:cs="Times New Roman"/>
                <w:sz w:val="24"/>
                <w:szCs w:val="24"/>
              </w:rPr>
              <m:t>β</m:t>
            </m:r>
          </m:e>
          <m:sub>
            <m:r>
              <m:rPr>
                <m:sty m:val="p"/>
              </m:rPr>
              <w:rPr>
                <w:rFonts w:ascii="Cambria Math" w:eastAsia="Times New Roman" w:hAnsi="Cambria Math" w:cs="Times New Roman"/>
                <w:sz w:val="24"/>
                <w:szCs w:val="24"/>
              </w:rPr>
              <m:t>i</m:t>
            </m:r>
          </m:sub>
        </m:sSub>
      </m:oMath>
      <w:r w:rsidR="00C600BB" w:rsidRPr="00262015">
        <w:rPr>
          <w:rFonts w:ascii="Times New Roman" w:eastAsia="Times New Roman" w:hAnsi="Times New Roman" w:cs="Times New Roman"/>
          <w:bCs/>
          <w:sz w:val="24"/>
          <w:szCs w:val="24"/>
        </w:rPr>
        <w:t xml:space="preserve"> is the systematic risk measuring the sensitivity of the </w:t>
      </w:r>
      <w:r w:rsidR="009C5143">
        <w:rPr>
          <w:rFonts w:ascii="Times New Roman" w:eastAsia="Times New Roman" w:hAnsi="Times New Roman" w:cs="Times New Roman"/>
          <w:bCs/>
          <w:sz w:val="24"/>
          <w:szCs w:val="24"/>
        </w:rPr>
        <w:t>sector</w:t>
      </w:r>
      <w:r w:rsidR="000F0B3F">
        <w:rPr>
          <w:rFonts w:ascii="Times New Roman" w:eastAsia="Times New Roman" w:hAnsi="Times New Roman" w:cs="Times New Roman"/>
          <w:bCs/>
          <w:sz w:val="24"/>
          <w:szCs w:val="24"/>
        </w:rPr>
        <w:t xml:space="preserve"> index </w:t>
      </w:r>
      <w:r w:rsidR="00C600BB" w:rsidRPr="00262015">
        <w:rPr>
          <w:rFonts w:ascii="Times New Roman" w:eastAsia="Times New Roman" w:hAnsi="Times New Roman" w:cs="Times New Roman"/>
          <w:bCs/>
          <w:sz w:val="24"/>
          <w:szCs w:val="24"/>
        </w:rPr>
        <w:t xml:space="preserve">return </w:t>
      </w:r>
      <m:oMath>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i,t</m:t>
            </m:r>
          </m:sub>
        </m:sSub>
      </m:oMath>
      <w:r w:rsidR="00C600BB" w:rsidRPr="00262015">
        <w:rPr>
          <w:rFonts w:ascii="Times New Roman" w:eastAsia="Times New Roman" w:hAnsi="Times New Roman" w:cs="Times New Roman"/>
          <w:bCs/>
          <w:sz w:val="24"/>
          <w:szCs w:val="24"/>
        </w:rPr>
        <w:t xml:space="preserve"> to the market index; </w:t>
      </w:r>
      <m:oMath>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m,t</m:t>
            </m:r>
          </m:sub>
        </m:sSub>
      </m:oMath>
      <w:r w:rsidR="00C600BB" w:rsidRPr="00262015">
        <w:rPr>
          <w:rFonts w:ascii="Times New Roman" w:eastAsia="Times New Roman" w:hAnsi="Times New Roman" w:cs="Times New Roman"/>
          <w:bCs/>
          <w:sz w:val="24"/>
          <w:szCs w:val="24"/>
        </w:rPr>
        <w:t xml:space="preserve"> is the market index, which is the realized market index on day t. It is derived from the S&amp;P 500 index by </w:t>
      </w:r>
      <m:oMath>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m,t</m:t>
            </m:r>
          </m:sub>
        </m:sSub>
        <m:r>
          <m:rPr>
            <m:sty m:val="p"/>
          </m:rPr>
          <w:rPr>
            <w:rFonts w:ascii="Cambria Math" w:eastAsia="Times New Roman" w:hAnsi="Cambria Math" w:cs="Times New Roman"/>
            <w:sz w:val="24"/>
            <w:szCs w:val="24"/>
          </w:rPr>
          <m:t xml:space="preserve"> =ln[</m:t>
        </m:r>
        <m:f>
          <m:fPr>
            <m:ctrlPr>
              <w:rPr>
                <w:rFonts w:ascii="Cambria Math" w:eastAsia="Times New Roman" w:hAnsi="Cambria Math" w:cs="Times New Roman"/>
                <w:bCs/>
                <w:iCs/>
                <w:sz w:val="24"/>
                <w:szCs w:val="24"/>
              </w:rPr>
            </m:ctrlPr>
          </m:fPr>
          <m:num>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p</m:t>
                </m:r>
              </m:e>
              <m:sub>
                <m:r>
                  <m:rPr>
                    <m:sty m:val="p"/>
                  </m:rPr>
                  <w:rPr>
                    <w:rFonts w:ascii="Cambria Math" w:eastAsia="Times New Roman" w:hAnsi="Cambria Math" w:cs="Times New Roman"/>
                    <w:sz w:val="24"/>
                    <w:szCs w:val="24"/>
                  </w:rPr>
                  <m:t>m,t</m:t>
                </m:r>
              </m:sub>
            </m:sSub>
          </m:num>
          <m:den>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p</m:t>
                </m:r>
              </m:e>
              <m:sub>
                <m:r>
                  <m:rPr>
                    <m:sty m:val="p"/>
                  </m:rPr>
                  <w:rPr>
                    <w:rFonts w:ascii="Cambria Math" w:eastAsia="Times New Roman" w:hAnsi="Cambria Math" w:cs="Times New Roman"/>
                    <w:sz w:val="24"/>
                    <w:szCs w:val="24"/>
                  </w:rPr>
                  <m:t>m,  t -1</m:t>
                </m:r>
              </m:sub>
            </m:sSub>
          </m:den>
        </m:f>
        <m:r>
          <m:rPr>
            <m:sty m:val="p"/>
          </m:rPr>
          <w:rPr>
            <w:rFonts w:ascii="Cambria Math" w:eastAsia="Times New Roman" w:hAnsi="Cambria Math" w:cs="Times New Roman"/>
            <w:sz w:val="24"/>
            <w:szCs w:val="24"/>
          </w:rPr>
          <m:t>]</m:t>
        </m:r>
        <m:r>
          <w:rPr>
            <w:rFonts w:ascii="Cambria Math" w:eastAsia="Times New Roman" w:hAnsi="Cambria Math" w:cs="Times New Roman"/>
            <w:sz w:val="24"/>
            <w:szCs w:val="24"/>
          </w:rPr>
          <m:t xml:space="preserve"> </m:t>
        </m:r>
      </m:oMath>
      <w:r w:rsidR="00C600BB" w:rsidRPr="00262015">
        <w:rPr>
          <w:rFonts w:ascii="Times New Roman" w:eastAsia="Times New Roman" w:hAnsi="Times New Roman" w:cs="Times New Roman"/>
          <w:bCs/>
          <w:sz w:val="24"/>
          <w:szCs w:val="24"/>
        </w:rPr>
        <w:t xml:space="preserve">; the error term </w:t>
      </w:r>
      <m:oMath>
        <m:r>
          <w:rPr>
            <w:rFonts w:ascii="Cambria Math" w:eastAsia="Times New Roman" w:hAnsi="Cambria Math" w:cs="Times New Roman"/>
            <w:sz w:val="24"/>
            <w:szCs w:val="24"/>
          </w:rPr>
          <m:t xml:space="preserve"> </m:t>
        </m:r>
        <m:sSub>
          <m:sSubPr>
            <m:ctrlPr>
              <w:rPr>
                <w:rFonts w:ascii="Cambria Math" w:eastAsia="Times New Roman" w:hAnsi="Cambria Math" w:cs="Times New Roman"/>
                <w:bCs/>
                <w:sz w:val="24"/>
                <w:szCs w:val="24"/>
              </w:rPr>
            </m:ctrlPr>
          </m:sSubPr>
          <m:e>
            <m:r>
              <w:rPr>
                <w:rFonts w:ascii="Cambria Math" w:eastAsia="Times New Roman" w:hAnsi="Cambria Math" w:cs="Times New Roman"/>
                <w:sz w:val="24"/>
                <w:szCs w:val="24"/>
              </w:rPr>
              <m:t>ε</m:t>
            </m:r>
          </m:e>
          <m:sub>
            <m:r>
              <w:rPr>
                <w:rFonts w:ascii="Cambria Math" w:eastAsia="Times New Roman" w:hAnsi="Cambria Math" w:cs="Times New Roman"/>
                <w:sz w:val="24"/>
                <w:szCs w:val="24"/>
              </w:rPr>
              <m:t>i,t</m:t>
            </m:r>
          </m:sub>
        </m:sSub>
      </m:oMath>
      <w:r w:rsidR="00C600BB" w:rsidRPr="00262015">
        <w:rPr>
          <w:rFonts w:ascii="Times New Roman" w:eastAsia="Times New Roman" w:hAnsi="Times New Roman" w:cs="Times New Roman"/>
          <w:bCs/>
          <w:sz w:val="24"/>
          <w:szCs w:val="24"/>
        </w:rPr>
        <w:t xml:space="preserve"> is the statistical disturbance.</w:t>
      </w:r>
    </w:p>
    <w:p w14:paraId="205E17B6" w14:textId="77777777" w:rsidR="00B202F0" w:rsidRPr="00262015" w:rsidRDefault="00B202F0">
      <w:pPr>
        <w:rPr>
          <w:rFonts w:ascii="Times New Roman" w:eastAsia="Times New Roman" w:hAnsi="Times New Roman" w:cs="Times New Roman"/>
          <w:bCs/>
          <w:sz w:val="24"/>
          <w:szCs w:val="24"/>
        </w:rPr>
      </w:pPr>
    </w:p>
    <w:p w14:paraId="1C7BF4C3" w14:textId="3B8CC688" w:rsidR="000F0B3F" w:rsidRDefault="00C600BB">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The estimated coefficients </w:t>
      </w:r>
      <m:oMath>
        <m:sSub>
          <m:sSubPr>
            <m:ctrlPr>
              <w:rPr>
                <w:rFonts w:ascii="Cambria Math" w:eastAsia="Times New Roman" w:hAnsi="Cambria Math" w:cs="Times New Roman"/>
                <w:bCs/>
                <w:sz w:val="24"/>
                <w:szCs w:val="24"/>
              </w:rPr>
            </m:ctrlPr>
          </m:sSubPr>
          <m:e>
            <m:acc>
              <m:accPr>
                <m:ctrlPr>
                  <w:rPr>
                    <w:rFonts w:ascii="Cambria Math" w:eastAsia="Times New Roman" w:hAnsi="Cambria Math" w:cs="Times New Roman"/>
                    <w:bCs/>
                    <w:sz w:val="24"/>
                    <w:szCs w:val="24"/>
                  </w:rPr>
                </m:ctrlPr>
              </m:accPr>
              <m:e>
                <m:r>
                  <w:rPr>
                    <w:rFonts w:ascii="Cambria Math" w:eastAsia="Times New Roman" w:hAnsi="Cambria Math" w:cs="Times New Roman"/>
                    <w:sz w:val="24"/>
                    <w:szCs w:val="24"/>
                  </w:rPr>
                  <m:t>α</m:t>
                </m:r>
              </m:e>
            </m:acc>
          </m:e>
          <m:sub>
            <m:r>
              <w:rPr>
                <w:rFonts w:ascii="Cambria Math" w:eastAsia="Times New Roman" w:hAnsi="Cambria Math" w:cs="Times New Roman"/>
                <w:sz w:val="24"/>
                <w:szCs w:val="24"/>
              </w:rPr>
              <m:t>i</m:t>
            </m:r>
          </m:sub>
        </m:sSub>
      </m:oMath>
      <w:r w:rsidRPr="00262015">
        <w:rPr>
          <w:rFonts w:ascii="Times New Roman" w:eastAsia="Times New Roman" w:hAnsi="Times New Roman" w:cs="Times New Roman"/>
          <w:bCs/>
          <w:sz w:val="24"/>
          <w:szCs w:val="24"/>
        </w:rPr>
        <w:t xml:space="preserve"> and </w:t>
      </w:r>
      <m:oMath>
        <m:r>
          <w:rPr>
            <w:rFonts w:ascii="Cambria Math" w:eastAsia="Times New Roman" w:hAnsi="Cambria Math" w:cs="Times New Roman"/>
            <w:sz w:val="24"/>
            <w:szCs w:val="24"/>
          </w:rPr>
          <m:t xml:space="preserve"> </m:t>
        </m:r>
        <m:sSub>
          <m:sSubPr>
            <m:ctrlPr>
              <w:rPr>
                <w:rFonts w:ascii="Cambria Math" w:eastAsia="Times New Roman" w:hAnsi="Cambria Math" w:cs="Times New Roman"/>
                <w:bCs/>
                <w:sz w:val="24"/>
                <w:szCs w:val="24"/>
              </w:rPr>
            </m:ctrlPr>
          </m:sSubPr>
          <m:e>
            <m:acc>
              <m:accPr>
                <m:ctrlPr>
                  <w:rPr>
                    <w:rFonts w:ascii="Cambria Math" w:eastAsia="Times New Roman" w:hAnsi="Cambria Math" w:cs="Times New Roman"/>
                    <w:bCs/>
                    <w:sz w:val="24"/>
                    <w:szCs w:val="24"/>
                  </w:rPr>
                </m:ctrlPr>
              </m:accPr>
              <m:e>
                <m:r>
                  <w:rPr>
                    <w:rFonts w:ascii="Cambria Math" w:eastAsia="Times New Roman" w:hAnsi="Cambria Math" w:cs="Times New Roman"/>
                    <w:sz w:val="24"/>
                    <w:szCs w:val="24"/>
                  </w:rPr>
                  <m:t>β</m:t>
                </m:r>
              </m:e>
            </m:acc>
          </m:e>
          <m:sub>
            <m:r>
              <w:rPr>
                <w:rFonts w:ascii="Cambria Math" w:eastAsia="Times New Roman" w:hAnsi="Cambria Math" w:cs="Times New Roman"/>
                <w:sz w:val="24"/>
                <w:szCs w:val="24"/>
              </w:rPr>
              <m:t>i</m:t>
            </m:r>
          </m:sub>
        </m:sSub>
      </m:oMath>
      <w:r w:rsidRPr="00262015">
        <w:rPr>
          <w:rFonts w:ascii="Times New Roman" w:eastAsia="Times New Roman" w:hAnsi="Times New Roman" w:cs="Times New Roman"/>
          <w:bCs/>
          <w:sz w:val="24"/>
          <w:szCs w:val="24"/>
        </w:rPr>
        <w:t xml:space="preserve"> are generated by the OLS using the estimation window. Therefore, the estimated ARs can be calculated by the following equations:</w:t>
      </w:r>
    </w:p>
    <w:p w14:paraId="17387571" w14:textId="77777777" w:rsidR="00227892" w:rsidRDefault="00227892">
      <w:pPr>
        <w:jc w:val="center"/>
        <w:rPr>
          <w:rFonts w:ascii="Times New Roman" w:eastAsia="Times New Roman" w:hAnsi="Times New Roman" w:cs="Times New Roman"/>
          <w:bCs/>
          <w:sz w:val="24"/>
          <w:szCs w:val="24"/>
        </w:rPr>
      </w:pPr>
    </w:p>
    <w:p w14:paraId="205E17BA" w14:textId="4EA80A76" w:rsidR="00B202F0" w:rsidRPr="00682A02" w:rsidRDefault="009F2D4F">
      <w:pPr>
        <w:jc w:val="center"/>
        <w:rPr>
          <w:rFonts w:ascii="Times New Roman" w:eastAsia="Times New Roman" w:hAnsi="Times New Roman" w:cs="Times New Roman"/>
          <w:bCs/>
          <w:iCs/>
          <w:sz w:val="24"/>
          <w:szCs w:val="24"/>
        </w:rPr>
      </w:pPr>
      <m:oMath>
        <m:r>
          <m:rPr>
            <m:sty m:val="p"/>
          </m:rPr>
          <w:rPr>
            <w:rFonts w:ascii="Cambria Math" w:eastAsia="Times New Roman" w:hAnsi="Cambria Math" w:cs="Times New Roman"/>
            <w:sz w:val="24"/>
            <w:szCs w:val="24"/>
          </w:rPr>
          <m:t>E</m:t>
        </m:r>
        <m:d>
          <m:dPr>
            <m:ctrlPr>
              <w:rPr>
                <w:rFonts w:ascii="Cambria Math" w:eastAsia="Times New Roman" w:hAnsi="Cambria Math" w:cs="Times New Roman"/>
                <w:bCs/>
                <w:iCs/>
                <w:sz w:val="24"/>
                <w:szCs w:val="24"/>
              </w:rPr>
            </m:ctrlPr>
          </m:dPr>
          <m:e>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i, t</m:t>
                </m:r>
              </m:sub>
            </m:sSub>
          </m:e>
        </m:d>
        <m:r>
          <m:rPr>
            <m:sty m:val="p"/>
          </m:rPr>
          <w:rPr>
            <w:rFonts w:ascii="Cambria Math" w:eastAsia="Times New Roman" w:hAnsi="Cambria Math" w:cs="Times New Roman"/>
            <w:sz w:val="24"/>
            <w:szCs w:val="24"/>
          </w:rPr>
          <m:t xml:space="preserve">= </m:t>
        </m:r>
        <m:acc>
          <m:accPr>
            <m:ctrlPr>
              <w:rPr>
                <w:rFonts w:ascii="Cambria Math" w:eastAsia="Times New Roman" w:hAnsi="Cambria Math" w:cs="Times New Roman"/>
                <w:bCs/>
                <w:iCs/>
                <w:sz w:val="24"/>
                <w:szCs w:val="24"/>
              </w:rPr>
            </m:ctrlPr>
          </m:accPr>
          <m:e>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α</m:t>
                </m:r>
              </m:e>
              <m:sub>
                <m:r>
                  <m:rPr>
                    <m:sty m:val="p"/>
                  </m:rPr>
                  <w:rPr>
                    <w:rFonts w:ascii="Cambria Math" w:eastAsia="Times New Roman" w:hAnsi="Cambria Math" w:cs="Times New Roman"/>
                    <w:sz w:val="24"/>
                    <w:szCs w:val="24"/>
                  </w:rPr>
                  <m:t>i</m:t>
                </m:r>
              </m:sub>
            </m:sSub>
          </m:e>
        </m:acc>
        <m:r>
          <m:rPr>
            <m:sty m:val="p"/>
          </m:rPr>
          <w:rPr>
            <w:rFonts w:ascii="Cambria Math" w:eastAsia="Times New Roman" w:hAnsi="Cambria Math" w:cs="Times New Roman"/>
            <w:sz w:val="24"/>
            <w:szCs w:val="24"/>
          </w:rPr>
          <m:t xml:space="preserve">+ </m:t>
        </m:r>
        <m:acc>
          <m:accPr>
            <m:ctrlPr>
              <w:rPr>
                <w:rFonts w:ascii="Cambria Math" w:eastAsia="Times New Roman" w:hAnsi="Cambria Math" w:cs="Times New Roman"/>
                <w:bCs/>
                <w:iCs/>
                <w:sz w:val="24"/>
                <w:szCs w:val="24"/>
              </w:rPr>
            </m:ctrlPr>
          </m:accPr>
          <m:e>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β</m:t>
                </m:r>
              </m:e>
              <m:sub>
                <m:r>
                  <m:rPr>
                    <m:sty m:val="p"/>
                  </m:rPr>
                  <w:rPr>
                    <w:rFonts w:ascii="Cambria Math" w:eastAsia="Times New Roman" w:hAnsi="Cambria Math" w:cs="Times New Roman"/>
                    <w:sz w:val="24"/>
                    <w:szCs w:val="24"/>
                  </w:rPr>
                  <m:t>i</m:t>
                </m:r>
              </m:sub>
            </m:sSub>
          </m:e>
        </m:acc>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m,  t</m:t>
            </m:r>
          </m:sub>
        </m:sSub>
        <m:r>
          <m:rPr>
            <m:sty m:val="p"/>
          </m:rPr>
          <w:rPr>
            <w:rFonts w:ascii="Cambria Math" w:eastAsia="Times New Roman" w:hAnsi="Cambria Math" w:cs="Times New Roman"/>
            <w:sz w:val="24"/>
            <w:szCs w:val="24"/>
          </w:rPr>
          <m:t xml:space="preserve"> </m:t>
        </m:r>
      </m:oMath>
      <w:r w:rsidR="00227892" w:rsidRPr="00682A02">
        <w:rPr>
          <w:rFonts w:ascii="Times New Roman" w:eastAsia="Times New Roman" w:hAnsi="Times New Roman" w:cs="Times New Roman"/>
          <w:bCs/>
          <w:iCs/>
          <w:sz w:val="24"/>
          <w:szCs w:val="24"/>
        </w:rPr>
        <w:t xml:space="preserve"> </w:t>
      </w:r>
    </w:p>
    <w:bookmarkStart w:id="0" w:name="_642p3q4eh8vp" w:colFirst="0" w:colLast="0"/>
    <w:bookmarkEnd w:id="0"/>
    <w:p w14:paraId="205E17BB" w14:textId="2D517188" w:rsidR="00B202F0" w:rsidRPr="00246BD5" w:rsidRDefault="00CD6A26">
      <w:pPr>
        <w:pStyle w:val="Heading6"/>
        <w:keepLines w:val="0"/>
        <w:jc w:val="center"/>
        <w:rPr>
          <w:rFonts w:ascii="Times New Roman" w:eastAsia="Times New Roman" w:hAnsi="Times New Roman" w:cs="Times New Roman"/>
          <w:bCs/>
          <w:i w:val="0"/>
          <w:color w:val="000000"/>
          <w:sz w:val="24"/>
          <w:szCs w:val="24"/>
        </w:rPr>
      </w:pPr>
      <m:oMathPara>
        <m:oMath>
          <m:sSub>
            <m:sSubPr>
              <m:ctrlPr>
                <w:rPr>
                  <w:rFonts w:ascii="Cambria Math" w:eastAsia="Times New Roman" w:hAnsi="Cambria Math" w:cs="Times New Roman"/>
                  <w:bCs/>
                  <w:i w:val="0"/>
                  <w:color w:val="000000"/>
                  <w:sz w:val="24"/>
                  <w:szCs w:val="24"/>
                </w:rPr>
              </m:ctrlPr>
            </m:sSubPr>
            <m:e>
              <m:r>
                <w:rPr>
                  <w:rFonts w:ascii="Cambria Math" w:eastAsia="Times New Roman" w:hAnsi="Cambria Math" w:cs="Times New Roman"/>
                  <w:color w:val="000000"/>
                  <w:sz w:val="24"/>
                  <w:szCs w:val="24"/>
                </w:rPr>
                <m:t>AR</m:t>
              </m:r>
            </m:e>
            <m:sub>
              <m:r>
                <w:rPr>
                  <w:rFonts w:ascii="Cambria Math" w:eastAsia="Times New Roman" w:hAnsi="Cambria Math" w:cs="Times New Roman"/>
                  <w:color w:val="000000"/>
                  <w:sz w:val="24"/>
                  <w:szCs w:val="24"/>
                </w:rPr>
                <m:t>i, t</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bCs/>
                  <w:i w:val="0"/>
                  <w:color w:val="000000"/>
                  <w:sz w:val="24"/>
                  <w:szCs w:val="24"/>
                </w:rPr>
              </m:ctrlPr>
            </m:sSubPr>
            <m:e>
              <m:r>
                <w:rPr>
                  <w:rFonts w:ascii="Cambria Math" w:eastAsia="Times New Roman" w:hAnsi="Cambria Math" w:cs="Times New Roman"/>
                  <w:color w:val="000000"/>
                  <w:sz w:val="24"/>
                  <w:szCs w:val="24"/>
                </w:rPr>
                <m:t xml:space="preserve"> </m:t>
              </m:r>
              <m:sSup>
                <m:sSupPr>
                  <m:ctrlPr>
                    <w:rPr>
                      <w:rFonts w:ascii="Cambria Math" w:eastAsia="Times New Roman" w:hAnsi="Cambria Math" w:cs="Times New Roman"/>
                      <w:bCs/>
                      <w:i w:val="0"/>
                      <w:color w:val="000000"/>
                      <w:sz w:val="24"/>
                      <w:szCs w:val="24"/>
                    </w:rPr>
                  </m:ctrlPr>
                </m:sSupPr>
                <m:e>
                  <m:r>
                    <w:rPr>
                      <w:rFonts w:ascii="Cambria Math" w:eastAsia="Times New Roman" w:hAnsi="Cambria Math" w:cs="Times New Roman"/>
                      <w:color w:val="000000"/>
                      <w:sz w:val="24"/>
                      <w:szCs w:val="24"/>
                    </w:rPr>
                    <m:t>ε</m:t>
                  </m:r>
                </m:e>
                <m:sup>
                  <m:r>
                    <w:rPr>
                      <w:rFonts w:ascii="Cambria Math" w:eastAsia="Times New Roman" w:hAnsi="Cambria Math" w:cs="Times New Roman"/>
                      <w:color w:val="000000"/>
                      <w:sz w:val="24"/>
                      <w:szCs w:val="24"/>
                    </w:rPr>
                    <m:t>*</m:t>
                  </m:r>
                </m:sup>
              </m:sSup>
            </m:e>
            <m:sub>
              <m:r>
                <w:rPr>
                  <w:rFonts w:ascii="Cambria Math" w:eastAsia="Times New Roman" w:hAnsi="Cambria Math" w:cs="Times New Roman"/>
                  <w:color w:val="000000"/>
                  <w:sz w:val="24"/>
                  <w:szCs w:val="24"/>
                </w:rPr>
                <m:t>i,t</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bCs/>
                  <w:i w:val="0"/>
                  <w:color w:val="000000"/>
                  <w:sz w:val="24"/>
                  <w:szCs w:val="24"/>
                </w:rPr>
              </m:ctrlPr>
            </m:sSubPr>
            <m:e>
              <m:r>
                <w:rPr>
                  <w:rFonts w:ascii="Cambria Math" w:eastAsia="Times New Roman" w:hAnsi="Cambria Math" w:cs="Times New Roman"/>
                  <w:color w:val="000000"/>
                  <w:sz w:val="24"/>
                  <w:szCs w:val="24"/>
                </w:rPr>
                <m:t>R</m:t>
              </m:r>
            </m:e>
            <m:sub>
              <m:r>
                <w:rPr>
                  <w:rFonts w:ascii="Cambria Math" w:eastAsia="Times New Roman" w:hAnsi="Cambria Math" w:cs="Times New Roman"/>
                  <w:color w:val="000000"/>
                  <w:sz w:val="24"/>
                  <w:szCs w:val="24"/>
                </w:rPr>
                <m:t>i,t</m:t>
              </m:r>
            </m:sub>
          </m:sSub>
          <m:r>
            <w:rPr>
              <w:rFonts w:ascii="Cambria Math" w:eastAsia="Times New Roman" w:hAnsi="Cambria Math" w:cs="Times New Roman"/>
              <w:color w:val="000000"/>
              <w:sz w:val="24"/>
              <w:szCs w:val="24"/>
            </w:rPr>
            <m:t>-E(</m:t>
          </m:r>
          <m:sSub>
            <m:sSubPr>
              <m:ctrlPr>
                <w:rPr>
                  <w:rFonts w:ascii="Cambria Math" w:eastAsia="Times New Roman" w:hAnsi="Cambria Math" w:cs="Times New Roman"/>
                  <w:bCs/>
                  <w:i w:val="0"/>
                  <w:color w:val="000000"/>
                  <w:sz w:val="24"/>
                  <w:szCs w:val="24"/>
                </w:rPr>
              </m:ctrlPr>
            </m:sSubPr>
            <m:e>
              <m:r>
                <w:rPr>
                  <w:rFonts w:ascii="Cambria Math" w:eastAsia="Times New Roman" w:hAnsi="Cambria Math" w:cs="Times New Roman"/>
                  <w:color w:val="000000"/>
                  <w:sz w:val="24"/>
                  <w:szCs w:val="24"/>
                </w:rPr>
                <m:t>R</m:t>
              </m:r>
            </m:e>
            <m:sub>
              <m:r>
                <w:rPr>
                  <w:rFonts w:ascii="Cambria Math" w:eastAsia="Times New Roman" w:hAnsi="Cambria Math" w:cs="Times New Roman"/>
                  <w:color w:val="000000"/>
                  <w:sz w:val="24"/>
                  <w:szCs w:val="24"/>
                </w:rPr>
                <m:t xml:space="preserve">i,t </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bCs/>
                  <w:i w:val="0"/>
                  <w:color w:val="000000"/>
                  <w:sz w:val="24"/>
                  <w:szCs w:val="24"/>
                </w:rPr>
              </m:ctrlPr>
            </m:sSubPr>
            <m:e>
              <m:r>
                <w:rPr>
                  <w:rFonts w:ascii="Cambria Math" w:eastAsia="Times New Roman" w:hAnsi="Cambria Math" w:cs="Times New Roman"/>
                  <w:color w:val="000000"/>
                  <w:sz w:val="24"/>
                  <w:szCs w:val="24"/>
                </w:rPr>
                <m:t>R</m:t>
              </m:r>
            </m:e>
            <m:sub>
              <m:r>
                <w:rPr>
                  <w:rFonts w:ascii="Cambria Math" w:eastAsia="Times New Roman" w:hAnsi="Cambria Math" w:cs="Times New Roman"/>
                  <w:color w:val="000000"/>
                  <w:sz w:val="24"/>
                  <w:szCs w:val="24"/>
                </w:rPr>
                <m:t>i,t</m:t>
              </m:r>
            </m:sub>
          </m:sSub>
          <m:r>
            <w:rPr>
              <w:rFonts w:ascii="Cambria Math" w:eastAsia="Times New Roman" w:hAnsi="Cambria Math" w:cs="Times New Roman"/>
              <w:color w:val="000000"/>
              <w:sz w:val="24"/>
              <w:szCs w:val="24"/>
            </w:rPr>
            <m:t>-(̂</m:t>
          </m:r>
          <m:acc>
            <m:accPr>
              <m:ctrlPr>
                <w:rPr>
                  <w:rFonts w:ascii="Cambria Math" w:eastAsia="Times New Roman" w:hAnsi="Cambria Math" w:cs="Times New Roman"/>
                  <w:bCs/>
                  <w:i w:val="0"/>
                  <w:color w:val="000000"/>
                  <w:sz w:val="24"/>
                  <w:szCs w:val="24"/>
                </w:rPr>
              </m:ctrlPr>
            </m:accPr>
            <m:e>
              <m:sSub>
                <m:sSubPr>
                  <m:ctrlPr>
                    <w:rPr>
                      <w:rFonts w:ascii="Cambria Math" w:eastAsia="Times New Roman" w:hAnsi="Cambria Math" w:cs="Times New Roman"/>
                      <w:bCs/>
                      <w:i w:val="0"/>
                      <w:color w:val="000000"/>
                      <w:sz w:val="24"/>
                      <w:szCs w:val="24"/>
                    </w:rPr>
                  </m:ctrlPr>
                </m:sSubPr>
                <m:e>
                  <m:r>
                    <w:rPr>
                      <w:rFonts w:ascii="Cambria Math" w:eastAsia="Times New Roman" w:hAnsi="Cambria Math" w:cs="Times New Roman"/>
                      <w:color w:val="000000"/>
                      <w:sz w:val="24"/>
                      <w:szCs w:val="24"/>
                    </w:rPr>
                    <m:t>α</m:t>
                  </m:r>
                </m:e>
                <m:sub>
                  <m:r>
                    <w:rPr>
                      <w:rFonts w:ascii="Cambria Math" w:eastAsia="Times New Roman" w:hAnsi="Cambria Math" w:cs="Times New Roman"/>
                      <w:color w:val="000000"/>
                      <w:sz w:val="24"/>
                      <w:szCs w:val="24"/>
                    </w:rPr>
                    <m:t>i</m:t>
                  </m:r>
                </m:sub>
              </m:sSub>
            </m:e>
          </m:acc>
          <m:r>
            <w:rPr>
              <w:rFonts w:ascii="Cambria Math" w:eastAsia="Times New Roman" w:hAnsi="Cambria Math" w:cs="Times New Roman"/>
              <w:color w:val="000000"/>
              <w:sz w:val="24"/>
              <w:szCs w:val="24"/>
            </w:rPr>
            <m:t xml:space="preserve">+ </m:t>
          </m:r>
          <m:acc>
            <m:accPr>
              <m:ctrlPr>
                <w:rPr>
                  <w:rFonts w:ascii="Cambria Math" w:eastAsia="Times New Roman" w:hAnsi="Cambria Math" w:cs="Times New Roman"/>
                  <w:bCs/>
                  <w:i w:val="0"/>
                  <w:color w:val="000000"/>
                  <w:sz w:val="24"/>
                  <w:szCs w:val="24"/>
                </w:rPr>
              </m:ctrlPr>
            </m:accPr>
            <m:e>
              <m:sSub>
                <m:sSubPr>
                  <m:ctrlPr>
                    <w:rPr>
                      <w:rFonts w:ascii="Cambria Math" w:eastAsia="Times New Roman" w:hAnsi="Cambria Math" w:cs="Times New Roman"/>
                      <w:bCs/>
                      <w:i w:val="0"/>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i</m:t>
                  </m:r>
                </m:sub>
              </m:sSub>
            </m:e>
          </m:acc>
          <m:sSub>
            <m:sSubPr>
              <m:ctrlPr>
                <w:rPr>
                  <w:rFonts w:ascii="Cambria Math" w:eastAsia="Times New Roman" w:hAnsi="Cambria Math" w:cs="Times New Roman"/>
                  <w:bCs/>
                  <w:i w:val="0"/>
                  <w:color w:val="000000"/>
                  <w:sz w:val="24"/>
                  <w:szCs w:val="24"/>
                </w:rPr>
              </m:ctrlPr>
            </m:sSubPr>
            <m:e>
              <m:r>
                <w:rPr>
                  <w:rFonts w:ascii="Cambria Math" w:eastAsia="Times New Roman" w:hAnsi="Cambria Math" w:cs="Times New Roman"/>
                  <w:color w:val="000000"/>
                  <w:sz w:val="24"/>
                  <w:szCs w:val="24"/>
                </w:rPr>
                <m:t>R</m:t>
              </m:r>
            </m:e>
            <m:sub>
              <m:r>
                <w:rPr>
                  <w:rFonts w:ascii="Cambria Math" w:eastAsia="Times New Roman" w:hAnsi="Cambria Math" w:cs="Times New Roman"/>
                  <w:color w:val="000000"/>
                  <w:sz w:val="24"/>
                  <w:szCs w:val="24"/>
                </w:rPr>
                <m:t>m,t</m:t>
              </m:r>
            </m:sub>
          </m:sSub>
          <m:r>
            <w:rPr>
              <w:rFonts w:ascii="Cambria Math" w:eastAsia="Times New Roman" w:hAnsi="Cambria Math" w:cs="Times New Roman"/>
              <w:color w:val="000000"/>
              <w:sz w:val="24"/>
              <w:szCs w:val="24"/>
            </w:rPr>
            <m:t>)</m:t>
          </m:r>
        </m:oMath>
      </m:oMathPara>
    </w:p>
    <w:p w14:paraId="3682E3D2" w14:textId="77777777" w:rsidR="003A4DD2" w:rsidRPr="003A4DD2" w:rsidRDefault="003A4DD2" w:rsidP="003A4DD2"/>
    <w:p w14:paraId="205E17BC" w14:textId="2F4B4289" w:rsidR="00B202F0" w:rsidRDefault="00C600BB">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For index j on day t, </w:t>
      </w:r>
      <m:oMath>
        <m:r>
          <m:rPr>
            <m:sty m:val="p"/>
          </m:rPr>
          <w:rPr>
            <w:rFonts w:ascii="Cambria Math" w:eastAsia="Times New Roman" w:hAnsi="Cambria Math" w:cs="Times New Roman"/>
            <w:sz w:val="24"/>
            <w:szCs w:val="24"/>
          </w:rPr>
          <m:t>E(</m:t>
        </m:r>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i,t</m:t>
            </m:r>
          </m:sub>
        </m:sSub>
        <m:r>
          <m:rPr>
            <m:sty m:val="p"/>
          </m:rPr>
          <w:rPr>
            <w:rFonts w:ascii="Cambria Math" w:eastAsia="Times New Roman" w:hAnsi="Cambria Math" w:cs="Times New Roman"/>
            <w:sz w:val="24"/>
            <w:szCs w:val="24"/>
          </w:rPr>
          <m:t>)</m:t>
        </m:r>
      </m:oMath>
      <w:r w:rsidRPr="00262015">
        <w:rPr>
          <w:rFonts w:ascii="Times New Roman" w:eastAsia="Times New Roman" w:hAnsi="Times New Roman" w:cs="Times New Roman"/>
          <w:bCs/>
          <w:sz w:val="24"/>
          <w:szCs w:val="24"/>
        </w:rPr>
        <w:t xml:space="preserve"> is the expected return. </w:t>
      </w:r>
      <m:oMath>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i,t</m:t>
            </m:r>
          </m:sub>
        </m:sSub>
      </m:oMath>
      <w:r w:rsidRPr="00262015">
        <w:rPr>
          <w:rFonts w:ascii="Times New Roman" w:eastAsia="Times New Roman" w:hAnsi="Times New Roman" w:cs="Times New Roman"/>
          <w:bCs/>
          <w:sz w:val="24"/>
          <w:szCs w:val="24"/>
        </w:rPr>
        <w:t xml:space="preserve"> is the actual return, and </w:t>
      </w:r>
      <m:oMath>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AR</m:t>
            </m:r>
          </m:e>
          <m:sub>
            <m:r>
              <m:rPr>
                <m:sty m:val="p"/>
              </m:rPr>
              <w:rPr>
                <w:rFonts w:ascii="Cambria Math" w:eastAsia="Times New Roman" w:hAnsi="Cambria Math" w:cs="Times New Roman"/>
                <w:sz w:val="24"/>
                <w:szCs w:val="24"/>
              </w:rPr>
              <m:t>i,t</m:t>
            </m:r>
          </m:sub>
        </m:sSub>
      </m:oMath>
      <w:r w:rsidRPr="00262015">
        <w:rPr>
          <w:rFonts w:ascii="Times New Roman" w:eastAsia="Times New Roman" w:hAnsi="Times New Roman" w:cs="Times New Roman"/>
          <w:bCs/>
          <w:sz w:val="24"/>
          <w:szCs w:val="24"/>
        </w:rPr>
        <w:t xml:space="preserve"> is the actual return within the event window. The market return on day t is </w:t>
      </w:r>
      <m:oMath>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m,t</m:t>
            </m:r>
          </m:sub>
        </m:sSub>
      </m:oMath>
      <w:r w:rsidRPr="00262015">
        <w:rPr>
          <w:rFonts w:ascii="Times New Roman" w:eastAsia="Times New Roman" w:hAnsi="Times New Roman" w:cs="Times New Roman"/>
          <w:bCs/>
          <w:sz w:val="24"/>
          <w:szCs w:val="24"/>
        </w:rPr>
        <w:t xml:space="preserve">. </w:t>
      </w:r>
    </w:p>
    <w:p w14:paraId="2E0503FD" w14:textId="77777777" w:rsidR="003A4DD2" w:rsidRDefault="003A4DD2">
      <w:pPr>
        <w:rPr>
          <w:rFonts w:ascii="Times New Roman" w:eastAsia="Times New Roman" w:hAnsi="Times New Roman" w:cs="Times New Roman"/>
          <w:bCs/>
          <w:sz w:val="24"/>
          <w:szCs w:val="24"/>
        </w:rPr>
      </w:pPr>
    </w:p>
    <w:p w14:paraId="2BDB23D1" w14:textId="4B3AA049" w:rsidR="003A4DD2" w:rsidRPr="003A4DD2" w:rsidRDefault="003A4DD2" w:rsidP="003A4DD2">
      <w:pPr>
        <w:rPr>
          <w:rFonts w:ascii="Times New Roman" w:hAnsi="Times New Roman" w:cs="Times New Roman"/>
          <w:sz w:val="24"/>
          <w:szCs w:val="24"/>
        </w:rPr>
      </w:pPr>
      <w:r w:rsidRPr="003A4DD2">
        <w:rPr>
          <w:rFonts w:ascii="Times New Roman" w:hAnsi="Times New Roman" w:cs="Times New Roman"/>
          <w:sz w:val="24"/>
          <w:szCs w:val="24"/>
        </w:rPr>
        <w:t>In my event study</w:t>
      </w:r>
      <w:r>
        <w:rPr>
          <w:rFonts w:ascii="Times New Roman" w:hAnsi="Times New Roman" w:cs="Times New Roman"/>
          <w:sz w:val="24"/>
          <w:szCs w:val="24"/>
        </w:rPr>
        <w:t>,</w:t>
      </w:r>
      <w:r w:rsidRPr="003A4DD2">
        <w:rPr>
          <w:rFonts w:ascii="Times New Roman" w:hAnsi="Times New Roman" w:cs="Times New Roman"/>
          <w:sz w:val="24"/>
          <w:szCs w:val="24"/>
        </w:rPr>
        <w:t xml:space="preserve"> I use the estimation window</w:t>
      </w:r>
      <w:r>
        <w:rPr>
          <w:rFonts w:ascii="Times New Roman" w:hAnsi="Times New Roman" w:cs="Times New Roman"/>
          <w:sz w:val="24"/>
          <w:szCs w:val="24"/>
        </w:rPr>
        <w:t xml:space="preserve"> </w:t>
      </w:r>
      <w:r w:rsidRPr="003A4DD2">
        <w:rPr>
          <w:rFonts w:ascii="Times New Roman" w:hAnsi="Times New Roman" w:cs="Times New Roman"/>
          <w:sz w:val="24"/>
          <w:szCs w:val="24"/>
        </w:rPr>
        <w:t xml:space="preserve">to predict the expected returns </w:t>
      </w:r>
      <w:r>
        <w:rPr>
          <w:rFonts w:ascii="Times New Roman" w:hAnsi="Times New Roman" w:cs="Times New Roman"/>
          <w:sz w:val="24"/>
          <w:szCs w:val="24"/>
        </w:rPr>
        <w:t>for event window using</w:t>
      </w:r>
      <w:r w:rsidRPr="003A4DD2">
        <w:rPr>
          <w:rFonts w:ascii="Times New Roman" w:hAnsi="Times New Roman" w:cs="Times New Roman"/>
          <w:sz w:val="24"/>
          <w:szCs w:val="24"/>
        </w:rPr>
        <w:t xml:space="preserve"> linear prediction. </w:t>
      </w:r>
      <w:r>
        <w:rPr>
          <w:rFonts w:ascii="Times New Roman" w:hAnsi="Times New Roman" w:cs="Times New Roman"/>
          <w:sz w:val="24"/>
          <w:szCs w:val="24"/>
        </w:rPr>
        <w:t>To calculate AR for each sector I subtracted actual returns</w:t>
      </w:r>
      <w:r w:rsidRPr="003A4DD2">
        <w:rPr>
          <w:rFonts w:ascii="Times New Roman" w:hAnsi="Times New Roman" w:cs="Times New Roman"/>
          <w:sz w:val="24"/>
          <w:szCs w:val="24"/>
        </w:rPr>
        <w:t xml:space="preserve"> </w:t>
      </w:r>
      <m:oMath>
        <m:sSub>
          <m:sSubPr>
            <m:ctrlPr>
              <w:rPr>
                <w:rFonts w:ascii="Cambria Math" w:eastAsia="Times New Roman" w:hAnsi="Cambria Math" w:cs="Times New Roman"/>
                <w:b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i,t</m:t>
            </m:r>
          </m:sub>
        </m:sSub>
      </m:oMath>
      <w:r>
        <w:rPr>
          <w:rFonts w:ascii="Times New Roman" w:hAnsi="Times New Roman" w:cs="Times New Roman"/>
          <w:bCs/>
          <w:sz w:val="24"/>
          <w:szCs w:val="24"/>
        </w:rPr>
        <w:t xml:space="preserve"> by expected returns</w:t>
      </w:r>
      <w:r w:rsidRPr="003A4DD2">
        <w:rPr>
          <w:rFonts w:ascii="Cambria Math" w:eastAsia="Times New Roman" w:hAnsi="Cambria Math" w:cs="Times New Roman"/>
          <w:bCs/>
          <w:iCs/>
          <w:sz w:val="24"/>
          <w:szCs w:val="24"/>
        </w:rPr>
        <w:t xml:space="preserve"> </w:t>
      </w:r>
      <m:oMath>
        <m:r>
          <m:rPr>
            <m:sty m:val="p"/>
          </m:rPr>
          <w:rPr>
            <w:rFonts w:ascii="Cambria Math" w:eastAsia="Times New Roman" w:hAnsi="Cambria Math" w:cs="Times New Roman"/>
            <w:sz w:val="24"/>
            <w:szCs w:val="24"/>
          </w:rPr>
          <m:t>E</m:t>
        </m:r>
        <m:d>
          <m:dPr>
            <m:ctrlPr>
              <w:rPr>
                <w:rFonts w:ascii="Cambria Math" w:eastAsia="Times New Roman" w:hAnsi="Cambria Math" w:cs="Times New Roman"/>
                <w:bCs/>
                <w:iCs/>
                <w:sz w:val="24"/>
                <w:szCs w:val="24"/>
              </w:rPr>
            </m:ctrlPr>
          </m:dPr>
          <m:e>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i, t</m:t>
                </m:r>
              </m:sub>
            </m:sSub>
          </m:e>
        </m:d>
      </m:oMath>
      <w:r>
        <w:rPr>
          <w:rFonts w:ascii="Cambria Math" w:eastAsia="Times New Roman" w:hAnsi="Cambria Math" w:cs="Times New Roman"/>
          <w:bCs/>
          <w:iCs/>
          <w:sz w:val="24"/>
          <w:szCs w:val="24"/>
        </w:rPr>
        <w:t>.</w:t>
      </w:r>
      <w:r w:rsidR="00961675">
        <w:rPr>
          <w:rFonts w:ascii="Cambria Math" w:eastAsia="Times New Roman" w:hAnsi="Cambria Math" w:cs="Times New Roman"/>
          <w:bCs/>
          <w:iCs/>
          <w:sz w:val="24"/>
          <w:szCs w:val="24"/>
        </w:rPr>
        <w:t xml:space="preserve">  Visualization of abnormal returns is illustrated by t</w:t>
      </w:r>
      <w:r w:rsidR="008B139D">
        <w:rPr>
          <w:rFonts w:ascii="Cambria Math" w:eastAsia="Times New Roman" w:hAnsi="Cambria Math" w:cs="Times New Roman"/>
          <w:bCs/>
          <w:iCs/>
          <w:sz w:val="24"/>
          <w:szCs w:val="24"/>
        </w:rPr>
        <w:t>he difference between the gaps of the actual return and linear</w:t>
      </w:r>
      <w:r w:rsidR="00961675">
        <w:rPr>
          <w:rFonts w:ascii="Cambria Math" w:eastAsia="Times New Roman" w:hAnsi="Cambria Math" w:cs="Times New Roman"/>
          <w:bCs/>
          <w:iCs/>
          <w:sz w:val="24"/>
          <w:szCs w:val="24"/>
        </w:rPr>
        <w:t xml:space="preserve"> prediction</w:t>
      </w:r>
      <w:r w:rsidR="008B139D">
        <w:rPr>
          <w:rFonts w:ascii="Cambria Math" w:eastAsia="Times New Roman" w:hAnsi="Cambria Math" w:cs="Times New Roman"/>
          <w:bCs/>
          <w:iCs/>
          <w:sz w:val="24"/>
          <w:szCs w:val="24"/>
        </w:rPr>
        <w:t xml:space="preserve"> return in </w:t>
      </w:r>
      <w:r w:rsidR="00961675">
        <w:rPr>
          <w:rFonts w:ascii="Cambria Math" w:eastAsia="Times New Roman" w:hAnsi="Cambria Math" w:cs="Times New Roman"/>
          <w:bCs/>
          <w:iCs/>
          <w:sz w:val="24"/>
          <w:szCs w:val="24"/>
        </w:rPr>
        <w:t xml:space="preserve">Figure B1 and B2 in the appendix..  </w:t>
      </w:r>
    </w:p>
    <w:p w14:paraId="13FB543B" w14:textId="77777777" w:rsidR="003A4DD2" w:rsidRPr="00262015" w:rsidRDefault="003A4DD2">
      <w:pPr>
        <w:rPr>
          <w:rFonts w:ascii="Times New Roman" w:eastAsia="Times New Roman" w:hAnsi="Times New Roman" w:cs="Times New Roman"/>
          <w:bCs/>
          <w:sz w:val="24"/>
          <w:szCs w:val="24"/>
        </w:rPr>
      </w:pPr>
    </w:p>
    <w:p w14:paraId="205E17C0" w14:textId="0755EDCF" w:rsidR="00B202F0" w:rsidRPr="00262015" w:rsidRDefault="00C600BB" w:rsidP="00682A02">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The cumulative average returns (CAR) </w:t>
      </w:r>
      <w:r w:rsidR="003A4DD2">
        <w:rPr>
          <w:rFonts w:ascii="Times New Roman" w:eastAsia="Times New Roman" w:hAnsi="Times New Roman" w:cs="Times New Roman"/>
          <w:bCs/>
          <w:sz w:val="24"/>
          <w:szCs w:val="24"/>
        </w:rPr>
        <w:t xml:space="preserve">of </w:t>
      </w:r>
      <w:r w:rsidRPr="00262015">
        <w:rPr>
          <w:rFonts w:ascii="Times New Roman" w:eastAsia="Times New Roman" w:hAnsi="Times New Roman" w:cs="Times New Roman"/>
          <w:bCs/>
          <w:sz w:val="24"/>
          <w:szCs w:val="24"/>
        </w:rPr>
        <w:t xml:space="preserve">index i from t₀ to t₁ in the event window can be derived from  </w:t>
      </w:r>
      <m:oMath>
        <m:r>
          <m:rPr>
            <m:sty m:val="p"/>
          </m:rPr>
          <w:rPr>
            <w:rFonts w:ascii="Cambria Math" w:eastAsia="Times New Roman" w:hAnsi="Cambria Math" w:cs="Times New Roman"/>
            <w:sz w:val="24"/>
            <w:szCs w:val="24"/>
          </w:rPr>
          <m:t xml:space="preserve"> </m:t>
        </m:r>
        <m:sSub>
          <m:sSubPr>
            <m:ctrlPr>
              <w:rPr>
                <w:rFonts w:ascii="Cambria Math" w:eastAsia="Times New Roman" w:hAnsi="Cambria Math" w:cs="Times New Roman"/>
                <w:bCs/>
                <w:sz w:val="24"/>
                <w:szCs w:val="24"/>
              </w:rPr>
            </m:ctrlPr>
          </m:sSubPr>
          <m:e>
            <m:r>
              <m:rPr>
                <m:sty m:val="p"/>
              </m:rPr>
              <w:rPr>
                <w:rFonts w:ascii="Cambria Math" w:eastAsia="Times New Roman" w:hAnsi="Cambria Math" w:cs="Times New Roman"/>
                <w:sz w:val="24"/>
                <w:szCs w:val="24"/>
              </w:rPr>
              <m:t>CAR</m:t>
            </m:r>
          </m:e>
          <m:sub>
            <m:r>
              <w:rPr>
                <w:rFonts w:ascii="Cambria Math" w:eastAsia="Times New Roman" w:hAnsi="Cambria Math" w:cs="Times New Roman"/>
                <w:sz w:val="24"/>
                <w:szCs w:val="24"/>
              </w:rPr>
              <m:t>i</m:t>
            </m:r>
          </m:sub>
        </m:sSub>
        <m:r>
          <m:rPr>
            <m:sty m:val="p"/>
          </m:rPr>
          <w:rPr>
            <w:rFonts w:ascii="Cambria Math" w:eastAsia="Times New Roman" w:hAnsi="Cambria Math" w:cs="Times New Roman"/>
            <w:sz w:val="24"/>
            <w:szCs w:val="24"/>
          </w:rPr>
          <m:t>(</m:t>
        </m:r>
        <m:sSub>
          <m:sSubPr>
            <m:ctrlPr>
              <w:rPr>
                <w:rFonts w:ascii="Cambria Math" w:eastAsia="Times New Roman" w:hAnsi="Cambria Math" w:cs="Times New Roman"/>
                <w:bCs/>
                <w:sz w:val="24"/>
                <w:szCs w:val="24"/>
              </w:rPr>
            </m:ctrlPr>
          </m:sSubPr>
          <m:e>
            <m:r>
              <m:rPr>
                <m:sty m:val="p"/>
              </m:rPr>
              <w:rPr>
                <w:rFonts w:ascii="Cambria Math" w:eastAsia="Times New Roman" w:hAnsi="Cambria Math" w:cs="Times New Roman"/>
                <w:sz w:val="24"/>
                <w:szCs w:val="24"/>
              </w:rPr>
              <m:t>t</m:t>
            </m:r>
          </m:e>
          <m:sub>
            <m:r>
              <w:rPr>
                <w:rFonts w:ascii="Cambria Math" w:eastAsia="Times New Roman" w:hAnsi="Cambria Math" w:cs="Times New Roman"/>
                <w:sz w:val="24"/>
                <w:szCs w:val="24"/>
              </w:rPr>
              <m:t>0</m:t>
            </m:r>
          </m:sub>
        </m:sSub>
        <m:r>
          <m:rPr>
            <m:sty m:val="p"/>
          </m:rPr>
          <w:rPr>
            <w:rFonts w:ascii="Cambria Math" w:eastAsia="Times New Roman" w:hAnsi="Cambria Math" w:cs="Times New Roman"/>
            <w:sz w:val="24"/>
            <w:szCs w:val="24"/>
          </w:rPr>
          <m:t xml:space="preserve">, </m:t>
        </m:r>
        <m:sSub>
          <m:sSubPr>
            <m:ctrlPr>
              <w:rPr>
                <w:rFonts w:ascii="Cambria Math" w:eastAsia="Times New Roman" w:hAnsi="Cambria Math" w:cs="Times New Roman"/>
                <w:bCs/>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1</m:t>
            </m:r>
          </m:sub>
        </m:sSub>
        <m:r>
          <m:rPr>
            <m:sty m:val="p"/>
          </m:rPr>
          <w:rPr>
            <w:rFonts w:ascii="Cambria Math" w:eastAsia="Times New Roman" w:hAnsi="Cambria Math" w:cs="Times New Roman"/>
            <w:sz w:val="24"/>
            <w:szCs w:val="24"/>
          </w:rPr>
          <m:t xml:space="preserve">) = </m:t>
        </m:r>
        <m:f>
          <m:fPr>
            <m:ctrlPr>
              <w:rPr>
                <w:rFonts w:ascii="Cambria Math" w:eastAsia="Times New Roman" w:hAnsi="Cambria Math" w:cs="Times New Roman"/>
                <w:bCs/>
                <w:iCs/>
                <w:sz w:val="24"/>
                <w:szCs w:val="24"/>
              </w:rPr>
            </m:ctrlPr>
          </m:fPr>
          <m:num>
            <m:r>
              <m:rPr>
                <m:sty m:val="p"/>
              </m:rPr>
              <w:rPr>
                <w:rFonts w:ascii="Cambria Math" w:eastAsia="Times New Roman" w:hAnsi="Cambria Math" w:cs="Times New Roman"/>
                <w:sz w:val="24"/>
                <w:szCs w:val="24"/>
              </w:rPr>
              <m:t>1</m:t>
            </m:r>
          </m:num>
          <m:den>
            <m:r>
              <m:rPr>
                <m:sty m:val="p"/>
              </m:rPr>
              <w:rPr>
                <w:rFonts w:ascii="Cambria Math" w:eastAsia="Times New Roman" w:hAnsi="Cambria Math" w:cs="Times New Roman"/>
                <w:sz w:val="24"/>
                <w:szCs w:val="24"/>
              </w:rPr>
              <m:t>N</m:t>
            </m:r>
          </m:den>
        </m:f>
        <m:r>
          <m:rPr>
            <m:sty m:val="p"/>
          </m:rPr>
          <w:rPr>
            <w:rFonts w:ascii="Cambria Math" w:eastAsia="Times New Roman" w:hAnsi="Cambria Math" w:cs="Times New Roman"/>
            <w:sz w:val="24"/>
            <w:szCs w:val="24"/>
          </w:rPr>
          <m:t>*</m:t>
        </m:r>
        <m:sSubSup>
          <m:sSubSupPr>
            <m:ctrlPr>
              <w:rPr>
                <w:rFonts w:ascii="Cambria Math" w:eastAsia="Times New Roman" w:hAnsi="Cambria Math" w:cs="Times New Roman"/>
                <w:bCs/>
                <w:iCs/>
                <w:sz w:val="24"/>
                <w:szCs w:val="24"/>
              </w:rPr>
            </m:ctrlPr>
          </m:sSubSupPr>
          <m:e>
            <m:r>
              <m:rPr>
                <m:sty m:val="p"/>
              </m:rPr>
              <w:rPr>
                <w:rFonts w:ascii="Cambria Math" w:eastAsia="Times New Roman" w:hAnsi="Cambria Math" w:cs="Times New Roman"/>
                <w:sz w:val="24"/>
                <w:szCs w:val="24"/>
              </w:rPr>
              <m:t>∑</m:t>
            </m:r>
          </m:e>
          <m:sub>
            <m:r>
              <m:rPr>
                <m:sty m:val="p"/>
              </m:rPr>
              <w:rPr>
                <w:rFonts w:ascii="Cambria Math" w:eastAsia="Times New Roman" w:hAnsi="Cambria Math" w:cs="Times New Roman"/>
                <w:sz w:val="24"/>
                <w:szCs w:val="24"/>
              </w:rPr>
              <m:t>t=</m:t>
            </m:r>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t</m:t>
                </m:r>
              </m:e>
              <m:sub>
                <m:r>
                  <m:rPr>
                    <m:sty m:val="p"/>
                  </m:rPr>
                  <w:rPr>
                    <w:rFonts w:ascii="Cambria Math" w:eastAsia="Times New Roman" w:hAnsi="Cambria Math" w:cs="Times New Roman"/>
                    <w:sz w:val="24"/>
                    <w:szCs w:val="24"/>
                  </w:rPr>
                  <m:t>0</m:t>
                </m:r>
              </m:sub>
            </m:sSub>
          </m:sub>
          <m:sup>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t</m:t>
                </m:r>
              </m:e>
              <m:sub>
                <m:r>
                  <m:rPr>
                    <m:sty m:val="p"/>
                  </m:rPr>
                  <w:rPr>
                    <w:rFonts w:ascii="Cambria Math" w:eastAsia="Times New Roman" w:hAnsi="Cambria Math" w:cs="Times New Roman"/>
                    <w:sz w:val="24"/>
                    <w:szCs w:val="24"/>
                  </w:rPr>
                  <m:t>1</m:t>
                </m:r>
              </m:sub>
            </m:sSub>
          </m:sup>
        </m:sSubSup>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AR</m:t>
            </m:r>
          </m:e>
          <m:sub>
            <m:r>
              <m:rPr>
                <m:sty m:val="p"/>
              </m:rPr>
              <w:rPr>
                <w:rFonts w:ascii="Cambria Math" w:eastAsia="Times New Roman" w:hAnsi="Cambria Math" w:cs="Times New Roman"/>
                <w:sz w:val="24"/>
                <w:szCs w:val="24"/>
              </w:rPr>
              <m:t>i,t</m:t>
            </m:r>
          </m:sub>
        </m:sSub>
      </m:oMath>
      <w:r w:rsidR="003A4DD2">
        <w:rPr>
          <w:rFonts w:ascii="Times New Roman" w:eastAsia="Times New Roman" w:hAnsi="Times New Roman" w:cs="Times New Roman"/>
          <w:bCs/>
          <w:sz w:val="24"/>
          <w:szCs w:val="24"/>
        </w:rPr>
        <w:t xml:space="preserve"> </w:t>
      </w:r>
      <w:r w:rsidRPr="00262015">
        <w:rPr>
          <w:rFonts w:ascii="Times New Roman" w:eastAsia="Times New Roman" w:hAnsi="Times New Roman" w:cs="Times New Roman"/>
          <w:bCs/>
          <w:sz w:val="24"/>
          <w:szCs w:val="24"/>
        </w:rPr>
        <w:t>(Ji et. al, 2022; MacKinlay, 1997).</w:t>
      </w:r>
      <w:r w:rsidR="00C92B88" w:rsidRPr="00262015">
        <w:rPr>
          <w:rFonts w:ascii="Times New Roman" w:eastAsia="Times New Roman" w:hAnsi="Times New Roman" w:cs="Times New Roman"/>
          <w:bCs/>
          <w:sz w:val="24"/>
          <w:szCs w:val="24"/>
        </w:rPr>
        <w:br/>
      </w:r>
      <w:r w:rsidR="00C92B88" w:rsidRPr="00262015">
        <w:rPr>
          <w:rFonts w:ascii="Times New Roman" w:eastAsia="Times New Roman" w:hAnsi="Times New Roman" w:cs="Times New Roman"/>
          <w:bCs/>
          <w:sz w:val="24"/>
          <w:szCs w:val="24"/>
        </w:rPr>
        <w:br/>
      </w:r>
      <w:r w:rsidR="00C53D39" w:rsidRPr="00212403">
        <w:rPr>
          <w:rFonts w:ascii="Times New Roman" w:eastAsia="Times New Roman" w:hAnsi="Times New Roman" w:cs="Times New Roman"/>
          <w:b/>
          <w:sz w:val="28"/>
          <w:szCs w:val="28"/>
        </w:rPr>
        <w:t xml:space="preserve">4. </w:t>
      </w:r>
      <w:r w:rsidR="00C92B88" w:rsidRPr="00212403">
        <w:rPr>
          <w:rFonts w:ascii="Times New Roman" w:eastAsia="Times New Roman" w:hAnsi="Times New Roman" w:cs="Times New Roman"/>
          <w:b/>
          <w:sz w:val="28"/>
          <w:szCs w:val="28"/>
        </w:rPr>
        <w:t>Data Source and Sample</w:t>
      </w:r>
    </w:p>
    <w:p w14:paraId="06C66B7C" w14:textId="77777777" w:rsidR="00F6176E" w:rsidRPr="00262015" w:rsidRDefault="00F6176E">
      <w:pPr>
        <w:rPr>
          <w:rFonts w:ascii="Times New Roman" w:eastAsia="Times New Roman" w:hAnsi="Times New Roman" w:cs="Times New Roman"/>
          <w:bCs/>
          <w:sz w:val="24"/>
          <w:szCs w:val="24"/>
        </w:rPr>
      </w:pPr>
    </w:p>
    <w:p w14:paraId="3FC01CCA" w14:textId="033FF681" w:rsidR="00F6176E" w:rsidRPr="00262015" w:rsidRDefault="00F6176E">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I have selected the 11 </w:t>
      </w:r>
      <w:r w:rsidR="00892C10">
        <w:rPr>
          <w:rFonts w:ascii="Times New Roman" w:eastAsia="Times New Roman" w:hAnsi="Times New Roman" w:cs="Times New Roman"/>
          <w:bCs/>
          <w:sz w:val="24"/>
          <w:szCs w:val="24"/>
        </w:rPr>
        <w:t xml:space="preserve">sectors </w:t>
      </w:r>
      <w:r w:rsidRPr="00262015">
        <w:rPr>
          <w:rFonts w:ascii="Times New Roman" w:eastAsia="Times New Roman" w:hAnsi="Times New Roman" w:cs="Times New Roman"/>
          <w:bCs/>
          <w:sz w:val="24"/>
          <w:szCs w:val="24"/>
        </w:rPr>
        <w:t xml:space="preserve">from The Global Industry Classification Standard (GICS) to assess the impact of COVID-19 outbreak. MSCI and S&amp;P Dow Jones Indices developed this classification standard to provide investors with consistent and exhaustive industry definitions (“The Global Industry Classification Standard”). I used the S&amp;P 500 sector index funds to calculate the returns for the </w:t>
      </w:r>
      <w:r w:rsidR="00892C10">
        <w:rPr>
          <w:rFonts w:ascii="Times New Roman" w:eastAsia="Times New Roman" w:hAnsi="Times New Roman" w:cs="Times New Roman"/>
          <w:bCs/>
          <w:sz w:val="24"/>
          <w:szCs w:val="24"/>
        </w:rPr>
        <w:t>sectors</w:t>
      </w:r>
      <w:r w:rsidRPr="00262015">
        <w:rPr>
          <w:rFonts w:ascii="Times New Roman" w:eastAsia="Times New Roman" w:hAnsi="Times New Roman" w:cs="Times New Roman"/>
          <w:bCs/>
          <w:sz w:val="24"/>
          <w:szCs w:val="24"/>
        </w:rPr>
        <w:t xml:space="preserve"> (see Tabel 1).</w:t>
      </w:r>
      <w:r w:rsidR="00236770" w:rsidRPr="00262015">
        <w:rPr>
          <w:rFonts w:ascii="Times New Roman" w:eastAsia="Times New Roman" w:hAnsi="Times New Roman" w:cs="Times New Roman"/>
          <w:bCs/>
          <w:sz w:val="24"/>
          <w:szCs w:val="24"/>
        </w:rPr>
        <w:t xml:space="preserve"> Stock prices and market indices data were sourced from investing.com, a prominent data provider frequently utilized in prior literature, including studies by Ji et al.</w:t>
      </w:r>
      <w:r w:rsidR="009C5143">
        <w:rPr>
          <w:rFonts w:ascii="Times New Roman" w:eastAsia="Times New Roman" w:hAnsi="Times New Roman" w:cs="Times New Roman"/>
          <w:bCs/>
          <w:sz w:val="24"/>
          <w:szCs w:val="24"/>
        </w:rPr>
        <w:t xml:space="preserve"> (2022)</w:t>
      </w:r>
      <w:r w:rsidR="00236770" w:rsidRPr="00262015">
        <w:rPr>
          <w:rFonts w:ascii="Times New Roman" w:eastAsia="Times New Roman" w:hAnsi="Times New Roman" w:cs="Times New Roman"/>
          <w:bCs/>
          <w:sz w:val="24"/>
          <w:szCs w:val="24"/>
        </w:rPr>
        <w:t xml:space="preserve"> and Singh et al</w:t>
      </w:r>
      <w:r w:rsidR="009C5143">
        <w:rPr>
          <w:rFonts w:ascii="Times New Roman" w:eastAsia="Times New Roman" w:hAnsi="Times New Roman" w:cs="Times New Roman"/>
          <w:bCs/>
          <w:sz w:val="24"/>
          <w:szCs w:val="24"/>
        </w:rPr>
        <w:t>. (2020)</w:t>
      </w:r>
      <w:r w:rsidR="00236770" w:rsidRPr="00262015">
        <w:rPr>
          <w:rFonts w:ascii="Times New Roman" w:eastAsia="Times New Roman" w:hAnsi="Times New Roman" w:cs="Times New Roman"/>
          <w:bCs/>
          <w:sz w:val="24"/>
          <w:szCs w:val="24"/>
        </w:rPr>
        <w:t>. I selected the event date of January 23, 2020, which has been widely employed in most of the preceding literature. This date</w:t>
      </w:r>
      <w:r w:rsidR="00D51CFC" w:rsidRPr="00262015">
        <w:rPr>
          <w:bCs/>
        </w:rPr>
        <w:t xml:space="preserve"> </w:t>
      </w:r>
      <w:r w:rsidR="00D51CFC" w:rsidRPr="00262015">
        <w:rPr>
          <w:rFonts w:ascii="Times New Roman" w:eastAsia="Times New Roman" w:hAnsi="Times New Roman" w:cs="Times New Roman"/>
          <w:bCs/>
          <w:sz w:val="24"/>
          <w:szCs w:val="24"/>
        </w:rPr>
        <w:t xml:space="preserve">marks the announcement of the world’s inaugural lockdown </w:t>
      </w:r>
      <w:r w:rsidR="00C53D39" w:rsidRPr="00262015">
        <w:rPr>
          <w:rFonts w:ascii="Times New Roman" w:eastAsia="Times New Roman" w:hAnsi="Times New Roman" w:cs="Times New Roman"/>
          <w:bCs/>
          <w:sz w:val="24"/>
          <w:szCs w:val="24"/>
        </w:rPr>
        <w:t>measures and</w:t>
      </w:r>
      <w:r w:rsidR="00236770" w:rsidRPr="00262015">
        <w:rPr>
          <w:rFonts w:ascii="Times New Roman" w:eastAsia="Times New Roman" w:hAnsi="Times New Roman" w:cs="Times New Roman"/>
          <w:bCs/>
          <w:sz w:val="24"/>
          <w:szCs w:val="24"/>
        </w:rPr>
        <w:t xml:space="preserve"> </w:t>
      </w:r>
      <w:r w:rsidR="00D51CFC" w:rsidRPr="00262015">
        <w:rPr>
          <w:rFonts w:ascii="Times New Roman" w:eastAsia="Times New Roman" w:hAnsi="Times New Roman" w:cs="Times New Roman"/>
          <w:bCs/>
          <w:sz w:val="24"/>
          <w:szCs w:val="24"/>
        </w:rPr>
        <w:t>is significant</w:t>
      </w:r>
      <w:r w:rsidR="00236770" w:rsidRPr="00262015">
        <w:rPr>
          <w:rFonts w:ascii="Times New Roman" w:eastAsia="Times New Roman" w:hAnsi="Times New Roman" w:cs="Times New Roman"/>
          <w:bCs/>
          <w:sz w:val="24"/>
          <w:szCs w:val="24"/>
        </w:rPr>
        <w:t xml:space="preserve"> in the COVID-19 timeline as acknowledged by cdc.gov, marking the announcement of the world's inaugural lockdown measures.</w:t>
      </w:r>
    </w:p>
    <w:p w14:paraId="3688B241" w14:textId="4A279B25" w:rsidR="00F6176E" w:rsidRPr="00262015" w:rsidRDefault="00F6176E">
      <w:pPr>
        <w:rPr>
          <w:rFonts w:ascii="Times New Roman" w:eastAsia="Times New Roman" w:hAnsi="Times New Roman" w:cs="Times New Roman"/>
          <w:bCs/>
          <w:sz w:val="24"/>
          <w:szCs w:val="24"/>
        </w:rPr>
      </w:pPr>
    </w:p>
    <w:p w14:paraId="4F93660E" w14:textId="6E246B29" w:rsidR="00DB78DF" w:rsidRDefault="00DB78DF">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Table 2 shows the brief composition of all the sectors classified by the GICS. To get a more comprehensive picture of what the GICS sectors encompass, </w:t>
      </w:r>
      <w:r w:rsidR="00B43BC5" w:rsidRPr="00262015">
        <w:rPr>
          <w:rFonts w:ascii="Times New Roman" w:eastAsia="Times New Roman" w:hAnsi="Times New Roman" w:cs="Times New Roman"/>
          <w:bCs/>
          <w:sz w:val="24"/>
          <w:szCs w:val="24"/>
        </w:rPr>
        <w:t>visit</w:t>
      </w:r>
      <w:r w:rsidR="00B43BC5">
        <w:rPr>
          <w:rFonts w:ascii="Times New Roman" w:eastAsia="Times New Roman" w:hAnsi="Times New Roman" w:cs="Times New Roman"/>
          <w:bCs/>
          <w:sz w:val="24"/>
          <w:szCs w:val="24"/>
        </w:rPr>
        <w:t xml:space="preserve"> the Wikipedia link in the reference</w:t>
      </w:r>
      <w:r w:rsidR="00B43BC5" w:rsidRPr="00262015">
        <w:rPr>
          <w:rFonts w:ascii="Times New Roman" w:eastAsia="Times New Roman" w:hAnsi="Times New Roman" w:cs="Times New Roman"/>
          <w:bCs/>
          <w:sz w:val="24"/>
          <w:szCs w:val="24"/>
        </w:rPr>
        <w:t>.</w:t>
      </w:r>
    </w:p>
    <w:p w14:paraId="5068730B" w14:textId="521248DB" w:rsidR="002840B2" w:rsidRDefault="002840B2">
      <w:pPr>
        <w:rPr>
          <w:rFonts w:ascii="Times New Roman" w:eastAsia="Times New Roman" w:hAnsi="Times New Roman" w:cs="Times New Roman"/>
          <w:bCs/>
          <w:color w:val="000000"/>
          <w:sz w:val="24"/>
          <w:szCs w:val="24"/>
        </w:rPr>
      </w:pPr>
      <w:r w:rsidRPr="00501C52">
        <w:rPr>
          <w:rFonts w:ascii="Times New Roman" w:eastAsia="Times New Roman" w:hAnsi="Times New Roman" w:cs="Times New Roman"/>
          <w:b/>
          <w:color w:val="000000"/>
          <w:sz w:val="24"/>
          <w:szCs w:val="24"/>
        </w:rPr>
        <w:t>Table 1</w:t>
      </w:r>
      <w:r w:rsidRPr="00501C52">
        <w:rPr>
          <w:rFonts w:ascii="Times New Roman" w:eastAsia="Times New Roman" w:hAnsi="Times New Roman" w:cs="Times New Roman"/>
          <w:bCs/>
          <w:color w:val="000000"/>
          <w:sz w:val="24"/>
          <w:szCs w:val="24"/>
        </w:rPr>
        <w:t xml:space="preserve"> Selected Global Industry Classification Standard Industries (source: https:// www.investing. com/indices/us-spx-500)</w:t>
      </w:r>
    </w:p>
    <w:tbl>
      <w:tblPr>
        <w:tblW w:w="8840" w:type="dxa"/>
        <w:tblLook w:val="04A0" w:firstRow="1" w:lastRow="0" w:firstColumn="1" w:lastColumn="0" w:noHBand="0" w:noVBand="1"/>
      </w:tblPr>
      <w:tblGrid>
        <w:gridCol w:w="2875"/>
        <w:gridCol w:w="4548"/>
        <w:gridCol w:w="1417"/>
      </w:tblGrid>
      <w:tr w:rsidR="002840B2" w:rsidRPr="002840B2" w14:paraId="0C517A63" w14:textId="77777777" w:rsidTr="00834D30">
        <w:trPr>
          <w:trHeight w:val="300"/>
        </w:trPr>
        <w:tc>
          <w:tcPr>
            <w:tcW w:w="2880" w:type="dxa"/>
            <w:tcBorders>
              <w:top w:val="single" w:sz="8" w:space="0" w:color="000000"/>
              <w:left w:val="nil"/>
              <w:bottom w:val="single" w:sz="8" w:space="0" w:color="000000"/>
              <w:right w:val="nil"/>
            </w:tcBorders>
            <w:shd w:val="clear" w:color="auto" w:fill="auto"/>
            <w:vAlign w:val="center"/>
            <w:hideMark/>
          </w:tcPr>
          <w:p w14:paraId="2107FCD4"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Industries</w:t>
            </w:r>
          </w:p>
        </w:tc>
        <w:tc>
          <w:tcPr>
            <w:tcW w:w="4560" w:type="dxa"/>
            <w:tcBorders>
              <w:top w:val="single" w:sz="8" w:space="0" w:color="auto"/>
              <w:left w:val="nil"/>
              <w:bottom w:val="single" w:sz="8" w:space="0" w:color="auto"/>
              <w:right w:val="nil"/>
            </w:tcBorders>
            <w:shd w:val="clear" w:color="auto" w:fill="auto"/>
            <w:vAlign w:val="center"/>
            <w:hideMark/>
          </w:tcPr>
          <w:p w14:paraId="4A7B0577"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Stock Index</w:t>
            </w:r>
          </w:p>
        </w:tc>
        <w:tc>
          <w:tcPr>
            <w:tcW w:w="1400" w:type="dxa"/>
            <w:tcBorders>
              <w:top w:val="single" w:sz="8" w:space="0" w:color="000000"/>
              <w:left w:val="nil"/>
              <w:bottom w:val="single" w:sz="8" w:space="0" w:color="000000"/>
              <w:right w:val="nil"/>
            </w:tcBorders>
            <w:shd w:val="clear" w:color="auto" w:fill="auto"/>
            <w:vAlign w:val="center"/>
            <w:hideMark/>
          </w:tcPr>
          <w:p w14:paraId="6C8D85C3"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Symbol</w:t>
            </w:r>
          </w:p>
        </w:tc>
      </w:tr>
      <w:tr w:rsidR="002840B2" w:rsidRPr="002840B2" w14:paraId="69993AF6" w14:textId="77777777" w:rsidTr="00834D30">
        <w:trPr>
          <w:trHeight w:val="290"/>
        </w:trPr>
        <w:tc>
          <w:tcPr>
            <w:tcW w:w="2880" w:type="dxa"/>
            <w:tcBorders>
              <w:top w:val="nil"/>
              <w:left w:val="nil"/>
              <w:bottom w:val="nil"/>
              <w:right w:val="nil"/>
            </w:tcBorders>
            <w:shd w:val="clear" w:color="auto" w:fill="auto"/>
            <w:vAlign w:val="center"/>
            <w:hideMark/>
          </w:tcPr>
          <w:p w14:paraId="2CD0D4D9"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 xml:space="preserve">Energy </w:t>
            </w:r>
          </w:p>
        </w:tc>
        <w:tc>
          <w:tcPr>
            <w:tcW w:w="4560" w:type="dxa"/>
            <w:tcBorders>
              <w:top w:val="nil"/>
              <w:left w:val="nil"/>
              <w:bottom w:val="nil"/>
              <w:right w:val="nil"/>
            </w:tcBorders>
            <w:shd w:val="clear" w:color="auto" w:fill="auto"/>
            <w:vAlign w:val="center"/>
            <w:hideMark/>
          </w:tcPr>
          <w:p w14:paraId="62825B1A"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S&amp;P 500 Energy</w:t>
            </w:r>
          </w:p>
        </w:tc>
        <w:tc>
          <w:tcPr>
            <w:tcW w:w="1400" w:type="dxa"/>
            <w:tcBorders>
              <w:top w:val="nil"/>
              <w:left w:val="nil"/>
              <w:bottom w:val="nil"/>
              <w:right w:val="nil"/>
            </w:tcBorders>
            <w:shd w:val="clear" w:color="auto" w:fill="auto"/>
            <w:vAlign w:val="center"/>
            <w:hideMark/>
          </w:tcPr>
          <w:p w14:paraId="3DEDDF38"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SPNY</w:t>
            </w:r>
          </w:p>
        </w:tc>
      </w:tr>
      <w:tr w:rsidR="002840B2" w:rsidRPr="002840B2" w14:paraId="7EE69B70" w14:textId="77777777" w:rsidTr="00834D30">
        <w:trPr>
          <w:trHeight w:val="290"/>
        </w:trPr>
        <w:tc>
          <w:tcPr>
            <w:tcW w:w="2880" w:type="dxa"/>
            <w:tcBorders>
              <w:top w:val="nil"/>
              <w:left w:val="nil"/>
              <w:bottom w:val="nil"/>
              <w:right w:val="nil"/>
            </w:tcBorders>
            <w:shd w:val="clear" w:color="auto" w:fill="auto"/>
            <w:vAlign w:val="center"/>
            <w:hideMark/>
          </w:tcPr>
          <w:p w14:paraId="3677E47B"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Materials</w:t>
            </w:r>
          </w:p>
        </w:tc>
        <w:tc>
          <w:tcPr>
            <w:tcW w:w="4560" w:type="dxa"/>
            <w:tcBorders>
              <w:top w:val="nil"/>
              <w:left w:val="nil"/>
              <w:bottom w:val="nil"/>
              <w:right w:val="nil"/>
            </w:tcBorders>
            <w:shd w:val="clear" w:color="auto" w:fill="auto"/>
            <w:vAlign w:val="center"/>
            <w:hideMark/>
          </w:tcPr>
          <w:p w14:paraId="308518DA"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S&amp;P 500 Materials</w:t>
            </w:r>
          </w:p>
        </w:tc>
        <w:tc>
          <w:tcPr>
            <w:tcW w:w="1400" w:type="dxa"/>
            <w:tcBorders>
              <w:top w:val="nil"/>
              <w:left w:val="nil"/>
              <w:bottom w:val="nil"/>
              <w:right w:val="nil"/>
            </w:tcBorders>
            <w:shd w:val="clear" w:color="auto" w:fill="auto"/>
            <w:vAlign w:val="center"/>
            <w:hideMark/>
          </w:tcPr>
          <w:p w14:paraId="7D1738AF"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SPLRCM</w:t>
            </w:r>
          </w:p>
        </w:tc>
      </w:tr>
      <w:tr w:rsidR="002840B2" w:rsidRPr="002840B2" w14:paraId="08EE3387" w14:textId="77777777" w:rsidTr="00834D30">
        <w:trPr>
          <w:trHeight w:val="290"/>
        </w:trPr>
        <w:tc>
          <w:tcPr>
            <w:tcW w:w="2880" w:type="dxa"/>
            <w:tcBorders>
              <w:top w:val="nil"/>
              <w:left w:val="nil"/>
              <w:bottom w:val="nil"/>
              <w:right w:val="nil"/>
            </w:tcBorders>
            <w:shd w:val="clear" w:color="auto" w:fill="auto"/>
            <w:vAlign w:val="center"/>
            <w:hideMark/>
          </w:tcPr>
          <w:p w14:paraId="6FE62047"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Industrials</w:t>
            </w:r>
          </w:p>
        </w:tc>
        <w:tc>
          <w:tcPr>
            <w:tcW w:w="4560" w:type="dxa"/>
            <w:tcBorders>
              <w:top w:val="nil"/>
              <w:left w:val="nil"/>
              <w:bottom w:val="nil"/>
              <w:right w:val="nil"/>
            </w:tcBorders>
            <w:shd w:val="clear" w:color="auto" w:fill="auto"/>
            <w:vAlign w:val="center"/>
            <w:hideMark/>
          </w:tcPr>
          <w:p w14:paraId="6A714917"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S&amp;P 500 Industrials</w:t>
            </w:r>
          </w:p>
        </w:tc>
        <w:tc>
          <w:tcPr>
            <w:tcW w:w="1400" w:type="dxa"/>
            <w:tcBorders>
              <w:top w:val="nil"/>
              <w:left w:val="nil"/>
              <w:bottom w:val="nil"/>
              <w:right w:val="nil"/>
            </w:tcBorders>
            <w:shd w:val="clear" w:color="auto" w:fill="auto"/>
            <w:vAlign w:val="center"/>
            <w:hideMark/>
          </w:tcPr>
          <w:p w14:paraId="170DD698"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SPLRCI</w:t>
            </w:r>
          </w:p>
        </w:tc>
      </w:tr>
      <w:tr w:rsidR="002840B2" w:rsidRPr="002840B2" w14:paraId="1986298F" w14:textId="77777777" w:rsidTr="00834D30">
        <w:trPr>
          <w:trHeight w:val="290"/>
        </w:trPr>
        <w:tc>
          <w:tcPr>
            <w:tcW w:w="2880" w:type="dxa"/>
            <w:tcBorders>
              <w:top w:val="nil"/>
              <w:left w:val="nil"/>
              <w:bottom w:val="nil"/>
              <w:right w:val="nil"/>
            </w:tcBorders>
            <w:shd w:val="clear" w:color="auto" w:fill="auto"/>
            <w:vAlign w:val="center"/>
            <w:hideMark/>
          </w:tcPr>
          <w:p w14:paraId="353B7F43"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Consumer Discretionary</w:t>
            </w:r>
          </w:p>
        </w:tc>
        <w:tc>
          <w:tcPr>
            <w:tcW w:w="4560" w:type="dxa"/>
            <w:tcBorders>
              <w:top w:val="nil"/>
              <w:left w:val="nil"/>
              <w:bottom w:val="nil"/>
              <w:right w:val="nil"/>
            </w:tcBorders>
            <w:shd w:val="clear" w:color="auto" w:fill="auto"/>
            <w:vAlign w:val="center"/>
            <w:hideMark/>
          </w:tcPr>
          <w:p w14:paraId="468DF02D"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S&amp;P 500 Consumer Discretionary</w:t>
            </w:r>
          </w:p>
        </w:tc>
        <w:tc>
          <w:tcPr>
            <w:tcW w:w="1400" w:type="dxa"/>
            <w:tcBorders>
              <w:top w:val="nil"/>
              <w:left w:val="nil"/>
              <w:bottom w:val="nil"/>
              <w:right w:val="nil"/>
            </w:tcBorders>
            <w:shd w:val="clear" w:color="auto" w:fill="auto"/>
            <w:vAlign w:val="center"/>
            <w:hideMark/>
          </w:tcPr>
          <w:p w14:paraId="4E43C916"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SPLRCD</w:t>
            </w:r>
          </w:p>
        </w:tc>
      </w:tr>
      <w:tr w:rsidR="002840B2" w:rsidRPr="002840B2" w14:paraId="3E8AAC52" w14:textId="77777777" w:rsidTr="00834D30">
        <w:trPr>
          <w:trHeight w:val="290"/>
        </w:trPr>
        <w:tc>
          <w:tcPr>
            <w:tcW w:w="2880" w:type="dxa"/>
            <w:tcBorders>
              <w:top w:val="nil"/>
              <w:left w:val="nil"/>
              <w:bottom w:val="nil"/>
              <w:right w:val="nil"/>
            </w:tcBorders>
            <w:shd w:val="clear" w:color="auto" w:fill="auto"/>
            <w:vAlign w:val="center"/>
            <w:hideMark/>
          </w:tcPr>
          <w:p w14:paraId="4AF52140"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Consumer Staples</w:t>
            </w:r>
          </w:p>
        </w:tc>
        <w:tc>
          <w:tcPr>
            <w:tcW w:w="4560" w:type="dxa"/>
            <w:tcBorders>
              <w:top w:val="nil"/>
              <w:left w:val="nil"/>
              <w:bottom w:val="nil"/>
              <w:right w:val="nil"/>
            </w:tcBorders>
            <w:shd w:val="clear" w:color="auto" w:fill="auto"/>
            <w:vAlign w:val="center"/>
            <w:hideMark/>
          </w:tcPr>
          <w:p w14:paraId="390966F9"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S&amp;P 500 Consumer Staples</w:t>
            </w:r>
          </w:p>
        </w:tc>
        <w:tc>
          <w:tcPr>
            <w:tcW w:w="1400" w:type="dxa"/>
            <w:tcBorders>
              <w:top w:val="nil"/>
              <w:left w:val="nil"/>
              <w:bottom w:val="nil"/>
              <w:right w:val="nil"/>
            </w:tcBorders>
            <w:shd w:val="clear" w:color="auto" w:fill="auto"/>
            <w:vAlign w:val="center"/>
            <w:hideMark/>
          </w:tcPr>
          <w:p w14:paraId="38C02650"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SPLRCS</w:t>
            </w:r>
          </w:p>
        </w:tc>
      </w:tr>
      <w:tr w:rsidR="002840B2" w:rsidRPr="002840B2" w14:paraId="407129E5" w14:textId="77777777" w:rsidTr="00834D30">
        <w:trPr>
          <w:trHeight w:val="290"/>
        </w:trPr>
        <w:tc>
          <w:tcPr>
            <w:tcW w:w="2880" w:type="dxa"/>
            <w:tcBorders>
              <w:top w:val="nil"/>
              <w:left w:val="nil"/>
              <w:bottom w:val="nil"/>
              <w:right w:val="nil"/>
            </w:tcBorders>
            <w:shd w:val="clear" w:color="auto" w:fill="auto"/>
            <w:vAlign w:val="center"/>
            <w:hideMark/>
          </w:tcPr>
          <w:p w14:paraId="690196C9"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lastRenderedPageBreak/>
              <w:t>Health Care</w:t>
            </w:r>
          </w:p>
        </w:tc>
        <w:tc>
          <w:tcPr>
            <w:tcW w:w="4560" w:type="dxa"/>
            <w:tcBorders>
              <w:top w:val="nil"/>
              <w:left w:val="nil"/>
              <w:bottom w:val="nil"/>
              <w:right w:val="nil"/>
            </w:tcBorders>
            <w:shd w:val="clear" w:color="auto" w:fill="auto"/>
            <w:vAlign w:val="center"/>
            <w:hideMark/>
          </w:tcPr>
          <w:p w14:paraId="7D02846B"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S&amp;P 500 Health Care</w:t>
            </w:r>
          </w:p>
        </w:tc>
        <w:tc>
          <w:tcPr>
            <w:tcW w:w="1400" w:type="dxa"/>
            <w:tcBorders>
              <w:top w:val="nil"/>
              <w:left w:val="nil"/>
              <w:bottom w:val="nil"/>
              <w:right w:val="nil"/>
            </w:tcBorders>
            <w:shd w:val="clear" w:color="auto" w:fill="auto"/>
            <w:vAlign w:val="center"/>
            <w:hideMark/>
          </w:tcPr>
          <w:p w14:paraId="649EF02F"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SPXHC</w:t>
            </w:r>
          </w:p>
        </w:tc>
      </w:tr>
      <w:tr w:rsidR="002840B2" w:rsidRPr="002840B2" w14:paraId="7E3C170D" w14:textId="77777777" w:rsidTr="00834D30">
        <w:trPr>
          <w:trHeight w:val="290"/>
        </w:trPr>
        <w:tc>
          <w:tcPr>
            <w:tcW w:w="2880" w:type="dxa"/>
            <w:tcBorders>
              <w:top w:val="nil"/>
              <w:left w:val="nil"/>
              <w:bottom w:val="nil"/>
              <w:right w:val="nil"/>
            </w:tcBorders>
            <w:shd w:val="clear" w:color="auto" w:fill="auto"/>
            <w:vAlign w:val="center"/>
            <w:hideMark/>
          </w:tcPr>
          <w:p w14:paraId="50610278"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Financials</w:t>
            </w:r>
          </w:p>
        </w:tc>
        <w:tc>
          <w:tcPr>
            <w:tcW w:w="4560" w:type="dxa"/>
            <w:tcBorders>
              <w:top w:val="nil"/>
              <w:left w:val="nil"/>
              <w:bottom w:val="nil"/>
              <w:right w:val="nil"/>
            </w:tcBorders>
            <w:shd w:val="clear" w:color="auto" w:fill="auto"/>
            <w:vAlign w:val="center"/>
            <w:hideMark/>
          </w:tcPr>
          <w:p w14:paraId="34A88BFD"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S&amp;P 500 Financials</w:t>
            </w:r>
          </w:p>
        </w:tc>
        <w:tc>
          <w:tcPr>
            <w:tcW w:w="1400" w:type="dxa"/>
            <w:tcBorders>
              <w:top w:val="nil"/>
              <w:left w:val="nil"/>
              <w:bottom w:val="nil"/>
              <w:right w:val="nil"/>
            </w:tcBorders>
            <w:shd w:val="clear" w:color="auto" w:fill="auto"/>
            <w:vAlign w:val="center"/>
            <w:hideMark/>
          </w:tcPr>
          <w:p w14:paraId="410F2CF2"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SPSY</w:t>
            </w:r>
          </w:p>
        </w:tc>
      </w:tr>
      <w:tr w:rsidR="002840B2" w:rsidRPr="002840B2" w14:paraId="7C5086C2" w14:textId="77777777" w:rsidTr="00834D30">
        <w:trPr>
          <w:trHeight w:val="290"/>
        </w:trPr>
        <w:tc>
          <w:tcPr>
            <w:tcW w:w="2880" w:type="dxa"/>
            <w:tcBorders>
              <w:top w:val="nil"/>
              <w:left w:val="nil"/>
              <w:bottom w:val="nil"/>
              <w:right w:val="nil"/>
            </w:tcBorders>
            <w:shd w:val="clear" w:color="auto" w:fill="auto"/>
            <w:vAlign w:val="center"/>
            <w:hideMark/>
          </w:tcPr>
          <w:p w14:paraId="624D5770"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Information Technology</w:t>
            </w:r>
          </w:p>
        </w:tc>
        <w:tc>
          <w:tcPr>
            <w:tcW w:w="4560" w:type="dxa"/>
            <w:tcBorders>
              <w:top w:val="nil"/>
              <w:left w:val="nil"/>
              <w:bottom w:val="nil"/>
              <w:right w:val="nil"/>
            </w:tcBorders>
            <w:shd w:val="clear" w:color="auto" w:fill="auto"/>
            <w:vAlign w:val="center"/>
            <w:hideMark/>
          </w:tcPr>
          <w:p w14:paraId="4C205E7F"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S&amp;P 500 Information Technology</w:t>
            </w:r>
          </w:p>
        </w:tc>
        <w:tc>
          <w:tcPr>
            <w:tcW w:w="1400" w:type="dxa"/>
            <w:tcBorders>
              <w:top w:val="nil"/>
              <w:left w:val="nil"/>
              <w:bottom w:val="nil"/>
              <w:right w:val="nil"/>
            </w:tcBorders>
            <w:shd w:val="clear" w:color="auto" w:fill="auto"/>
            <w:vAlign w:val="center"/>
            <w:hideMark/>
          </w:tcPr>
          <w:p w14:paraId="10D5FCD1"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SPLRCT</w:t>
            </w:r>
          </w:p>
        </w:tc>
      </w:tr>
      <w:tr w:rsidR="002840B2" w:rsidRPr="002840B2" w14:paraId="63C3FE63" w14:textId="77777777" w:rsidTr="00834D30">
        <w:trPr>
          <w:trHeight w:val="290"/>
        </w:trPr>
        <w:tc>
          <w:tcPr>
            <w:tcW w:w="2880" w:type="dxa"/>
            <w:tcBorders>
              <w:top w:val="nil"/>
              <w:left w:val="nil"/>
              <w:bottom w:val="nil"/>
              <w:right w:val="nil"/>
            </w:tcBorders>
            <w:shd w:val="clear" w:color="auto" w:fill="auto"/>
            <w:vAlign w:val="center"/>
            <w:hideMark/>
          </w:tcPr>
          <w:p w14:paraId="384EC074"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Communication Services</w:t>
            </w:r>
          </w:p>
        </w:tc>
        <w:tc>
          <w:tcPr>
            <w:tcW w:w="4560" w:type="dxa"/>
            <w:tcBorders>
              <w:top w:val="nil"/>
              <w:left w:val="nil"/>
              <w:bottom w:val="nil"/>
              <w:right w:val="nil"/>
            </w:tcBorders>
            <w:shd w:val="clear" w:color="auto" w:fill="auto"/>
            <w:vAlign w:val="center"/>
            <w:hideMark/>
          </w:tcPr>
          <w:p w14:paraId="403A0545"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S&amp;P 500 Telecom Services</w:t>
            </w:r>
          </w:p>
        </w:tc>
        <w:tc>
          <w:tcPr>
            <w:tcW w:w="1400" w:type="dxa"/>
            <w:tcBorders>
              <w:top w:val="nil"/>
              <w:left w:val="nil"/>
              <w:bottom w:val="nil"/>
              <w:right w:val="nil"/>
            </w:tcBorders>
            <w:shd w:val="clear" w:color="auto" w:fill="auto"/>
            <w:vAlign w:val="center"/>
            <w:hideMark/>
          </w:tcPr>
          <w:p w14:paraId="0CE90DD3"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SPLRCL</w:t>
            </w:r>
          </w:p>
        </w:tc>
      </w:tr>
      <w:tr w:rsidR="002840B2" w:rsidRPr="002840B2" w14:paraId="19AF86C9" w14:textId="77777777" w:rsidTr="00834D30">
        <w:trPr>
          <w:trHeight w:val="290"/>
        </w:trPr>
        <w:tc>
          <w:tcPr>
            <w:tcW w:w="2880" w:type="dxa"/>
            <w:tcBorders>
              <w:top w:val="nil"/>
              <w:left w:val="nil"/>
              <w:bottom w:val="nil"/>
              <w:right w:val="nil"/>
            </w:tcBorders>
            <w:shd w:val="clear" w:color="auto" w:fill="auto"/>
            <w:vAlign w:val="center"/>
            <w:hideMark/>
          </w:tcPr>
          <w:p w14:paraId="710318A5"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Utilities</w:t>
            </w:r>
          </w:p>
        </w:tc>
        <w:tc>
          <w:tcPr>
            <w:tcW w:w="4560" w:type="dxa"/>
            <w:tcBorders>
              <w:top w:val="nil"/>
              <w:left w:val="nil"/>
              <w:bottom w:val="nil"/>
              <w:right w:val="nil"/>
            </w:tcBorders>
            <w:shd w:val="clear" w:color="auto" w:fill="auto"/>
            <w:vAlign w:val="center"/>
            <w:hideMark/>
          </w:tcPr>
          <w:p w14:paraId="1ED55560"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S&amp;P 500 Utilities</w:t>
            </w:r>
          </w:p>
        </w:tc>
        <w:tc>
          <w:tcPr>
            <w:tcW w:w="1400" w:type="dxa"/>
            <w:tcBorders>
              <w:top w:val="nil"/>
              <w:left w:val="nil"/>
              <w:bottom w:val="nil"/>
              <w:right w:val="nil"/>
            </w:tcBorders>
            <w:shd w:val="clear" w:color="auto" w:fill="auto"/>
            <w:vAlign w:val="center"/>
            <w:hideMark/>
          </w:tcPr>
          <w:p w14:paraId="7938F8D9"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SPLRCU</w:t>
            </w:r>
          </w:p>
        </w:tc>
      </w:tr>
      <w:tr w:rsidR="002840B2" w:rsidRPr="002840B2" w14:paraId="1486A59B" w14:textId="77777777" w:rsidTr="00834D30">
        <w:trPr>
          <w:trHeight w:val="290"/>
        </w:trPr>
        <w:tc>
          <w:tcPr>
            <w:tcW w:w="2880" w:type="dxa"/>
            <w:tcBorders>
              <w:top w:val="nil"/>
              <w:left w:val="nil"/>
              <w:bottom w:val="nil"/>
              <w:right w:val="nil"/>
            </w:tcBorders>
            <w:shd w:val="clear" w:color="auto" w:fill="auto"/>
            <w:vAlign w:val="center"/>
            <w:hideMark/>
          </w:tcPr>
          <w:p w14:paraId="7DD27A7F"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 xml:space="preserve">Real Estate </w:t>
            </w:r>
          </w:p>
        </w:tc>
        <w:tc>
          <w:tcPr>
            <w:tcW w:w="4560" w:type="dxa"/>
            <w:tcBorders>
              <w:top w:val="nil"/>
              <w:left w:val="nil"/>
              <w:bottom w:val="nil"/>
              <w:right w:val="nil"/>
            </w:tcBorders>
            <w:shd w:val="clear" w:color="auto" w:fill="auto"/>
            <w:vAlign w:val="center"/>
            <w:hideMark/>
          </w:tcPr>
          <w:p w14:paraId="0EB26428"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S&amp;P 500 Real Estate</w:t>
            </w:r>
          </w:p>
        </w:tc>
        <w:tc>
          <w:tcPr>
            <w:tcW w:w="1400" w:type="dxa"/>
            <w:tcBorders>
              <w:top w:val="nil"/>
              <w:left w:val="nil"/>
              <w:bottom w:val="nil"/>
              <w:right w:val="nil"/>
            </w:tcBorders>
            <w:shd w:val="clear" w:color="auto" w:fill="auto"/>
            <w:vAlign w:val="center"/>
            <w:hideMark/>
          </w:tcPr>
          <w:p w14:paraId="6CB91C7C"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SPLRCREC</w:t>
            </w:r>
          </w:p>
        </w:tc>
      </w:tr>
      <w:tr w:rsidR="002840B2" w:rsidRPr="002840B2" w14:paraId="5ADB0544" w14:textId="77777777" w:rsidTr="00834D30">
        <w:trPr>
          <w:trHeight w:val="300"/>
        </w:trPr>
        <w:tc>
          <w:tcPr>
            <w:tcW w:w="2880" w:type="dxa"/>
            <w:tcBorders>
              <w:top w:val="nil"/>
              <w:left w:val="nil"/>
              <w:bottom w:val="single" w:sz="8" w:space="0" w:color="auto"/>
              <w:right w:val="nil"/>
            </w:tcBorders>
            <w:shd w:val="clear" w:color="auto" w:fill="auto"/>
            <w:vAlign w:val="center"/>
            <w:hideMark/>
          </w:tcPr>
          <w:p w14:paraId="0C8BD5CC"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Market</w:t>
            </w:r>
          </w:p>
        </w:tc>
        <w:tc>
          <w:tcPr>
            <w:tcW w:w="4560" w:type="dxa"/>
            <w:tcBorders>
              <w:top w:val="nil"/>
              <w:left w:val="nil"/>
              <w:bottom w:val="single" w:sz="8" w:space="0" w:color="auto"/>
              <w:right w:val="nil"/>
            </w:tcBorders>
            <w:shd w:val="clear" w:color="auto" w:fill="auto"/>
            <w:vAlign w:val="center"/>
            <w:hideMark/>
          </w:tcPr>
          <w:p w14:paraId="6B95A635"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S&amp;P 500</w:t>
            </w:r>
          </w:p>
        </w:tc>
        <w:tc>
          <w:tcPr>
            <w:tcW w:w="1400" w:type="dxa"/>
            <w:tcBorders>
              <w:top w:val="nil"/>
              <w:left w:val="nil"/>
              <w:bottom w:val="single" w:sz="8" w:space="0" w:color="auto"/>
              <w:right w:val="nil"/>
            </w:tcBorders>
            <w:shd w:val="clear" w:color="auto" w:fill="auto"/>
            <w:vAlign w:val="center"/>
            <w:hideMark/>
          </w:tcPr>
          <w:p w14:paraId="67163ACF"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SPX</w:t>
            </w:r>
          </w:p>
        </w:tc>
      </w:tr>
    </w:tbl>
    <w:p w14:paraId="31BC2829" w14:textId="77777777" w:rsidR="00DA6FA1" w:rsidRPr="00262015" w:rsidRDefault="00DA6FA1" w:rsidP="00DA6FA1">
      <w:pPr>
        <w:spacing w:line="240" w:lineRule="auto"/>
        <w:rPr>
          <w:rFonts w:ascii="Times New Roman" w:eastAsia="Times New Roman" w:hAnsi="Times New Roman" w:cs="Times New Roman"/>
          <w:bCs/>
          <w:color w:val="000000"/>
          <w:sz w:val="24"/>
          <w:szCs w:val="24"/>
        </w:rPr>
      </w:pPr>
    </w:p>
    <w:p w14:paraId="0F0CC2BC" w14:textId="5D425324" w:rsidR="00DA6FA1" w:rsidRPr="00262015" w:rsidRDefault="00D51CFC" w:rsidP="00DA6FA1">
      <w:pPr>
        <w:spacing w:line="240" w:lineRule="auto"/>
        <w:rPr>
          <w:rFonts w:ascii="Times New Roman" w:eastAsia="Times New Roman" w:hAnsi="Times New Roman" w:cs="Times New Roman"/>
          <w:bCs/>
          <w:color w:val="000000"/>
          <w:sz w:val="24"/>
          <w:szCs w:val="24"/>
        </w:rPr>
      </w:pPr>
      <w:r w:rsidRPr="00262015">
        <w:rPr>
          <w:rFonts w:ascii="Times New Roman" w:eastAsia="Times New Roman" w:hAnsi="Times New Roman" w:cs="Times New Roman"/>
          <w:bCs/>
          <w:color w:val="000000"/>
          <w:sz w:val="24"/>
          <w:szCs w:val="24"/>
        </w:rPr>
        <w:t>T</w:t>
      </w:r>
      <w:r w:rsidR="00DA6FA1" w:rsidRPr="00262015">
        <w:rPr>
          <w:rFonts w:ascii="Times New Roman" w:eastAsia="Times New Roman" w:hAnsi="Times New Roman" w:cs="Times New Roman"/>
          <w:bCs/>
          <w:color w:val="000000"/>
          <w:sz w:val="24"/>
          <w:szCs w:val="24"/>
        </w:rPr>
        <w:t>he</w:t>
      </w:r>
      <w:r w:rsidRPr="00262015">
        <w:rPr>
          <w:rFonts w:ascii="Times New Roman" w:eastAsia="Times New Roman" w:hAnsi="Times New Roman" w:cs="Times New Roman"/>
          <w:bCs/>
          <w:color w:val="000000"/>
          <w:sz w:val="24"/>
          <w:szCs w:val="24"/>
        </w:rPr>
        <w:t xml:space="preserve"> </w:t>
      </w:r>
      <w:r w:rsidR="009C5143">
        <w:rPr>
          <w:rFonts w:ascii="Times New Roman" w:eastAsia="Times New Roman" w:hAnsi="Times New Roman" w:cs="Times New Roman"/>
          <w:bCs/>
          <w:color w:val="000000"/>
          <w:sz w:val="24"/>
          <w:szCs w:val="24"/>
        </w:rPr>
        <w:t>sector</w:t>
      </w:r>
      <w:r w:rsidR="00DA6FA1" w:rsidRPr="00262015">
        <w:rPr>
          <w:rFonts w:ascii="Times New Roman" w:eastAsia="Times New Roman" w:hAnsi="Times New Roman" w:cs="Times New Roman"/>
          <w:bCs/>
          <w:color w:val="000000"/>
          <w:sz w:val="24"/>
          <w:szCs w:val="24"/>
        </w:rPr>
        <w:t xml:space="preserve"> returns corresponding to the indices of the GICS </w:t>
      </w:r>
      <w:r w:rsidRPr="00262015">
        <w:rPr>
          <w:rFonts w:ascii="Times New Roman" w:eastAsia="Times New Roman" w:hAnsi="Times New Roman" w:cs="Times New Roman"/>
          <w:bCs/>
          <w:color w:val="000000"/>
          <w:sz w:val="24"/>
          <w:szCs w:val="24"/>
        </w:rPr>
        <w:t>sector</w:t>
      </w:r>
      <w:r w:rsidR="00DA6FA1" w:rsidRPr="00262015">
        <w:rPr>
          <w:rFonts w:ascii="Times New Roman" w:eastAsia="Times New Roman" w:hAnsi="Times New Roman" w:cs="Times New Roman"/>
          <w:bCs/>
          <w:color w:val="000000"/>
          <w:sz w:val="24"/>
          <w:szCs w:val="24"/>
        </w:rPr>
        <w:t xml:space="preserve"> are given in Tab</w:t>
      </w:r>
      <w:r w:rsidR="00DB78DF" w:rsidRPr="00262015">
        <w:rPr>
          <w:rFonts w:ascii="Times New Roman" w:eastAsia="Times New Roman" w:hAnsi="Times New Roman" w:cs="Times New Roman"/>
          <w:bCs/>
          <w:color w:val="000000"/>
          <w:sz w:val="24"/>
          <w:szCs w:val="24"/>
        </w:rPr>
        <w:t>le</w:t>
      </w:r>
      <w:r w:rsidR="00DA6FA1" w:rsidRPr="00262015">
        <w:rPr>
          <w:rFonts w:ascii="Times New Roman" w:eastAsia="Times New Roman" w:hAnsi="Times New Roman" w:cs="Times New Roman"/>
          <w:bCs/>
          <w:color w:val="000000"/>
          <w:sz w:val="24"/>
          <w:szCs w:val="24"/>
        </w:rPr>
        <w:t xml:space="preserve"> </w:t>
      </w:r>
      <w:r w:rsidRPr="00262015">
        <w:rPr>
          <w:rFonts w:ascii="Times New Roman" w:eastAsia="Times New Roman" w:hAnsi="Times New Roman" w:cs="Times New Roman"/>
          <w:bCs/>
          <w:color w:val="000000"/>
          <w:sz w:val="24"/>
          <w:szCs w:val="24"/>
        </w:rPr>
        <w:t>1A</w:t>
      </w:r>
      <w:r w:rsidR="00DA6FA1" w:rsidRPr="00262015">
        <w:rPr>
          <w:rFonts w:ascii="Times New Roman" w:eastAsia="Times New Roman" w:hAnsi="Times New Roman" w:cs="Times New Roman"/>
          <w:bCs/>
          <w:color w:val="000000"/>
          <w:sz w:val="24"/>
          <w:szCs w:val="24"/>
        </w:rPr>
        <w:t>.</w:t>
      </w:r>
      <w:r w:rsidR="00C53D39" w:rsidRPr="00262015">
        <w:rPr>
          <w:rFonts w:ascii="Times New Roman" w:eastAsia="Times New Roman" w:hAnsi="Times New Roman" w:cs="Times New Roman"/>
          <w:bCs/>
          <w:color w:val="000000"/>
          <w:sz w:val="24"/>
          <w:szCs w:val="24"/>
        </w:rPr>
        <w:t xml:space="preserve"> In Table 2,</w:t>
      </w:r>
      <w:r w:rsidR="00DA6FA1" w:rsidRPr="00262015">
        <w:rPr>
          <w:rFonts w:ascii="Times New Roman" w:eastAsia="Times New Roman" w:hAnsi="Times New Roman" w:cs="Times New Roman"/>
          <w:bCs/>
          <w:color w:val="000000"/>
          <w:sz w:val="24"/>
          <w:szCs w:val="24"/>
        </w:rPr>
        <w:t xml:space="preserve"> </w:t>
      </w:r>
      <w:r w:rsidR="009C1FD4">
        <w:rPr>
          <w:rFonts w:ascii="Times New Roman" w:eastAsia="Times New Roman" w:hAnsi="Times New Roman" w:cs="Times New Roman"/>
          <w:bCs/>
          <w:color w:val="000000"/>
          <w:sz w:val="24"/>
          <w:szCs w:val="24"/>
        </w:rPr>
        <w:t>presents</w:t>
      </w:r>
      <w:r w:rsidR="00DA6FA1" w:rsidRPr="00262015">
        <w:rPr>
          <w:rFonts w:ascii="Times New Roman" w:eastAsia="Times New Roman" w:hAnsi="Times New Roman" w:cs="Times New Roman"/>
          <w:bCs/>
          <w:color w:val="000000"/>
          <w:sz w:val="24"/>
          <w:szCs w:val="24"/>
        </w:rPr>
        <w:t xml:space="preserve"> the descriptive </w:t>
      </w:r>
      <w:r w:rsidR="002840B2" w:rsidRPr="00262015">
        <w:rPr>
          <w:rFonts w:ascii="Times New Roman" w:eastAsia="Times New Roman" w:hAnsi="Times New Roman" w:cs="Times New Roman"/>
          <w:bCs/>
          <w:color w:val="000000"/>
          <w:sz w:val="24"/>
          <w:szCs w:val="24"/>
        </w:rPr>
        <w:t>statistics</w:t>
      </w:r>
      <w:r w:rsidR="00DA6FA1" w:rsidRPr="00262015">
        <w:rPr>
          <w:rFonts w:ascii="Times New Roman" w:eastAsia="Times New Roman" w:hAnsi="Times New Roman" w:cs="Times New Roman"/>
          <w:bCs/>
          <w:color w:val="000000"/>
          <w:sz w:val="24"/>
          <w:szCs w:val="24"/>
        </w:rPr>
        <w:t xml:space="preserve"> of indices pre-event date</w:t>
      </w:r>
      <w:r w:rsidR="00275E1B">
        <w:rPr>
          <w:rFonts w:ascii="Times New Roman" w:eastAsia="Times New Roman" w:hAnsi="Times New Roman" w:cs="Times New Roman"/>
          <w:bCs/>
          <w:color w:val="000000"/>
          <w:sz w:val="24"/>
          <w:szCs w:val="24"/>
        </w:rPr>
        <w:t xml:space="preserve"> in the top panel</w:t>
      </w:r>
      <w:r w:rsidR="00DA6FA1" w:rsidRPr="00262015">
        <w:rPr>
          <w:rFonts w:ascii="Times New Roman" w:eastAsia="Times New Roman" w:hAnsi="Times New Roman" w:cs="Times New Roman"/>
          <w:bCs/>
          <w:color w:val="000000"/>
          <w:sz w:val="24"/>
          <w:szCs w:val="24"/>
        </w:rPr>
        <w:t xml:space="preserve">, and the </w:t>
      </w:r>
      <w:r w:rsidR="00275E1B">
        <w:rPr>
          <w:rFonts w:ascii="Times New Roman" w:eastAsia="Times New Roman" w:hAnsi="Times New Roman" w:cs="Times New Roman"/>
          <w:bCs/>
          <w:color w:val="000000"/>
          <w:sz w:val="24"/>
          <w:szCs w:val="24"/>
        </w:rPr>
        <w:t>bottom</w:t>
      </w:r>
      <w:r w:rsidR="00DA6FA1" w:rsidRPr="00262015">
        <w:rPr>
          <w:rFonts w:ascii="Times New Roman" w:eastAsia="Times New Roman" w:hAnsi="Times New Roman" w:cs="Times New Roman"/>
          <w:bCs/>
          <w:color w:val="000000"/>
          <w:sz w:val="24"/>
          <w:szCs w:val="24"/>
        </w:rPr>
        <w:t xml:space="preserve"> </w:t>
      </w:r>
      <w:r w:rsidR="00275E1B">
        <w:rPr>
          <w:rFonts w:ascii="Times New Roman" w:eastAsia="Times New Roman" w:hAnsi="Times New Roman" w:cs="Times New Roman"/>
          <w:bCs/>
          <w:color w:val="000000"/>
          <w:sz w:val="24"/>
          <w:szCs w:val="24"/>
        </w:rPr>
        <w:t>panel</w:t>
      </w:r>
      <w:r w:rsidR="00DA6FA1" w:rsidRPr="00262015">
        <w:rPr>
          <w:rFonts w:ascii="Times New Roman" w:eastAsia="Times New Roman" w:hAnsi="Times New Roman" w:cs="Times New Roman"/>
          <w:bCs/>
          <w:color w:val="000000"/>
          <w:sz w:val="24"/>
          <w:szCs w:val="24"/>
        </w:rPr>
        <w:t xml:space="preserve"> </w:t>
      </w:r>
      <w:r w:rsidR="00275E1B">
        <w:rPr>
          <w:rFonts w:ascii="Times New Roman" w:eastAsia="Times New Roman" w:hAnsi="Times New Roman" w:cs="Times New Roman"/>
          <w:bCs/>
          <w:color w:val="000000"/>
          <w:sz w:val="24"/>
          <w:szCs w:val="24"/>
        </w:rPr>
        <w:t>presents</w:t>
      </w:r>
      <w:r w:rsidR="00DA6FA1" w:rsidRPr="00262015">
        <w:rPr>
          <w:rFonts w:ascii="Times New Roman" w:eastAsia="Times New Roman" w:hAnsi="Times New Roman" w:cs="Times New Roman"/>
          <w:bCs/>
          <w:color w:val="000000"/>
          <w:sz w:val="24"/>
          <w:szCs w:val="24"/>
        </w:rPr>
        <w:t xml:space="preserve"> the descriptive statistics of indices post-event date.  </w:t>
      </w:r>
    </w:p>
    <w:p w14:paraId="5D845138" w14:textId="77777777" w:rsidR="00EA5691" w:rsidRPr="00262015" w:rsidRDefault="00EA5691" w:rsidP="00DA6FA1">
      <w:pPr>
        <w:spacing w:line="240" w:lineRule="auto"/>
        <w:rPr>
          <w:rFonts w:ascii="Times New Roman" w:eastAsia="Times New Roman" w:hAnsi="Times New Roman" w:cs="Times New Roman"/>
          <w:bCs/>
          <w:color w:val="000000"/>
          <w:sz w:val="24"/>
          <w:szCs w:val="24"/>
        </w:rPr>
      </w:pPr>
    </w:p>
    <w:p w14:paraId="27A3F9BC" w14:textId="2C882624" w:rsidR="00EA5691" w:rsidRPr="00262015" w:rsidRDefault="00C24195" w:rsidP="00DA6FA1">
      <w:pPr>
        <w:spacing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w:t>
      </w:r>
      <w:r w:rsidR="00C53D39" w:rsidRPr="00262015">
        <w:rPr>
          <w:rFonts w:ascii="Times New Roman" w:eastAsia="Times New Roman" w:hAnsi="Times New Roman" w:cs="Times New Roman"/>
          <w:bCs/>
          <w:color w:val="000000"/>
          <w:sz w:val="24"/>
          <w:szCs w:val="24"/>
        </w:rPr>
        <w:t>ll sectors</w:t>
      </w:r>
      <w:r w:rsidR="00EA5691" w:rsidRPr="00262015">
        <w:rPr>
          <w:rFonts w:ascii="Times New Roman" w:eastAsia="Times New Roman" w:hAnsi="Times New Roman" w:cs="Times New Roman"/>
          <w:bCs/>
          <w:color w:val="000000"/>
          <w:sz w:val="24"/>
          <w:szCs w:val="24"/>
        </w:rPr>
        <w:t xml:space="preserve"> yielded positive average returns before the announcement of lockdown policy except Energy (SPNY) as shown in the former table. The standard deviation was also near one</w:t>
      </w:r>
      <w:r w:rsidR="00C53D39" w:rsidRPr="00262015">
        <w:rPr>
          <w:rFonts w:ascii="Times New Roman" w:eastAsia="Times New Roman" w:hAnsi="Times New Roman" w:cs="Times New Roman"/>
          <w:bCs/>
          <w:color w:val="000000"/>
          <w:sz w:val="24"/>
          <w:szCs w:val="24"/>
        </w:rPr>
        <w:t xml:space="preserve">. </w:t>
      </w:r>
      <w:r w:rsidR="00EA5691" w:rsidRPr="00262015">
        <w:rPr>
          <w:rFonts w:ascii="Times New Roman" w:eastAsia="Times New Roman" w:hAnsi="Times New Roman" w:cs="Times New Roman"/>
          <w:bCs/>
          <w:color w:val="000000"/>
          <w:sz w:val="24"/>
          <w:szCs w:val="24"/>
        </w:rPr>
        <w:t xml:space="preserve">After </w:t>
      </w:r>
      <w:r w:rsidR="00DB1631" w:rsidRPr="00262015">
        <w:rPr>
          <w:rFonts w:ascii="Times New Roman" w:eastAsia="Times New Roman" w:hAnsi="Times New Roman" w:cs="Times New Roman"/>
          <w:bCs/>
          <w:color w:val="000000"/>
          <w:sz w:val="24"/>
          <w:szCs w:val="24"/>
        </w:rPr>
        <w:t xml:space="preserve">China, the world’s largest exporter, declared its first lockdown policy, mean returns of all the </w:t>
      </w:r>
      <w:r w:rsidR="00892C10">
        <w:rPr>
          <w:rFonts w:ascii="Times New Roman" w:eastAsia="Times New Roman" w:hAnsi="Times New Roman" w:cs="Times New Roman"/>
          <w:bCs/>
          <w:color w:val="000000"/>
          <w:sz w:val="24"/>
          <w:szCs w:val="24"/>
        </w:rPr>
        <w:t>sectors</w:t>
      </w:r>
      <w:r w:rsidR="00DB1631" w:rsidRPr="00262015">
        <w:rPr>
          <w:rFonts w:ascii="Times New Roman" w:eastAsia="Times New Roman" w:hAnsi="Times New Roman" w:cs="Times New Roman"/>
          <w:bCs/>
          <w:color w:val="000000"/>
          <w:sz w:val="24"/>
          <w:szCs w:val="24"/>
        </w:rPr>
        <w:t xml:space="preserve"> and the S&amp;P 500 are negative as shown the latter table. Moreover, the standard deviation of all the indices increased substantially compared to pre-event period. This shows the increased volatility across all </w:t>
      </w:r>
      <w:r w:rsidR="00892C10">
        <w:rPr>
          <w:rFonts w:ascii="Times New Roman" w:eastAsia="Times New Roman" w:hAnsi="Times New Roman" w:cs="Times New Roman"/>
          <w:bCs/>
          <w:color w:val="000000"/>
          <w:sz w:val="24"/>
          <w:szCs w:val="24"/>
        </w:rPr>
        <w:t>sectors</w:t>
      </w:r>
      <w:r w:rsidR="00DB1631" w:rsidRPr="00262015">
        <w:rPr>
          <w:rFonts w:ascii="Times New Roman" w:eastAsia="Times New Roman" w:hAnsi="Times New Roman" w:cs="Times New Roman"/>
          <w:bCs/>
          <w:color w:val="000000"/>
          <w:sz w:val="24"/>
          <w:szCs w:val="24"/>
        </w:rPr>
        <w:t xml:space="preserve"> and the market due to the announcement.</w:t>
      </w:r>
    </w:p>
    <w:p w14:paraId="39CA92B6" w14:textId="77777777" w:rsidR="00DB78DF" w:rsidRPr="00262015" w:rsidRDefault="00DB78DF" w:rsidP="00DA6FA1">
      <w:pPr>
        <w:spacing w:line="240" w:lineRule="auto"/>
        <w:rPr>
          <w:rFonts w:ascii="Times New Roman" w:eastAsia="Times New Roman" w:hAnsi="Times New Roman" w:cs="Times New Roman"/>
          <w:bCs/>
          <w:color w:val="000000"/>
          <w:sz w:val="24"/>
          <w:szCs w:val="24"/>
        </w:rPr>
      </w:pPr>
    </w:p>
    <w:p w14:paraId="08BDB397" w14:textId="09B9C0D6" w:rsidR="00DA6FA1" w:rsidRDefault="00DB78DF" w:rsidP="00DA6FA1">
      <w:pPr>
        <w:spacing w:line="240" w:lineRule="auto"/>
        <w:rPr>
          <w:rFonts w:ascii="Times New Roman" w:eastAsia="Times New Roman" w:hAnsi="Times New Roman" w:cs="Times New Roman"/>
          <w:bCs/>
          <w:color w:val="000000"/>
          <w:sz w:val="24"/>
          <w:szCs w:val="24"/>
        </w:rPr>
      </w:pPr>
      <w:r w:rsidRPr="00262015">
        <w:rPr>
          <w:rFonts w:ascii="Times New Roman" w:eastAsia="Times New Roman" w:hAnsi="Times New Roman" w:cs="Times New Roman"/>
          <w:bCs/>
          <w:color w:val="000000"/>
          <w:sz w:val="24"/>
          <w:szCs w:val="24"/>
        </w:rPr>
        <w:t xml:space="preserve">Despite the outbreak of COVID-19, some </w:t>
      </w:r>
      <w:r w:rsidR="00C53D39" w:rsidRPr="00262015">
        <w:rPr>
          <w:rFonts w:ascii="Times New Roman" w:eastAsia="Times New Roman" w:hAnsi="Times New Roman" w:cs="Times New Roman"/>
          <w:bCs/>
          <w:color w:val="000000"/>
          <w:sz w:val="24"/>
          <w:szCs w:val="24"/>
        </w:rPr>
        <w:t>sectors</w:t>
      </w:r>
      <w:r w:rsidRPr="00262015">
        <w:rPr>
          <w:rFonts w:ascii="Times New Roman" w:eastAsia="Times New Roman" w:hAnsi="Times New Roman" w:cs="Times New Roman"/>
          <w:bCs/>
          <w:color w:val="000000"/>
          <w:sz w:val="24"/>
          <w:szCs w:val="24"/>
        </w:rPr>
        <w:t xml:space="preserve"> like Consumer Staples (-0.13%), Utilities (-0.07%), and Real Estate (-0.14) show relatively low negative </w:t>
      </w:r>
      <w:r w:rsidR="0095247C" w:rsidRPr="00262015">
        <w:rPr>
          <w:rFonts w:ascii="Times New Roman" w:eastAsia="Times New Roman" w:hAnsi="Times New Roman" w:cs="Times New Roman"/>
          <w:bCs/>
          <w:color w:val="000000"/>
          <w:sz w:val="24"/>
          <w:szCs w:val="24"/>
        </w:rPr>
        <w:t xml:space="preserve">mean </w:t>
      </w:r>
      <w:r w:rsidRPr="00262015">
        <w:rPr>
          <w:rFonts w:ascii="Times New Roman" w:eastAsia="Times New Roman" w:hAnsi="Times New Roman" w:cs="Times New Roman"/>
          <w:bCs/>
          <w:color w:val="000000"/>
          <w:sz w:val="24"/>
          <w:szCs w:val="24"/>
        </w:rPr>
        <w:t xml:space="preserve">returns. This </w:t>
      </w:r>
      <w:r w:rsidR="0095247C" w:rsidRPr="00262015">
        <w:rPr>
          <w:rFonts w:ascii="Times New Roman" w:eastAsia="Times New Roman" w:hAnsi="Times New Roman" w:cs="Times New Roman"/>
          <w:bCs/>
          <w:color w:val="000000"/>
          <w:sz w:val="24"/>
          <w:szCs w:val="24"/>
        </w:rPr>
        <w:t xml:space="preserve">may be attributed to their inelastic nature. In contrast, sectors such as Energy, Industrials, and Financials experienced comparatively high negative returns, which can be attributed to consumers speculation of lockdowns in other economies in the future.  </w:t>
      </w:r>
    </w:p>
    <w:p w14:paraId="1881D4AB" w14:textId="77777777" w:rsidR="002840B2" w:rsidRDefault="002840B2" w:rsidP="00DA6FA1">
      <w:pPr>
        <w:spacing w:line="240" w:lineRule="auto"/>
        <w:rPr>
          <w:rFonts w:ascii="Times New Roman" w:eastAsia="Times New Roman" w:hAnsi="Times New Roman" w:cs="Times New Roman"/>
          <w:bCs/>
          <w:color w:val="000000"/>
          <w:sz w:val="24"/>
          <w:szCs w:val="24"/>
        </w:rPr>
      </w:pPr>
    </w:p>
    <w:p w14:paraId="6D9B85D1" w14:textId="77777777" w:rsidR="002840B2" w:rsidRDefault="002840B2" w:rsidP="00DA6FA1">
      <w:pPr>
        <w:spacing w:line="240" w:lineRule="auto"/>
        <w:rPr>
          <w:rFonts w:ascii="Times New Roman" w:eastAsia="Times New Roman" w:hAnsi="Times New Roman" w:cs="Times New Roman"/>
          <w:bCs/>
          <w:color w:val="000000"/>
          <w:sz w:val="24"/>
          <w:szCs w:val="24"/>
        </w:rPr>
      </w:pPr>
    </w:p>
    <w:p w14:paraId="7AA211E2" w14:textId="77777777" w:rsidR="002840B2" w:rsidRPr="00262015" w:rsidRDefault="002840B2" w:rsidP="00DA6FA1">
      <w:pPr>
        <w:spacing w:line="240" w:lineRule="auto"/>
        <w:rPr>
          <w:rFonts w:ascii="Times New Roman" w:eastAsia="Times New Roman" w:hAnsi="Times New Roman" w:cs="Times New Roman"/>
          <w:bCs/>
          <w:color w:val="000000"/>
          <w:sz w:val="24"/>
          <w:szCs w:val="24"/>
        </w:rPr>
      </w:pPr>
    </w:p>
    <w:p w14:paraId="059A796D" w14:textId="77777777" w:rsidR="00536FD3" w:rsidRPr="00262015" w:rsidRDefault="00536FD3">
      <w:pPr>
        <w:rPr>
          <w:rFonts w:ascii="Times New Roman" w:eastAsia="Times New Roman" w:hAnsi="Times New Roman" w:cs="Times New Roman"/>
          <w:bCs/>
          <w:sz w:val="24"/>
          <w:szCs w:val="24"/>
        </w:rPr>
      </w:pPr>
    </w:p>
    <w:p w14:paraId="500253E1" w14:textId="6C3C0061" w:rsidR="002840B2" w:rsidRDefault="00B43BC5">
      <w:r>
        <w:br w:type="page"/>
      </w:r>
    </w:p>
    <w:p w14:paraId="4ACB0A34" w14:textId="57A0D46E" w:rsidR="00B43BC5" w:rsidRDefault="00B43BC5"/>
    <w:tbl>
      <w:tblPr>
        <w:tblW w:w="8600" w:type="dxa"/>
        <w:tblInd w:w="108" w:type="dxa"/>
        <w:tblLook w:val="04A0" w:firstRow="1" w:lastRow="0" w:firstColumn="1" w:lastColumn="0" w:noHBand="0" w:noVBand="1"/>
      </w:tblPr>
      <w:tblGrid>
        <w:gridCol w:w="1720"/>
        <w:gridCol w:w="1720"/>
        <w:gridCol w:w="1720"/>
        <w:gridCol w:w="1720"/>
        <w:gridCol w:w="1720"/>
      </w:tblGrid>
      <w:tr w:rsidR="00536FD3" w:rsidRPr="00262015" w14:paraId="40075590" w14:textId="77777777" w:rsidTr="00FD5249">
        <w:trPr>
          <w:trHeight w:val="270"/>
        </w:trPr>
        <w:tc>
          <w:tcPr>
            <w:tcW w:w="8600" w:type="dxa"/>
            <w:gridSpan w:val="5"/>
            <w:tcBorders>
              <w:top w:val="nil"/>
              <w:left w:val="nil"/>
              <w:bottom w:val="single" w:sz="8" w:space="0" w:color="000000"/>
              <w:right w:val="nil"/>
            </w:tcBorders>
            <w:shd w:val="clear" w:color="auto" w:fill="auto"/>
            <w:vAlign w:val="center"/>
            <w:hideMark/>
          </w:tcPr>
          <w:p w14:paraId="5071FD18" w14:textId="25586297" w:rsidR="00536FD3" w:rsidRPr="00892C10" w:rsidRDefault="00536FD3" w:rsidP="00FD5249">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
                <w:color w:val="000000"/>
                <w:sz w:val="24"/>
                <w:szCs w:val="24"/>
              </w:rPr>
              <w:t xml:space="preserve">Table </w:t>
            </w:r>
            <w:r w:rsidR="005A2410" w:rsidRPr="00892C10">
              <w:rPr>
                <w:rFonts w:ascii="Times New Roman" w:eastAsia="Times New Roman" w:hAnsi="Times New Roman" w:cs="Times New Roman"/>
                <w:b/>
                <w:color w:val="000000"/>
                <w:sz w:val="24"/>
                <w:szCs w:val="24"/>
              </w:rPr>
              <w:t>2</w:t>
            </w:r>
            <w:r w:rsidRPr="00892C10">
              <w:rPr>
                <w:rFonts w:ascii="Times New Roman" w:eastAsia="Times New Roman" w:hAnsi="Times New Roman" w:cs="Times New Roman"/>
                <w:bCs/>
                <w:color w:val="000000"/>
                <w:sz w:val="24"/>
                <w:szCs w:val="24"/>
              </w:rPr>
              <w:t xml:space="preserve"> Descriptive analysis of returns selected indices      </w:t>
            </w:r>
          </w:p>
        </w:tc>
      </w:tr>
      <w:tr w:rsidR="00536FD3" w:rsidRPr="00262015" w14:paraId="78DDAD3E" w14:textId="77777777" w:rsidTr="00FD5249">
        <w:trPr>
          <w:trHeight w:val="270"/>
        </w:trPr>
        <w:tc>
          <w:tcPr>
            <w:tcW w:w="6880" w:type="dxa"/>
            <w:gridSpan w:val="4"/>
            <w:tcBorders>
              <w:top w:val="single" w:sz="8" w:space="0" w:color="000000"/>
              <w:left w:val="nil"/>
              <w:bottom w:val="single" w:sz="8" w:space="0" w:color="000000"/>
              <w:right w:val="nil"/>
            </w:tcBorders>
            <w:shd w:val="clear" w:color="auto" w:fill="auto"/>
            <w:noWrap/>
            <w:vAlign w:val="bottom"/>
            <w:hideMark/>
          </w:tcPr>
          <w:p w14:paraId="746A58F7" w14:textId="77777777" w:rsidR="00536FD3" w:rsidRPr="00892C10" w:rsidRDefault="00536FD3" w:rsidP="00FD5249">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Pre-event period: April 23, 2019 to January 22, 2020</w:t>
            </w:r>
          </w:p>
        </w:tc>
        <w:tc>
          <w:tcPr>
            <w:tcW w:w="1720" w:type="dxa"/>
            <w:tcBorders>
              <w:top w:val="nil"/>
              <w:left w:val="nil"/>
              <w:bottom w:val="single" w:sz="8" w:space="0" w:color="000000"/>
              <w:right w:val="nil"/>
            </w:tcBorders>
            <w:shd w:val="clear" w:color="auto" w:fill="auto"/>
            <w:noWrap/>
            <w:vAlign w:val="bottom"/>
            <w:hideMark/>
          </w:tcPr>
          <w:p w14:paraId="2EE3EBE6" w14:textId="77777777" w:rsidR="00536FD3" w:rsidRPr="00892C10" w:rsidRDefault="00536FD3" w:rsidP="00FD5249">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 </w:t>
            </w:r>
          </w:p>
        </w:tc>
      </w:tr>
      <w:tr w:rsidR="00536FD3" w:rsidRPr="00262015" w14:paraId="0B2EDB92" w14:textId="77777777" w:rsidTr="00FD5249">
        <w:trPr>
          <w:trHeight w:val="270"/>
        </w:trPr>
        <w:tc>
          <w:tcPr>
            <w:tcW w:w="1720" w:type="dxa"/>
            <w:tcBorders>
              <w:top w:val="nil"/>
              <w:left w:val="nil"/>
              <w:bottom w:val="single" w:sz="8" w:space="0" w:color="000000"/>
              <w:right w:val="nil"/>
            </w:tcBorders>
            <w:shd w:val="clear" w:color="auto" w:fill="auto"/>
            <w:vAlign w:val="center"/>
            <w:hideMark/>
          </w:tcPr>
          <w:p w14:paraId="6B4C29CB" w14:textId="77777777" w:rsidR="00536FD3" w:rsidRPr="00892C10" w:rsidRDefault="00536FD3" w:rsidP="00FD5249">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Variable</w:t>
            </w:r>
          </w:p>
        </w:tc>
        <w:tc>
          <w:tcPr>
            <w:tcW w:w="1720" w:type="dxa"/>
            <w:tcBorders>
              <w:top w:val="nil"/>
              <w:left w:val="nil"/>
              <w:bottom w:val="single" w:sz="8" w:space="0" w:color="000000"/>
              <w:right w:val="nil"/>
            </w:tcBorders>
            <w:shd w:val="clear" w:color="auto" w:fill="auto"/>
            <w:vAlign w:val="center"/>
            <w:hideMark/>
          </w:tcPr>
          <w:p w14:paraId="63EC3DC4" w14:textId="77777777" w:rsidR="00536FD3" w:rsidRPr="00892C10" w:rsidRDefault="00536FD3" w:rsidP="00FD5249">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Mean</w:t>
            </w:r>
          </w:p>
        </w:tc>
        <w:tc>
          <w:tcPr>
            <w:tcW w:w="1720" w:type="dxa"/>
            <w:tcBorders>
              <w:top w:val="nil"/>
              <w:left w:val="nil"/>
              <w:bottom w:val="single" w:sz="8" w:space="0" w:color="000000"/>
              <w:right w:val="nil"/>
            </w:tcBorders>
            <w:shd w:val="clear" w:color="auto" w:fill="auto"/>
            <w:vAlign w:val="center"/>
            <w:hideMark/>
          </w:tcPr>
          <w:p w14:paraId="790A6D21" w14:textId="77777777" w:rsidR="00536FD3" w:rsidRPr="00892C10" w:rsidRDefault="00536FD3" w:rsidP="00FD5249">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SD</w:t>
            </w:r>
          </w:p>
        </w:tc>
        <w:tc>
          <w:tcPr>
            <w:tcW w:w="1720" w:type="dxa"/>
            <w:tcBorders>
              <w:top w:val="nil"/>
              <w:left w:val="nil"/>
              <w:bottom w:val="single" w:sz="8" w:space="0" w:color="000000"/>
              <w:right w:val="nil"/>
            </w:tcBorders>
            <w:shd w:val="clear" w:color="auto" w:fill="auto"/>
            <w:vAlign w:val="center"/>
            <w:hideMark/>
          </w:tcPr>
          <w:p w14:paraId="20097E88" w14:textId="77777777" w:rsidR="00536FD3" w:rsidRPr="00892C10" w:rsidRDefault="00536FD3" w:rsidP="00FD5249">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Min</w:t>
            </w:r>
          </w:p>
        </w:tc>
        <w:tc>
          <w:tcPr>
            <w:tcW w:w="1720" w:type="dxa"/>
            <w:tcBorders>
              <w:top w:val="nil"/>
              <w:left w:val="nil"/>
              <w:bottom w:val="single" w:sz="8" w:space="0" w:color="000000"/>
              <w:right w:val="nil"/>
            </w:tcBorders>
            <w:shd w:val="clear" w:color="auto" w:fill="auto"/>
            <w:vAlign w:val="center"/>
            <w:hideMark/>
          </w:tcPr>
          <w:p w14:paraId="2747DE7B" w14:textId="77777777" w:rsidR="00536FD3" w:rsidRPr="00892C10" w:rsidRDefault="00536FD3" w:rsidP="00FD5249">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Max</w:t>
            </w:r>
          </w:p>
        </w:tc>
      </w:tr>
      <w:tr w:rsidR="00892C10" w:rsidRPr="00262015" w14:paraId="75514C40" w14:textId="77777777" w:rsidTr="00FD5249">
        <w:trPr>
          <w:trHeight w:val="260"/>
        </w:trPr>
        <w:tc>
          <w:tcPr>
            <w:tcW w:w="1720" w:type="dxa"/>
            <w:tcBorders>
              <w:top w:val="nil"/>
              <w:left w:val="nil"/>
              <w:bottom w:val="nil"/>
              <w:right w:val="nil"/>
            </w:tcBorders>
            <w:shd w:val="clear" w:color="auto" w:fill="auto"/>
            <w:vAlign w:val="center"/>
            <w:hideMark/>
          </w:tcPr>
          <w:p w14:paraId="1FAA1D13"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SPNY</w:t>
            </w:r>
          </w:p>
        </w:tc>
        <w:tc>
          <w:tcPr>
            <w:tcW w:w="1720" w:type="dxa"/>
            <w:tcBorders>
              <w:top w:val="nil"/>
              <w:left w:val="nil"/>
              <w:bottom w:val="nil"/>
              <w:right w:val="nil"/>
            </w:tcBorders>
            <w:shd w:val="clear" w:color="auto" w:fill="auto"/>
            <w:vAlign w:val="center"/>
            <w:hideMark/>
          </w:tcPr>
          <w:p w14:paraId="5C2A1BBF" w14:textId="1E719BD6"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-0.0790</w:t>
            </w:r>
          </w:p>
        </w:tc>
        <w:tc>
          <w:tcPr>
            <w:tcW w:w="1720" w:type="dxa"/>
            <w:tcBorders>
              <w:top w:val="nil"/>
              <w:left w:val="nil"/>
              <w:bottom w:val="nil"/>
              <w:right w:val="nil"/>
            </w:tcBorders>
            <w:shd w:val="clear" w:color="auto" w:fill="auto"/>
            <w:vAlign w:val="center"/>
            <w:hideMark/>
          </w:tcPr>
          <w:p w14:paraId="567750EB" w14:textId="5731F116"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1.2183</w:t>
            </w:r>
          </w:p>
        </w:tc>
        <w:tc>
          <w:tcPr>
            <w:tcW w:w="1720" w:type="dxa"/>
            <w:tcBorders>
              <w:top w:val="nil"/>
              <w:left w:val="nil"/>
              <w:bottom w:val="nil"/>
              <w:right w:val="nil"/>
            </w:tcBorders>
            <w:shd w:val="clear" w:color="auto" w:fill="auto"/>
            <w:vAlign w:val="center"/>
            <w:hideMark/>
          </w:tcPr>
          <w:p w14:paraId="3A681BBE" w14:textId="06103AF6"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-4.2056</w:t>
            </w:r>
          </w:p>
        </w:tc>
        <w:tc>
          <w:tcPr>
            <w:tcW w:w="1720" w:type="dxa"/>
            <w:tcBorders>
              <w:top w:val="nil"/>
              <w:left w:val="nil"/>
              <w:bottom w:val="nil"/>
              <w:right w:val="nil"/>
            </w:tcBorders>
            <w:shd w:val="clear" w:color="auto" w:fill="auto"/>
            <w:vAlign w:val="center"/>
            <w:hideMark/>
          </w:tcPr>
          <w:p w14:paraId="46FD0FBB" w14:textId="45970434"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3.2386</w:t>
            </w:r>
          </w:p>
        </w:tc>
      </w:tr>
      <w:tr w:rsidR="00892C10" w:rsidRPr="00262015" w14:paraId="2F768784" w14:textId="77777777" w:rsidTr="00FD5249">
        <w:trPr>
          <w:trHeight w:val="260"/>
        </w:trPr>
        <w:tc>
          <w:tcPr>
            <w:tcW w:w="1720" w:type="dxa"/>
            <w:tcBorders>
              <w:top w:val="nil"/>
              <w:left w:val="nil"/>
              <w:bottom w:val="nil"/>
              <w:right w:val="nil"/>
            </w:tcBorders>
            <w:shd w:val="clear" w:color="auto" w:fill="auto"/>
            <w:vAlign w:val="center"/>
            <w:hideMark/>
          </w:tcPr>
          <w:p w14:paraId="4AE732DA"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SPLRCM</w:t>
            </w:r>
          </w:p>
        </w:tc>
        <w:tc>
          <w:tcPr>
            <w:tcW w:w="1720" w:type="dxa"/>
            <w:tcBorders>
              <w:top w:val="nil"/>
              <w:left w:val="nil"/>
              <w:bottom w:val="nil"/>
              <w:right w:val="nil"/>
            </w:tcBorders>
            <w:shd w:val="clear" w:color="auto" w:fill="auto"/>
            <w:vAlign w:val="center"/>
            <w:hideMark/>
          </w:tcPr>
          <w:p w14:paraId="2296BBED" w14:textId="0F7FA8BF"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0.0269</w:t>
            </w:r>
          </w:p>
        </w:tc>
        <w:tc>
          <w:tcPr>
            <w:tcW w:w="1720" w:type="dxa"/>
            <w:tcBorders>
              <w:top w:val="nil"/>
              <w:left w:val="nil"/>
              <w:bottom w:val="nil"/>
              <w:right w:val="nil"/>
            </w:tcBorders>
            <w:shd w:val="clear" w:color="auto" w:fill="auto"/>
            <w:vAlign w:val="center"/>
            <w:hideMark/>
          </w:tcPr>
          <w:p w14:paraId="0BB427B3" w14:textId="78BFB1A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0.9500</w:t>
            </w:r>
          </w:p>
        </w:tc>
        <w:tc>
          <w:tcPr>
            <w:tcW w:w="1720" w:type="dxa"/>
            <w:tcBorders>
              <w:top w:val="nil"/>
              <w:left w:val="nil"/>
              <w:bottom w:val="nil"/>
              <w:right w:val="nil"/>
            </w:tcBorders>
            <w:shd w:val="clear" w:color="auto" w:fill="auto"/>
            <w:vAlign w:val="center"/>
            <w:hideMark/>
          </w:tcPr>
          <w:p w14:paraId="1963C523" w14:textId="598B9C3F"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-3.3100</w:t>
            </w:r>
          </w:p>
        </w:tc>
        <w:tc>
          <w:tcPr>
            <w:tcW w:w="1720" w:type="dxa"/>
            <w:tcBorders>
              <w:top w:val="nil"/>
              <w:left w:val="nil"/>
              <w:bottom w:val="nil"/>
              <w:right w:val="nil"/>
            </w:tcBorders>
            <w:shd w:val="clear" w:color="auto" w:fill="auto"/>
            <w:vAlign w:val="center"/>
            <w:hideMark/>
          </w:tcPr>
          <w:p w14:paraId="238E91A7" w14:textId="2177D93C"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3.3620</w:t>
            </w:r>
          </w:p>
        </w:tc>
      </w:tr>
      <w:tr w:rsidR="00892C10" w:rsidRPr="00262015" w14:paraId="4ABABDC9" w14:textId="77777777" w:rsidTr="00FD5249">
        <w:trPr>
          <w:trHeight w:val="260"/>
        </w:trPr>
        <w:tc>
          <w:tcPr>
            <w:tcW w:w="1720" w:type="dxa"/>
            <w:tcBorders>
              <w:top w:val="nil"/>
              <w:left w:val="nil"/>
              <w:bottom w:val="nil"/>
              <w:right w:val="nil"/>
            </w:tcBorders>
            <w:shd w:val="clear" w:color="auto" w:fill="auto"/>
            <w:vAlign w:val="center"/>
            <w:hideMark/>
          </w:tcPr>
          <w:p w14:paraId="7139903E"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SPLRCI</w:t>
            </w:r>
          </w:p>
        </w:tc>
        <w:tc>
          <w:tcPr>
            <w:tcW w:w="1720" w:type="dxa"/>
            <w:tcBorders>
              <w:top w:val="nil"/>
              <w:left w:val="nil"/>
              <w:bottom w:val="nil"/>
              <w:right w:val="nil"/>
            </w:tcBorders>
            <w:shd w:val="clear" w:color="auto" w:fill="auto"/>
            <w:vAlign w:val="center"/>
            <w:hideMark/>
          </w:tcPr>
          <w:p w14:paraId="485F8AB1" w14:textId="5DF8BDF2"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0.0329</w:t>
            </w:r>
          </w:p>
        </w:tc>
        <w:tc>
          <w:tcPr>
            <w:tcW w:w="1720" w:type="dxa"/>
            <w:tcBorders>
              <w:top w:val="nil"/>
              <w:left w:val="nil"/>
              <w:bottom w:val="nil"/>
              <w:right w:val="nil"/>
            </w:tcBorders>
            <w:shd w:val="clear" w:color="auto" w:fill="auto"/>
            <w:vAlign w:val="center"/>
            <w:hideMark/>
          </w:tcPr>
          <w:p w14:paraId="14587EFF" w14:textId="7EE67134"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0.9538</w:t>
            </w:r>
          </w:p>
        </w:tc>
        <w:tc>
          <w:tcPr>
            <w:tcW w:w="1720" w:type="dxa"/>
            <w:tcBorders>
              <w:top w:val="nil"/>
              <w:left w:val="nil"/>
              <w:bottom w:val="nil"/>
              <w:right w:val="nil"/>
            </w:tcBorders>
            <w:shd w:val="clear" w:color="auto" w:fill="auto"/>
            <w:vAlign w:val="center"/>
            <w:hideMark/>
          </w:tcPr>
          <w:p w14:paraId="220CB62F" w14:textId="062F4D6F"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-3.0395</w:t>
            </w:r>
          </w:p>
        </w:tc>
        <w:tc>
          <w:tcPr>
            <w:tcW w:w="1720" w:type="dxa"/>
            <w:tcBorders>
              <w:top w:val="nil"/>
              <w:left w:val="nil"/>
              <w:bottom w:val="nil"/>
              <w:right w:val="nil"/>
            </w:tcBorders>
            <w:shd w:val="clear" w:color="auto" w:fill="auto"/>
            <w:vAlign w:val="center"/>
            <w:hideMark/>
          </w:tcPr>
          <w:p w14:paraId="5CB5EFBB" w14:textId="55E00254"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2.3383</w:t>
            </w:r>
          </w:p>
        </w:tc>
      </w:tr>
      <w:tr w:rsidR="00892C10" w:rsidRPr="00262015" w14:paraId="7F17B448" w14:textId="77777777" w:rsidTr="00FD5249">
        <w:trPr>
          <w:trHeight w:val="260"/>
        </w:trPr>
        <w:tc>
          <w:tcPr>
            <w:tcW w:w="1720" w:type="dxa"/>
            <w:tcBorders>
              <w:top w:val="nil"/>
              <w:left w:val="nil"/>
              <w:bottom w:val="nil"/>
              <w:right w:val="nil"/>
            </w:tcBorders>
            <w:shd w:val="clear" w:color="auto" w:fill="auto"/>
            <w:vAlign w:val="center"/>
            <w:hideMark/>
          </w:tcPr>
          <w:p w14:paraId="790FB496"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SPLRCD</w:t>
            </w:r>
          </w:p>
        </w:tc>
        <w:tc>
          <w:tcPr>
            <w:tcW w:w="1720" w:type="dxa"/>
            <w:tcBorders>
              <w:top w:val="nil"/>
              <w:left w:val="nil"/>
              <w:bottom w:val="nil"/>
              <w:right w:val="nil"/>
            </w:tcBorders>
            <w:shd w:val="clear" w:color="auto" w:fill="auto"/>
            <w:vAlign w:val="center"/>
            <w:hideMark/>
          </w:tcPr>
          <w:p w14:paraId="6A8FE643" w14:textId="38ED6034"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0.0330</w:t>
            </w:r>
          </w:p>
        </w:tc>
        <w:tc>
          <w:tcPr>
            <w:tcW w:w="1720" w:type="dxa"/>
            <w:tcBorders>
              <w:top w:val="nil"/>
              <w:left w:val="nil"/>
              <w:bottom w:val="nil"/>
              <w:right w:val="nil"/>
            </w:tcBorders>
            <w:shd w:val="clear" w:color="auto" w:fill="auto"/>
            <w:vAlign w:val="center"/>
            <w:hideMark/>
          </w:tcPr>
          <w:p w14:paraId="2D817747" w14:textId="1D15CBB5"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0.8702</w:t>
            </w:r>
          </w:p>
        </w:tc>
        <w:tc>
          <w:tcPr>
            <w:tcW w:w="1720" w:type="dxa"/>
            <w:tcBorders>
              <w:top w:val="nil"/>
              <w:left w:val="nil"/>
              <w:bottom w:val="nil"/>
              <w:right w:val="nil"/>
            </w:tcBorders>
            <w:shd w:val="clear" w:color="auto" w:fill="auto"/>
            <w:vAlign w:val="center"/>
            <w:hideMark/>
          </w:tcPr>
          <w:p w14:paraId="5AC99796" w14:textId="0C36C013"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-3.1889</w:t>
            </w:r>
          </w:p>
        </w:tc>
        <w:tc>
          <w:tcPr>
            <w:tcW w:w="1720" w:type="dxa"/>
            <w:tcBorders>
              <w:top w:val="nil"/>
              <w:left w:val="nil"/>
              <w:bottom w:val="nil"/>
              <w:right w:val="nil"/>
            </w:tcBorders>
            <w:shd w:val="clear" w:color="auto" w:fill="auto"/>
            <w:vAlign w:val="center"/>
            <w:hideMark/>
          </w:tcPr>
          <w:p w14:paraId="02C9498F" w14:textId="0AA664F2"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2.6001</w:t>
            </w:r>
          </w:p>
        </w:tc>
      </w:tr>
      <w:tr w:rsidR="00892C10" w:rsidRPr="00262015" w14:paraId="03DFDB9F" w14:textId="77777777" w:rsidTr="00FD5249">
        <w:trPr>
          <w:trHeight w:val="260"/>
        </w:trPr>
        <w:tc>
          <w:tcPr>
            <w:tcW w:w="1720" w:type="dxa"/>
            <w:tcBorders>
              <w:top w:val="nil"/>
              <w:left w:val="nil"/>
              <w:bottom w:val="nil"/>
              <w:right w:val="nil"/>
            </w:tcBorders>
            <w:shd w:val="clear" w:color="auto" w:fill="auto"/>
            <w:vAlign w:val="center"/>
            <w:hideMark/>
          </w:tcPr>
          <w:p w14:paraId="4B6C3D59"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SPLRCS</w:t>
            </w:r>
          </w:p>
        </w:tc>
        <w:tc>
          <w:tcPr>
            <w:tcW w:w="1720" w:type="dxa"/>
            <w:tcBorders>
              <w:top w:val="nil"/>
              <w:left w:val="nil"/>
              <w:bottom w:val="nil"/>
              <w:right w:val="nil"/>
            </w:tcBorders>
            <w:shd w:val="clear" w:color="auto" w:fill="auto"/>
            <w:vAlign w:val="center"/>
            <w:hideMark/>
          </w:tcPr>
          <w:p w14:paraId="127A4E3C" w14:textId="130779B4"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0.0629</w:t>
            </w:r>
          </w:p>
        </w:tc>
        <w:tc>
          <w:tcPr>
            <w:tcW w:w="1720" w:type="dxa"/>
            <w:tcBorders>
              <w:top w:val="nil"/>
              <w:left w:val="nil"/>
              <w:bottom w:val="nil"/>
              <w:right w:val="nil"/>
            </w:tcBorders>
            <w:shd w:val="clear" w:color="auto" w:fill="auto"/>
            <w:vAlign w:val="center"/>
            <w:hideMark/>
          </w:tcPr>
          <w:p w14:paraId="79181189" w14:textId="455EC1A5"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0.6818</w:t>
            </w:r>
          </w:p>
        </w:tc>
        <w:tc>
          <w:tcPr>
            <w:tcW w:w="1720" w:type="dxa"/>
            <w:tcBorders>
              <w:top w:val="nil"/>
              <w:left w:val="nil"/>
              <w:bottom w:val="nil"/>
              <w:right w:val="nil"/>
            </w:tcBorders>
            <w:shd w:val="clear" w:color="auto" w:fill="auto"/>
            <w:vAlign w:val="center"/>
            <w:hideMark/>
          </w:tcPr>
          <w:p w14:paraId="2B65A863" w14:textId="03459FE5"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-2.7299</w:t>
            </w:r>
          </w:p>
        </w:tc>
        <w:tc>
          <w:tcPr>
            <w:tcW w:w="1720" w:type="dxa"/>
            <w:tcBorders>
              <w:top w:val="nil"/>
              <w:left w:val="nil"/>
              <w:bottom w:val="nil"/>
              <w:right w:val="nil"/>
            </w:tcBorders>
            <w:shd w:val="clear" w:color="auto" w:fill="auto"/>
            <w:vAlign w:val="center"/>
            <w:hideMark/>
          </w:tcPr>
          <w:p w14:paraId="75F99BED" w14:textId="0EE8C572"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1.5390</w:t>
            </w:r>
          </w:p>
        </w:tc>
      </w:tr>
      <w:tr w:rsidR="00892C10" w:rsidRPr="00262015" w14:paraId="7A2A11B8" w14:textId="77777777" w:rsidTr="00FD5249">
        <w:trPr>
          <w:trHeight w:val="260"/>
        </w:trPr>
        <w:tc>
          <w:tcPr>
            <w:tcW w:w="1720" w:type="dxa"/>
            <w:tcBorders>
              <w:top w:val="nil"/>
              <w:left w:val="nil"/>
              <w:bottom w:val="nil"/>
              <w:right w:val="nil"/>
            </w:tcBorders>
            <w:shd w:val="clear" w:color="auto" w:fill="auto"/>
            <w:vAlign w:val="center"/>
            <w:hideMark/>
          </w:tcPr>
          <w:p w14:paraId="3DF91471"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SPXHC</w:t>
            </w:r>
          </w:p>
        </w:tc>
        <w:tc>
          <w:tcPr>
            <w:tcW w:w="1720" w:type="dxa"/>
            <w:tcBorders>
              <w:top w:val="nil"/>
              <w:left w:val="nil"/>
              <w:bottom w:val="nil"/>
              <w:right w:val="nil"/>
            </w:tcBorders>
            <w:shd w:val="clear" w:color="auto" w:fill="auto"/>
            <w:vAlign w:val="center"/>
            <w:hideMark/>
          </w:tcPr>
          <w:p w14:paraId="1791F6F0" w14:textId="1C54C52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0.1075</w:t>
            </w:r>
          </w:p>
        </w:tc>
        <w:tc>
          <w:tcPr>
            <w:tcW w:w="1720" w:type="dxa"/>
            <w:tcBorders>
              <w:top w:val="nil"/>
              <w:left w:val="nil"/>
              <w:bottom w:val="nil"/>
              <w:right w:val="nil"/>
            </w:tcBorders>
            <w:shd w:val="clear" w:color="auto" w:fill="auto"/>
            <w:vAlign w:val="center"/>
            <w:hideMark/>
          </w:tcPr>
          <w:p w14:paraId="55BB1E64" w14:textId="79517A1F"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0.7673</w:t>
            </w:r>
          </w:p>
        </w:tc>
        <w:tc>
          <w:tcPr>
            <w:tcW w:w="1720" w:type="dxa"/>
            <w:tcBorders>
              <w:top w:val="nil"/>
              <w:left w:val="nil"/>
              <w:bottom w:val="nil"/>
              <w:right w:val="nil"/>
            </w:tcBorders>
            <w:shd w:val="clear" w:color="auto" w:fill="auto"/>
            <w:vAlign w:val="center"/>
            <w:hideMark/>
          </w:tcPr>
          <w:p w14:paraId="0689CDEE" w14:textId="0E1C4598"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-2.8749</w:t>
            </w:r>
          </w:p>
        </w:tc>
        <w:tc>
          <w:tcPr>
            <w:tcW w:w="1720" w:type="dxa"/>
            <w:tcBorders>
              <w:top w:val="nil"/>
              <w:left w:val="nil"/>
              <w:bottom w:val="nil"/>
              <w:right w:val="nil"/>
            </w:tcBorders>
            <w:shd w:val="clear" w:color="auto" w:fill="auto"/>
            <w:vAlign w:val="center"/>
            <w:hideMark/>
          </w:tcPr>
          <w:p w14:paraId="6FADD0A4" w14:textId="6B909E3A"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2.1866</w:t>
            </w:r>
          </w:p>
        </w:tc>
      </w:tr>
      <w:tr w:rsidR="00892C10" w:rsidRPr="00262015" w14:paraId="06CF7EBD" w14:textId="77777777" w:rsidTr="00FD5249">
        <w:trPr>
          <w:trHeight w:val="260"/>
        </w:trPr>
        <w:tc>
          <w:tcPr>
            <w:tcW w:w="1720" w:type="dxa"/>
            <w:tcBorders>
              <w:top w:val="nil"/>
              <w:left w:val="nil"/>
              <w:bottom w:val="nil"/>
              <w:right w:val="nil"/>
            </w:tcBorders>
            <w:shd w:val="clear" w:color="auto" w:fill="auto"/>
            <w:vAlign w:val="center"/>
            <w:hideMark/>
          </w:tcPr>
          <w:p w14:paraId="3AF6C0A5"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SPSY</w:t>
            </w:r>
          </w:p>
        </w:tc>
        <w:tc>
          <w:tcPr>
            <w:tcW w:w="1720" w:type="dxa"/>
            <w:tcBorders>
              <w:top w:val="nil"/>
              <w:left w:val="nil"/>
              <w:bottom w:val="nil"/>
              <w:right w:val="nil"/>
            </w:tcBorders>
            <w:shd w:val="clear" w:color="auto" w:fill="auto"/>
            <w:vAlign w:val="center"/>
            <w:hideMark/>
          </w:tcPr>
          <w:p w14:paraId="27495D13" w14:textId="042FAD54"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0.0652</w:t>
            </w:r>
          </w:p>
        </w:tc>
        <w:tc>
          <w:tcPr>
            <w:tcW w:w="1720" w:type="dxa"/>
            <w:tcBorders>
              <w:top w:val="nil"/>
              <w:left w:val="nil"/>
              <w:bottom w:val="nil"/>
              <w:right w:val="nil"/>
            </w:tcBorders>
            <w:shd w:val="clear" w:color="auto" w:fill="auto"/>
            <w:vAlign w:val="center"/>
            <w:hideMark/>
          </w:tcPr>
          <w:p w14:paraId="4484614B" w14:textId="7E71F224"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0.9514</w:t>
            </w:r>
          </w:p>
        </w:tc>
        <w:tc>
          <w:tcPr>
            <w:tcW w:w="1720" w:type="dxa"/>
            <w:tcBorders>
              <w:top w:val="nil"/>
              <w:left w:val="nil"/>
              <w:bottom w:val="nil"/>
              <w:right w:val="nil"/>
            </w:tcBorders>
            <w:shd w:val="clear" w:color="auto" w:fill="auto"/>
            <w:vAlign w:val="center"/>
            <w:hideMark/>
          </w:tcPr>
          <w:p w14:paraId="25954759" w14:textId="28ABE473"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-3.6242</w:t>
            </w:r>
          </w:p>
        </w:tc>
        <w:tc>
          <w:tcPr>
            <w:tcW w:w="1720" w:type="dxa"/>
            <w:tcBorders>
              <w:top w:val="nil"/>
              <w:left w:val="nil"/>
              <w:bottom w:val="nil"/>
              <w:right w:val="nil"/>
            </w:tcBorders>
            <w:shd w:val="clear" w:color="auto" w:fill="auto"/>
            <w:vAlign w:val="center"/>
            <w:hideMark/>
          </w:tcPr>
          <w:p w14:paraId="6ADEF7A6" w14:textId="4556CB6A"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2.6716</w:t>
            </w:r>
          </w:p>
        </w:tc>
      </w:tr>
      <w:tr w:rsidR="00892C10" w:rsidRPr="00262015" w14:paraId="1042DF8A" w14:textId="77777777" w:rsidTr="00FD5249">
        <w:trPr>
          <w:trHeight w:val="260"/>
        </w:trPr>
        <w:tc>
          <w:tcPr>
            <w:tcW w:w="1720" w:type="dxa"/>
            <w:tcBorders>
              <w:top w:val="nil"/>
              <w:left w:val="nil"/>
              <w:bottom w:val="nil"/>
              <w:right w:val="nil"/>
            </w:tcBorders>
            <w:shd w:val="clear" w:color="auto" w:fill="auto"/>
            <w:vAlign w:val="center"/>
            <w:hideMark/>
          </w:tcPr>
          <w:p w14:paraId="613DCDA2"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SPLRCT</w:t>
            </w:r>
          </w:p>
        </w:tc>
        <w:tc>
          <w:tcPr>
            <w:tcW w:w="1720" w:type="dxa"/>
            <w:tcBorders>
              <w:top w:val="nil"/>
              <w:left w:val="nil"/>
              <w:bottom w:val="nil"/>
              <w:right w:val="nil"/>
            </w:tcBorders>
            <w:shd w:val="clear" w:color="auto" w:fill="auto"/>
            <w:vAlign w:val="center"/>
            <w:hideMark/>
          </w:tcPr>
          <w:p w14:paraId="1B06A9CE" w14:textId="42970500"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0.1174</w:t>
            </w:r>
          </w:p>
        </w:tc>
        <w:tc>
          <w:tcPr>
            <w:tcW w:w="1720" w:type="dxa"/>
            <w:tcBorders>
              <w:top w:val="nil"/>
              <w:left w:val="nil"/>
              <w:bottom w:val="nil"/>
              <w:right w:val="nil"/>
            </w:tcBorders>
            <w:shd w:val="clear" w:color="auto" w:fill="auto"/>
            <w:vAlign w:val="center"/>
            <w:hideMark/>
          </w:tcPr>
          <w:p w14:paraId="69ACF12A" w14:textId="21B165CC"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1.0994</w:t>
            </w:r>
          </w:p>
        </w:tc>
        <w:tc>
          <w:tcPr>
            <w:tcW w:w="1720" w:type="dxa"/>
            <w:tcBorders>
              <w:top w:val="nil"/>
              <w:left w:val="nil"/>
              <w:bottom w:val="nil"/>
              <w:right w:val="nil"/>
            </w:tcBorders>
            <w:shd w:val="clear" w:color="auto" w:fill="auto"/>
            <w:vAlign w:val="center"/>
            <w:hideMark/>
          </w:tcPr>
          <w:p w14:paraId="2AACD457" w14:textId="5DE4AACB"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-4.1541</w:t>
            </w:r>
          </w:p>
        </w:tc>
        <w:tc>
          <w:tcPr>
            <w:tcW w:w="1720" w:type="dxa"/>
            <w:tcBorders>
              <w:top w:val="nil"/>
              <w:left w:val="nil"/>
              <w:bottom w:val="nil"/>
              <w:right w:val="nil"/>
            </w:tcBorders>
            <w:shd w:val="clear" w:color="auto" w:fill="auto"/>
            <w:vAlign w:val="center"/>
            <w:hideMark/>
          </w:tcPr>
          <w:p w14:paraId="435ADFA7" w14:textId="344B61ED"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3.2072</w:t>
            </w:r>
          </w:p>
        </w:tc>
      </w:tr>
      <w:tr w:rsidR="00892C10" w:rsidRPr="00262015" w14:paraId="58B981A5" w14:textId="77777777" w:rsidTr="00FD5249">
        <w:trPr>
          <w:trHeight w:val="260"/>
        </w:trPr>
        <w:tc>
          <w:tcPr>
            <w:tcW w:w="1720" w:type="dxa"/>
            <w:tcBorders>
              <w:top w:val="nil"/>
              <w:left w:val="nil"/>
              <w:bottom w:val="nil"/>
              <w:right w:val="nil"/>
            </w:tcBorders>
            <w:shd w:val="clear" w:color="auto" w:fill="auto"/>
            <w:vAlign w:val="center"/>
            <w:hideMark/>
          </w:tcPr>
          <w:p w14:paraId="70866AC0"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SPLRCL</w:t>
            </w:r>
          </w:p>
        </w:tc>
        <w:tc>
          <w:tcPr>
            <w:tcW w:w="1720" w:type="dxa"/>
            <w:tcBorders>
              <w:top w:val="nil"/>
              <w:left w:val="nil"/>
              <w:bottom w:val="nil"/>
              <w:right w:val="nil"/>
            </w:tcBorders>
            <w:shd w:val="clear" w:color="auto" w:fill="auto"/>
            <w:vAlign w:val="center"/>
            <w:hideMark/>
          </w:tcPr>
          <w:p w14:paraId="6FBA3BBD" w14:textId="567D6C5E"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0.0705</w:t>
            </w:r>
          </w:p>
        </w:tc>
        <w:tc>
          <w:tcPr>
            <w:tcW w:w="1720" w:type="dxa"/>
            <w:tcBorders>
              <w:top w:val="nil"/>
              <w:left w:val="nil"/>
              <w:bottom w:val="nil"/>
              <w:right w:val="nil"/>
            </w:tcBorders>
            <w:shd w:val="clear" w:color="auto" w:fill="auto"/>
            <w:vAlign w:val="center"/>
            <w:hideMark/>
          </w:tcPr>
          <w:p w14:paraId="5692A264" w14:textId="311FFA0E"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0.9474</w:t>
            </w:r>
          </w:p>
        </w:tc>
        <w:tc>
          <w:tcPr>
            <w:tcW w:w="1720" w:type="dxa"/>
            <w:tcBorders>
              <w:top w:val="nil"/>
              <w:left w:val="nil"/>
              <w:bottom w:val="nil"/>
              <w:right w:val="nil"/>
            </w:tcBorders>
            <w:shd w:val="clear" w:color="auto" w:fill="auto"/>
            <w:vAlign w:val="center"/>
            <w:hideMark/>
          </w:tcPr>
          <w:p w14:paraId="526CC359" w14:textId="4971F124"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-3.1118</w:t>
            </w:r>
          </w:p>
        </w:tc>
        <w:tc>
          <w:tcPr>
            <w:tcW w:w="1720" w:type="dxa"/>
            <w:tcBorders>
              <w:top w:val="nil"/>
              <w:left w:val="nil"/>
              <w:bottom w:val="nil"/>
              <w:right w:val="nil"/>
            </w:tcBorders>
            <w:shd w:val="clear" w:color="auto" w:fill="auto"/>
            <w:vAlign w:val="center"/>
            <w:hideMark/>
          </w:tcPr>
          <w:p w14:paraId="318F1230" w14:textId="3B5D3D64"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3.1941</w:t>
            </w:r>
          </w:p>
        </w:tc>
      </w:tr>
      <w:tr w:rsidR="00892C10" w:rsidRPr="00262015" w14:paraId="49E2A3B6" w14:textId="77777777" w:rsidTr="00FD5249">
        <w:trPr>
          <w:trHeight w:val="260"/>
        </w:trPr>
        <w:tc>
          <w:tcPr>
            <w:tcW w:w="1720" w:type="dxa"/>
            <w:tcBorders>
              <w:top w:val="nil"/>
              <w:left w:val="nil"/>
              <w:bottom w:val="nil"/>
              <w:right w:val="nil"/>
            </w:tcBorders>
            <w:shd w:val="clear" w:color="auto" w:fill="auto"/>
            <w:vAlign w:val="center"/>
            <w:hideMark/>
          </w:tcPr>
          <w:p w14:paraId="5FAF7859"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SPLRCU</w:t>
            </w:r>
          </w:p>
        </w:tc>
        <w:tc>
          <w:tcPr>
            <w:tcW w:w="1720" w:type="dxa"/>
            <w:tcBorders>
              <w:top w:val="nil"/>
              <w:left w:val="nil"/>
              <w:bottom w:val="nil"/>
              <w:right w:val="nil"/>
            </w:tcBorders>
            <w:shd w:val="clear" w:color="auto" w:fill="auto"/>
            <w:vAlign w:val="center"/>
            <w:hideMark/>
          </w:tcPr>
          <w:p w14:paraId="69A8CD44" w14:textId="090196B5"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0.0877</w:t>
            </w:r>
          </w:p>
        </w:tc>
        <w:tc>
          <w:tcPr>
            <w:tcW w:w="1720" w:type="dxa"/>
            <w:tcBorders>
              <w:top w:val="nil"/>
              <w:left w:val="nil"/>
              <w:bottom w:val="nil"/>
              <w:right w:val="nil"/>
            </w:tcBorders>
            <w:shd w:val="clear" w:color="auto" w:fill="auto"/>
            <w:vAlign w:val="center"/>
            <w:hideMark/>
          </w:tcPr>
          <w:p w14:paraId="0BD788DE" w14:textId="5B5FC7F5"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0.7175</w:t>
            </w:r>
          </w:p>
        </w:tc>
        <w:tc>
          <w:tcPr>
            <w:tcW w:w="1720" w:type="dxa"/>
            <w:tcBorders>
              <w:top w:val="nil"/>
              <w:left w:val="nil"/>
              <w:bottom w:val="nil"/>
              <w:right w:val="nil"/>
            </w:tcBorders>
            <w:shd w:val="clear" w:color="auto" w:fill="auto"/>
            <w:vAlign w:val="center"/>
            <w:hideMark/>
          </w:tcPr>
          <w:p w14:paraId="66AA53FC" w14:textId="40BDAD25"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-2.1749</w:t>
            </w:r>
          </w:p>
        </w:tc>
        <w:tc>
          <w:tcPr>
            <w:tcW w:w="1720" w:type="dxa"/>
            <w:tcBorders>
              <w:top w:val="nil"/>
              <w:left w:val="nil"/>
              <w:bottom w:val="nil"/>
              <w:right w:val="nil"/>
            </w:tcBorders>
            <w:shd w:val="clear" w:color="auto" w:fill="auto"/>
            <w:vAlign w:val="center"/>
            <w:hideMark/>
          </w:tcPr>
          <w:p w14:paraId="2F64D240" w14:textId="094C1C2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2.1180</w:t>
            </w:r>
          </w:p>
        </w:tc>
      </w:tr>
      <w:tr w:rsidR="00892C10" w:rsidRPr="00262015" w14:paraId="20A2CD4E" w14:textId="77777777" w:rsidTr="00FD5249">
        <w:trPr>
          <w:trHeight w:val="260"/>
        </w:trPr>
        <w:tc>
          <w:tcPr>
            <w:tcW w:w="1720" w:type="dxa"/>
            <w:tcBorders>
              <w:top w:val="nil"/>
              <w:left w:val="nil"/>
              <w:bottom w:val="nil"/>
              <w:right w:val="nil"/>
            </w:tcBorders>
            <w:shd w:val="clear" w:color="auto" w:fill="auto"/>
            <w:vAlign w:val="center"/>
            <w:hideMark/>
          </w:tcPr>
          <w:p w14:paraId="16AF5B61"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SPLRCREC</w:t>
            </w:r>
          </w:p>
        </w:tc>
        <w:tc>
          <w:tcPr>
            <w:tcW w:w="1720" w:type="dxa"/>
            <w:tcBorders>
              <w:top w:val="nil"/>
              <w:left w:val="nil"/>
              <w:bottom w:val="nil"/>
              <w:right w:val="nil"/>
            </w:tcBorders>
            <w:shd w:val="clear" w:color="auto" w:fill="auto"/>
            <w:vAlign w:val="center"/>
            <w:hideMark/>
          </w:tcPr>
          <w:p w14:paraId="60515F0B" w14:textId="088325A1"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0.0655</w:t>
            </w:r>
          </w:p>
        </w:tc>
        <w:tc>
          <w:tcPr>
            <w:tcW w:w="1720" w:type="dxa"/>
            <w:tcBorders>
              <w:top w:val="nil"/>
              <w:left w:val="nil"/>
              <w:bottom w:val="nil"/>
              <w:right w:val="nil"/>
            </w:tcBorders>
            <w:shd w:val="clear" w:color="auto" w:fill="auto"/>
            <w:vAlign w:val="center"/>
            <w:hideMark/>
          </w:tcPr>
          <w:p w14:paraId="2CB81BCA" w14:textId="47759F11"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0.8155</w:t>
            </w:r>
          </w:p>
        </w:tc>
        <w:tc>
          <w:tcPr>
            <w:tcW w:w="1720" w:type="dxa"/>
            <w:tcBorders>
              <w:top w:val="nil"/>
              <w:left w:val="nil"/>
              <w:bottom w:val="nil"/>
              <w:right w:val="nil"/>
            </w:tcBorders>
            <w:shd w:val="clear" w:color="auto" w:fill="auto"/>
            <w:vAlign w:val="center"/>
            <w:hideMark/>
          </w:tcPr>
          <w:p w14:paraId="2E0ED25A" w14:textId="1A5EF95E"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-1.9751</w:t>
            </w:r>
          </w:p>
        </w:tc>
        <w:tc>
          <w:tcPr>
            <w:tcW w:w="1720" w:type="dxa"/>
            <w:tcBorders>
              <w:top w:val="nil"/>
              <w:left w:val="nil"/>
              <w:bottom w:val="nil"/>
              <w:right w:val="nil"/>
            </w:tcBorders>
            <w:shd w:val="clear" w:color="auto" w:fill="auto"/>
            <w:vAlign w:val="center"/>
            <w:hideMark/>
          </w:tcPr>
          <w:p w14:paraId="09A8827E" w14:textId="13C3F42B"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2.2998</w:t>
            </w:r>
          </w:p>
        </w:tc>
      </w:tr>
      <w:tr w:rsidR="00892C10" w:rsidRPr="00262015" w14:paraId="5041C17B" w14:textId="77777777" w:rsidTr="00FD5249">
        <w:trPr>
          <w:trHeight w:val="270"/>
        </w:trPr>
        <w:tc>
          <w:tcPr>
            <w:tcW w:w="1720" w:type="dxa"/>
            <w:tcBorders>
              <w:top w:val="nil"/>
              <w:left w:val="nil"/>
              <w:bottom w:val="single" w:sz="8" w:space="0" w:color="auto"/>
              <w:right w:val="nil"/>
            </w:tcBorders>
            <w:shd w:val="clear" w:color="auto" w:fill="auto"/>
            <w:vAlign w:val="center"/>
            <w:hideMark/>
          </w:tcPr>
          <w:p w14:paraId="20AADF49"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SPX</w:t>
            </w:r>
          </w:p>
        </w:tc>
        <w:tc>
          <w:tcPr>
            <w:tcW w:w="1720" w:type="dxa"/>
            <w:tcBorders>
              <w:top w:val="nil"/>
              <w:left w:val="nil"/>
              <w:bottom w:val="single" w:sz="8" w:space="0" w:color="auto"/>
              <w:right w:val="nil"/>
            </w:tcBorders>
            <w:shd w:val="clear" w:color="auto" w:fill="auto"/>
            <w:vAlign w:val="center"/>
            <w:hideMark/>
          </w:tcPr>
          <w:p w14:paraId="5644C4F7" w14:textId="0A7B516D"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0.0700</w:t>
            </w:r>
          </w:p>
        </w:tc>
        <w:tc>
          <w:tcPr>
            <w:tcW w:w="1720" w:type="dxa"/>
            <w:tcBorders>
              <w:top w:val="nil"/>
              <w:left w:val="nil"/>
              <w:bottom w:val="single" w:sz="8" w:space="0" w:color="auto"/>
              <w:right w:val="nil"/>
            </w:tcBorders>
            <w:shd w:val="clear" w:color="auto" w:fill="auto"/>
            <w:vAlign w:val="center"/>
            <w:hideMark/>
          </w:tcPr>
          <w:p w14:paraId="27452294" w14:textId="4D85F91B"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0.7683</w:t>
            </w:r>
          </w:p>
        </w:tc>
        <w:tc>
          <w:tcPr>
            <w:tcW w:w="1720" w:type="dxa"/>
            <w:tcBorders>
              <w:top w:val="nil"/>
              <w:left w:val="nil"/>
              <w:bottom w:val="single" w:sz="8" w:space="0" w:color="auto"/>
              <w:right w:val="nil"/>
            </w:tcBorders>
            <w:shd w:val="clear" w:color="auto" w:fill="auto"/>
            <w:vAlign w:val="center"/>
            <w:hideMark/>
          </w:tcPr>
          <w:p w14:paraId="224C625B" w14:textId="0A35AE1B"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-3.0230</w:t>
            </w:r>
          </w:p>
        </w:tc>
        <w:tc>
          <w:tcPr>
            <w:tcW w:w="1720" w:type="dxa"/>
            <w:tcBorders>
              <w:top w:val="nil"/>
              <w:left w:val="nil"/>
              <w:bottom w:val="single" w:sz="8" w:space="0" w:color="auto"/>
              <w:right w:val="nil"/>
            </w:tcBorders>
            <w:shd w:val="clear" w:color="auto" w:fill="auto"/>
            <w:vAlign w:val="center"/>
            <w:hideMark/>
          </w:tcPr>
          <w:p w14:paraId="676607AF" w14:textId="0772B3E0"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2.1206</w:t>
            </w:r>
          </w:p>
        </w:tc>
      </w:tr>
      <w:tr w:rsidR="00536FD3" w:rsidRPr="00262015" w14:paraId="3C18C291" w14:textId="77777777" w:rsidTr="00FD5249">
        <w:trPr>
          <w:trHeight w:val="270"/>
        </w:trPr>
        <w:tc>
          <w:tcPr>
            <w:tcW w:w="6880" w:type="dxa"/>
            <w:gridSpan w:val="4"/>
            <w:tcBorders>
              <w:top w:val="single" w:sz="8" w:space="0" w:color="auto"/>
              <w:left w:val="nil"/>
              <w:bottom w:val="single" w:sz="8" w:space="0" w:color="auto"/>
              <w:right w:val="nil"/>
            </w:tcBorders>
            <w:shd w:val="clear" w:color="auto" w:fill="auto"/>
            <w:vAlign w:val="center"/>
            <w:hideMark/>
          </w:tcPr>
          <w:p w14:paraId="05A85DA9" w14:textId="77777777" w:rsidR="00536FD3" w:rsidRPr="00892C10" w:rsidRDefault="00536FD3" w:rsidP="00FD5249">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Post-event period: January 24, 2020 to March 6, 2020</w:t>
            </w:r>
          </w:p>
        </w:tc>
        <w:tc>
          <w:tcPr>
            <w:tcW w:w="1720" w:type="dxa"/>
            <w:tcBorders>
              <w:top w:val="nil"/>
              <w:left w:val="nil"/>
              <w:bottom w:val="nil"/>
              <w:right w:val="nil"/>
            </w:tcBorders>
            <w:shd w:val="clear" w:color="auto" w:fill="auto"/>
            <w:vAlign w:val="center"/>
            <w:hideMark/>
          </w:tcPr>
          <w:p w14:paraId="271DC4EF" w14:textId="77777777" w:rsidR="00536FD3" w:rsidRPr="00892C10" w:rsidRDefault="00536FD3" w:rsidP="00FD5249">
            <w:pPr>
              <w:spacing w:line="240" w:lineRule="auto"/>
              <w:rPr>
                <w:rFonts w:ascii="Times New Roman" w:eastAsia="Times New Roman" w:hAnsi="Times New Roman" w:cs="Times New Roman"/>
                <w:bCs/>
                <w:color w:val="000000"/>
                <w:sz w:val="24"/>
                <w:szCs w:val="24"/>
              </w:rPr>
            </w:pPr>
          </w:p>
        </w:tc>
      </w:tr>
      <w:tr w:rsidR="00536FD3" w:rsidRPr="00262015" w14:paraId="1A176CEE" w14:textId="77777777" w:rsidTr="00FD5249">
        <w:trPr>
          <w:trHeight w:val="270"/>
        </w:trPr>
        <w:tc>
          <w:tcPr>
            <w:tcW w:w="1720" w:type="dxa"/>
            <w:tcBorders>
              <w:top w:val="nil"/>
              <w:left w:val="nil"/>
              <w:bottom w:val="single" w:sz="8" w:space="0" w:color="auto"/>
              <w:right w:val="nil"/>
            </w:tcBorders>
            <w:shd w:val="clear" w:color="auto" w:fill="auto"/>
            <w:vAlign w:val="center"/>
            <w:hideMark/>
          </w:tcPr>
          <w:p w14:paraId="1CED01EE" w14:textId="77777777" w:rsidR="00536FD3" w:rsidRPr="00892C10" w:rsidRDefault="00536FD3" w:rsidP="00FD5249">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Variable</w:t>
            </w:r>
          </w:p>
        </w:tc>
        <w:tc>
          <w:tcPr>
            <w:tcW w:w="1720" w:type="dxa"/>
            <w:tcBorders>
              <w:top w:val="nil"/>
              <w:left w:val="nil"/>
              <w:bottom w:val="single" w:sz="8" w:space="0" w:color="auto"/>
              <w:right w:val="nil"/>
            </w:tcBorders>
            <w:shd w:val="clear" w:color="auto" w:fill="auto"/>
            <w:vAlign w:val="center"/>
            <w:hideMark/>
          </w:tcPr>
          <w:p w14:paraId="4B6FC55A" w14:textId="77777777" w:rsidR="00536FD3" w:rsidRPr="00892C10" w:rsidRDefault="00536FD3" w:rsidP="00FD5249">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Mean</w:t>
            </w:r>
          </w:p>
        </w:tc>
        <w:tc>
          <w:tcPr>
            <w:tcW w:w="1720" w:type="dxa"/>
            <w:tcBorders>
              <w:top w:val="nil"/>
              <w:left w:val="nil"/>
              <w:bottom w:val="single" w:sz="8" w:space="0" w:color="auto"/>
              <w:right w:val="nil"/>
            </w:tcBorders>
            <w:shd w:val="clear" w:color="auto" w:fill="auto"/>
            <w:vAlign w:val="center"/>
            <w:hideMark/>
          </w:tcPr>
          <w:p w14:paraId="19F2E8E3" w14:textId="77777777" w:rsidR="00536FD3" w:rsidRPr="00892C10" w:rsidRDefault="00536FD3" w:rsidP="00FD5249">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SD</w:t>
            </w:r>
          </w:p>
        </w:tc>
        <w:tc>
          <w:tcPr>
            <w:tcW w:w="1720" w:type="dxa"/>
            <w:tcBorders>
              <w:top w:val="nil"/>
              <w:left w:val="nil"/>
              <w:bottom w:val="single" w:sz="8" w:space="0" w:color="auto"/>
              <w:right w:val="nil"/>
            </w:tcBorders>
            <w:shd w:val="clear" w:color="auto" w:fill="auto"/>
            <w:vAlign w:val="center"/>
            <w:hideMark/>
          </w:tcPr>
          <w:p w14:paraId="16DD021E" w14:textId="77777777" w:rsidR="00536FD3" w:rsidRPr="00892C10" w:rsidRDefault="00536FD3" w:rsidP="00FD5249">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Min</w:t>
            </w:r>
          </w:p>
        </w:tc>
        <w:tc>
          <w:tcPr>
            <w:tcW w:w="1720" w:type="dxa"/>
            <w:tcBorders>
              <w:top w:val="single" w:sz="8" w:space="0" w:color="auto"/>
              <w:left w:val="nil"/>
              <w:bottom w:val="single" w:sz="8" w:space="0" w:color="auto"/>
              <w:right w:val="nil"/>
            </w:tcBorders>
            <w:shd w:val="clear" w:color="auto" w:fill="auto"/>
            <w:vAlign w:val="center"/>
            <w:hideMark/>
          </w:tcPr>
          <w:p w14:paraId="37A6EE79" w14:textId="77777777" w:rsidR="00536FD3" w:rsidRPr="00892C10" w:rsidRDefault="00536FD3" w:rsidP="00FD5249">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Max</w:t>
            </w:r>
          </w:p>
        </w:tc>
      </w:tr>
      <w:tr w:rsidR="00892C10" w:rsidRPr="00262015" w14:paraId="334A1B34" w14:textId="77777777" w:rsidTr="00FD5249">
        <w:trPr>
          <w:trHeight w:val="260"/>
        </w:trPr>
        <w:tc>
          <w:tcPr>
            <w:tcW w:w="1720" w:type="dxa"/>
            <w:tcBorders>
              <w:top w:val="nil"/>
              <w:left w:val="nil"/>
              <w:bottom w:val="nil"/>
              <w:right w:val="nil"/>
            </w:tcBorders>
            <w:shd w:val="clear" w:color="auto" w:fill="auto"/>
            <w:vAlign w:val="center"/>
            <w:hideMark/>
          </w:tcPr>
          <w:p w14:paraId="0FBA9931"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SPNY</w:t>
            </w:r>
          </w:p>
        </w:tc>
        <w:tc>
          <w:tcPr>
            <w:tcW w:w="1720" w:type="dxa"/>
            <w:tcBorders>
              <w:top w:val="nil"/>
              <w:left w:val="nil"/>
              <w:bottom w:val="nil"/>
              <w:right w:val="nil"/>
            </w:tcBorders>
            <w:shd w:val="clear" w:color="auto" w:fill="auto"/>
            <w:vAlign w:val="center"/>
            <w:hideMark/>
          </w:tcPr>
          <w:p w14:paraId="04939F28" w14:textId="453EF399"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-1.0362</w:t>
            </w:r>
          </w:p>
        </w:tc>
        <w:tc>
          <w:tcPr>
            <w:tcW w:w="1720" w:type="dxa"/>
            <w:tcBorders>
              <w:top w:val="nil"/>
              <w:left w:val="nil"/>
              <w:bottom w:val="nil"/>
              <w:right w:val="nil"/>
            </w:tcBorders>
            <w:shd w:val="clear" w:color="auto" w:fill="auto"/>
            <w:vAlign w:val="center"/>
            <w:hideMark/>
          </w:tcPr>
          <w:p w14:paraId="2E4D7768" w14:textId="0ECCD79F"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2.4292</w:t>
            </w:r>
          </w:p>
        </w:tc>
        <w:tc>
          <w:tcPr>
            <w:tcW w:w="1720" w:type="dxa"/>
            <w:tcBorders>
              <w:top w:val="nil"/>
              <w:left w:val="nil"/>
              <w:bottom w:val="nil"/>
              <w:right w:val="nil"/>
            </w:tcBorders>
            <w:shd w:val="clear" w:color="auto" w:fill="auto"/>
            <w:vAlign w:val="center"/>
            <w:hideMark/>
          </w:tcPr>
          <w:p w14:paraId="6CEA9B42" w14:textId="2411A691"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-5.7770</w:t>
            </w:r>
          </w:p>
        </w:tc>
        <w:tc>
          <w:tcPr>
            <w:tcW w:w="1720" w:type="dxa"/>
            <w:tcBorders>
              <w:top w:val="nil"/>
              <w:left w:val="nil"/>
              <w:bottom w:val="nil"/>
              <w:right w:val="nil"/>
            </w:tcBorders>
            <w:shd w:val="clear" w:color="auto" w:fill="auto"/>
            <w:vAlign w:val="center"/>
            <w:hideMark/>
          </w:tcPr>
          <w:p w14:paraId="7F5321F1" w14:textId="48BED9E8"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3.7126</w:t>
            </w:r>
          </w:p>
        </w:tc>
      </w:tr>
      <w:tr w:rsidR="00892C10" w:rsidRPr="00262015" w14:paraId="40F438ED" w14:textId="77777777" w:rsidTr="00FD5249">
        <w:trPr>
          <w:trHeight w:val="260"/>
        </w:trPr>
        <w:tc>
          <w:tcPr>
            <w:tcW w:w="1720" w:type="dxa"/>
            <w:tcBorders>
              <w:top w:val="nil"/>
              <w:left w:val="nil"/>
              <w:bottom w:val="nil"/>
              <w:right w:val="nil"/>
            </w:tcBorders>
            <w:shd w:val="clear" w:color="auto" w:fill="auto"/>
            <w:vAlign w:val="center"/>
            <w:hideMark/>
          </w:tcPr>
          <w:p w14:paraId="3D026F16"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SPLRCM</w:t>
            </w:r>
          </w:p>
        </w:tc>
        <w:tc>
          <w:tcPr>
            <w:tcW w:w="1720" w:type="dxa"/>
            <w:tcBorders>
              <w:top w:val="nil"/>
              <w:left w:val="nil"/>
              <w:bottom w:val="nil"/>
              <w:right w:val="nil"/>
            </w:tcBorders>
            <w:shd w:val="clear" w:color="auto" w:fill="auto"/>
            <w:vAlign w:val="center"/>
            <w:hideMark/>
          </w:tcPr>
          <w:p w14:paraId="216C66A0" w14:textId="6B96D59C"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-0.4013</w:t>
            </w:r>
          </w:p>
        </w:tc>
        <w:tc>
          <w:tcPr>
            <w:tcW w:w="1720" w:type="dxa"/>
            <w:tcBorders>
              <w:top w:val="nil"/>
              <w:left w:val="nil"/>
              <w:bottom w:val="nil"/>
              <w:right w:val="nil"/>
            </w:tcBorders>
            <w:shd w:val="clear" w:color="auto" w:fill="auto"/>
            <w:vAlign w:val="center"/>
            <w:hideMark/>
          </w:tcPr>
          <w:p w14:paraId="56A9D47A" w14:textId="2487C042"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2.0590</w:t>
            </w:r>
          </w:p>
        </w:tc>
        <w:tc>
          <w:tcPr>
            <w:tcW w:w="1720" w:type="dxa"/>
            <w:tcBorders>
              <w:top w:val="nil"/>
              <w:left w:val="nil"/>
              <w:bottom w:val="nil"/>
              <w:right w:val="nil"/>
            </w:tcBorders>
            <w:shd w:val="clear" w:color="auto" w:fill="auto"/>
            <w:vAlign w:val="center"/>
            <w:hideMark/>
          </w:tcPr>
          <w:p w14:paraId="4C4929AE" w14:textId="76A30C28"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-4.7694</w:t>
            </w:r>
          </w:p>
        </w:tc>
        <w:tc>
          <w:tcPr>
            <w:tcW w:w="1720" w:type="dxa"/>
            <w:tcBorders>
              <w:top w:val="nil"/>
              <w:left w:val="nil"/>
              <w:bottom w:val="nil"/>
              <w:right w:val="nil"/>
            </w:tcBorders>
            <w:shd w:val="clear" w:color="auto" w:fill="auto"/>
            <w:vAlign w:val="center"/>
            <w:hideMark/>
          </w:tcPr>
          <w:p w14:paraId="2DD0DE7D" w14:textId="3B843CFA"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4.0625</w:t>
            </w:r>
          </w:p>
        </w:tc>
      </w:tr>
      <w:tr w:rsidR="00892C10" w:rsidRPr="00262015" w14:paraId="5B262D1D" w14:textId="77777777" w:rsidTr="00FD5249">
        <w:trPr>
          <w:trHeight w:val="260"/>
        </w:trPr>
        <w:tc>
          <w:tcPr>
            <w:tcW w:w="1720" w:type="dxa"/>
            <w:tcBorders>
              <w:top w:val="nil"/>
              <w:left w:val="nil"/>
              <w:bottom w:val="nil"/>
              <w:right w:val="nil"/>
            </w:tcBorders>
            <w:shd w:val="clear" w:color="auto" w:fill="auto"/>
            <w:vAlign w:val="center"/>
            <w:hideMark/>
          </w:tcPr>
          <w:p w14:paraId="7438BBEE"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SPLRCI</w:t>
            </w:r>
          </w:p>
        </w:tc>
        <w:tc>
          <w:tcPr>
            <w:tcW w:w="1720" w:type="dxa"/>
            <w:tcBorders>
              <w:top w:val="nil"/>
              <w:left w:val="nil"/>
              <w:bottom w:val="nil"/>
              <w:right w:val="nil"/>
            </w:tcBorders>
            <w:shd w:val="clear" w:color="auto" w:fill="auto"/>
            <w:vAlign w:val="center"/>
            <w:hideMark/>
          </w:tcPr>
          <w:p w14:paraId="3F8E7F83" w14:textId="1CD505D1"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-0.5049</w:t>
            </w:r>
          </w:p>
        </w:tc>
        <w:tc>
          <w:tcPr>
            <w:tcW w:w="1720" w:type="dxa"/>
            <w:tcBorders>
              <w:top w:val="nil"/>
              <w:left w:val="nil"/>
              <w:bottom w:val="nil"/>
              <w:right w:val="nil"/>
            </w:tcBorders>
            <w:shd w:val="clear" w:color="auto" w:fill="auto"/>
            <w:vAlign w:val="center"/>
            <w:hideMark/>
          </w:tcPr>
          <w:p w14:paraId="58BEADB7" w14:textId="77B3450A"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1.9572</w:t>
            </w:r>
          </w:p>
        </w:tc>
        <w:tc>
          <w:tcPr>
            <w:tcW w:w="1720" w:type="dxa"/>
            <w:tcBorders>
              <w:top w:val="nil"/>
              <w:left w:val="nil"/>
              <w:bottom w:val="nil"/>
              <w:right w:val="nil"/>
            </w:tcBorders>
            <w:shd w:val="clear" w:color="auto" w:fill="auto"/>
            <w:vAlign w:val="center"/>
            <w:hideMark/>
          </w:tcPr>
          <w:p w14:paraId="261B1941" w14:textId="12EAF6E4"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-5.0874</w:t>
            </w:r>
          </w:p>
        </w:tc>
        <w:tc>
          <w:tcPr>
            <w:tcW w:w="1720" w:type="dxa"/>
            <w:tcBorders>
              <w:top w:val="nil"/>
              <w:left w:val="nil"/>
              <w:bottom w:val="nil"/>
              <w:right w:val="nil"/>
            </w:tcBorders>
            <w:shd w:val="clear" w:color="auto" w:fill="auto"/>
            <w:vAlign w:val="center"/>
            <w:hideMark/>
          </w:tcPr>
          <w:p w14:paraId="78A488EF" w14:textId="4B26B9C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4.1051</w:t>
            </w:r>
          </w:p>
        </w:tc>
      </w:tr>
      <w:tr w:rsidR="00892C10" w:rsidRPr="00262015" w14:paraId="63A3F15E" w14:textId="77777777" w:rsidTr="00FD5249">
        <w:trPr>
          <w:trHeight w:val="260"/>
        </w:trPr>
        <w:tc>
          <w:tcPr>
            <w:tcW w:w="1720" w:type="dxa"/>
            <w:tcBorders>
              <w:top w:val="nil"/>
              <w:left w:val="nil"/>
              <w:bottom w:val="nil"/>
              <w:right w:val="nil"/>
            </w:tcBorders>
            <w:shd w:val="clear" w:color="auto" w:fill="auto"/>
            <w:vAlign w:val="center"/>
            <w:hideMark/>
          </w:tcPr>
          <w:p w14:paraId="629D87C7"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SPLRCD</w:t>
            </w:r>
          </w:p>
        </w:tc>
        <w:tc>
          <w:tcPr>
            <w:tcW w:w="1720" w:type="dxa"/>
            <w:tcBorders>
              <w:top w:val="nil"/>
              <w:left w:val="nil"/>
              <w:bottom w:val="nil"/>
              <w:right w:val="nil"/>
            </w:tcBorders>
            <w:shd w:val="clear" w:color="auto" w:fill="auto"/>
            <w:vAlign w:val="center"/>
            <w:hideMark/>
          </w:tcPr>
          <w:p w14:paraId="506EB9C1" w14:textId="2531A5F2"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-0.3343</w:t>
            </w:r>
          </w:p>
        </w:tc>
        <w:tc>
          <w:tcPr>
            <w:tcW w:w="1720" w:type="dxa"/>
            <w:tcBorders>
              <w:top w:val="nil"/>
              <w:left w:val="nil"/>
              <w:bottom w:val="nil"/>
              <w:right w:val="nil"/>
            </w:tcBorders>
            <w:shd w:val="clear" w:color="auto" w:fill="auto"/>
            <w:vAlign w:val="center"/>
            <w:hideMark/>
          </w:tcPr>
          <w:p w14:paraId="42D9007F" w14:textId="62E9C25C"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1.8183</w:t>
            </w:r>
          </w:p>
        </w:tc>
        <w:tc>
          <w:tcPr>
            <w:tcW w:w="1720" w:type="dxa"/>
            <w:tcBorders>
              <w:top w:val="nil"/>
              <w:left w:val="nil"/>
              <w:bottom w:val="nil"/>
              <w:right w:val="nil"/>
            </w:tcBorders>
            <w:shd w:val="clear" w:color="auto" w:fill="auto"/>
            <w:vAlign w:val="center"/>
            <w:hideMark/>
          </w:tcPr>
          <w:p w14:paraId="19F4EABF" w14:textId="6CBAD6AB"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-4.1526</w:t>
            </w:r>
          </w:p>
        </w:tc>
        <w:tc>
          <w:tcPr>
            <w:tcW w:w="1720" w:type="dxa"/>
            <w:tcBorders>
              <w:top w:val="nil"/>
              <w:left w:val="nil"/>
              <w:bottom w:val="nil"/>
              <w:right w:val="nil"/>
            </w:tcBorders>
            <w:shd w:val="clear" w:color="auto" w:fill="auto"/>
            <w:vAlign w:val="center"/>
            <w:hideMark/>
          </w:tcPr>
          <w:p w14:paraId="63DE565C" w14:textId="2C7D48BB"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3.4357</w:t>
            </w:r>
          </w:p>
        </w:tc>
      </w:tr>
      <w:tr w:rsidR="00892C10" w:rsidRPr="00262015" w14:paraId="5816D8FF" w14:textId="77777777" w:rsidTr="00FD5249">
        <w:trPr>
          <w:trHeight w:val="260"/>
        </w:trPr>
        <w:tc>
          <w:tcPr>
            <w:tcW w:w="1720" w:type="dxa"/>
            <w:tcBorders>
              <w:top w:val="nil"/>
              <w:left w:val="nil"/>
              <w:bottom w:val="nil"/>
              <w:right w:val="nil"/>
            </w:tcBorders>
            <w:shd w:val="clear" w:color="auto" w:fill="auto"/>
            <w:vAlign w:val="center"/>
            <w:hideMark/>
          </w:tcPr>
          <w:p w14:paraId="236F9D35"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SPLRCS</w:t>
            </w:r>
          </w:p>
        </w:tc>
        <w:tc>
          <w:tcPr>
            <w:tcW w:w="1720" w:type="dxa"/>
            <w:tcBorders>
              <w:top w:val="nil"/>
              <w:left w:val="nil"/>
              <w:bottom w:val="nil"/>
              <w:right w:val="nil"/>
            </w:tcBorders>
            <w:shd w:val="clear" w:color="auto" w:fill="auto"/>
            <w:vAlign w:val="center"/>
            <w:hideMark/>
          </w:tcPr>
          <w:p w14:paraId="0BEECFFA" w14:textId="3A4648DE"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-0.1313</w:t>
            </w:r>
          </w:p>
        </w:tc>
        <w:tc>
          <w:tcPr>
            <w:tcW w:w="1720" w:type="dxa"/>
            <w:tcBorders>
              <w:top w:val="nil"/>
              <w:left w:val="nil"/>
              <w:bottom w:val="nil"/>
              <w:right w:val="nil"/>
            </w:tcBorders>
            <w:shd w:val="clear" w:color="auto" w:fill="auto"/>
            <w:vAlign w:val="center"/>
            <w:hideMark/>
          </w:tcPr>
          <w:p w14:paraId="63AD5580" w14:textId="639F862C"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1.7991</w:t>
            </w:r>
          </w:p>
        </w:tc>
        <w:tc>
          <w:tcPr>
            <w:tcW w:w="1720" w:type="dxa"/>
            <w:tcBorders>
              <w:top w:val="nil"/>
              <w:left w:val="nil"/>
              <w:bottom w:val="nil"/>
              <w:right w:val="nil"/>
            </w:tcBorders>
            <w:shd w:val="clear" w:color="auto" w:fill="auto"/>
            <w:vAlign w:val="center"/>
            <w:hideMark/>
          </w:tcPr>
          <w:p w14:paraId="0BB60BBC" w14:textId="2D24B9CE"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-4.1521</w:t>
            </w:r>
          </w:p>
        </w:tc>
        <w:tc>
          <w:tcPr>
            <w:tcW w:w="1720" w:type="dxa"/>
            <w:tcBorders>
              <w:top w:val="nil"/>
              <w:left w:val="nil"/>
              <w:bottom w:val="nil"/>
              <w:right w:val="nil"/>
            </w:tcBorders>
            <w:shd w:val="clear" w:color="auto" w:fill="auto"/>
            <w:vAlign w:val="center"/>
            <w:hideMark/>
          </w:tcPr>
          <w:p w14:paraId="61ECE4EA" w14:textId="08986781"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5.3371</w:t>
            </w:r>
          </w:p>
        </w:tc>
      </w:tr>
      <w:tr w:rsidR="00892C10" w:rsidRPr="00262015" w14:paraId="25BB91C0" w14:textId="77777777" w:rsidTr="00FD5249">
        <w:trPr>
          <w:trHeight w:val="260"/>
        </w:trPr>
        <w:tc>
          <w:tcPr>
            <w:tcW w:w="1720" w:type="dxa"/>
            <w:tcBorders>
              <w:top w:val="nil"/>
              <w:left w:val="nil"/>
              <w:bottom w:val="nil"/>
              <w:right w:val="nil"/>
            </w:tcBorders>
            <w:shd w:val="clear" w:color="auto" w:fill="auto"/>
            <w:vAlign w:val="center"/>
            <w:hideMark/>
          </w:tcPr>
          <w:p w14:paraId="7F8F8F5E"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SPXHC</w:t>
            </w:r>
          </w:p>
        </w:tc>
        <w:tc>
          <w:tcPr>
            <w:tcW w:w="1720" w:type="dxa"/>
            <w:tcBorders>
              <w:top w:val="nil"/>
              <w:left w:val="nil"/>
              <w:bottom w:val="nil"/>
              <w:right w:val="nil"/>
            </w:tcBorders>
            <w:shd w:val="clear" w:color="auto" w:fill="auto"/>
            <w:vAlign w:val="center"/>
            <w:hideMark/>
          </w:tcPr>
          <w:p w14:paraId="417BF618" w14:textId="2CCB1C31"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-0.2408</w:t>
            </w:r>
          </w:p>
        </w:tc>
        <w:tc>
          <w:tcPr>
            <w:tcW w:w="1720" w:type="dxa"/>
            <w:tcBorders>
              <w:top w:val="nil"/>
              <w:left w:val="nil"/>
              <w:bottom w:val="nil"/>
              <w:right w:val="nil"/>
            </w:tcBorders>
            <w:shd w:val="clear" w:color="auto" w:fill="auto"/>
            <w:vAlign w:val="center"/>
            <w:hideMark/>
          </w:tcPr>
          <w:p w14:paraId="4B9CD4C1" w14:textId="51AE5415"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2.0076</w:t>
            </w:r>
          </w:p>
        </w:tc>
        <w:tc>
          <w:tcPr>
            <w:tcW w:w="1720" w:type="dxa"/>
            <w:tcBorders>
              <w:top w:val="nil"/>
              <w:left w:val="nil"/>
              <w:bottom w:val="nil"/>
              <w:right w:val="nil"/>
            </w:tcBorders>
            <w:shd w:val="clear" w:color="auto" w:fill="auto"/>
            <w:vAlign w:val="center"/>
            <w:hideMark/>
          </w:tcPr>
          <w:p w14:paraId="5A9AC861" w14:textId="52BAAC9F"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-3.3882</w:t>
            </w:r>
          </w:p>
        </w:tc>
        <w:tc>
          <w:tcPr>
            <w:tcW w:w="1720" w:type="dxa"/>
            <w:tcBorders>
              <w:top w:val="nil"/>
              <w:left w:val="nil"/>
              <w:bottom w:val="nil"/>
              <w:right w:val="nil"/>
            </w:tcBorders>
            <w:shd w:val="clear" w:color="auto" w:fill="auto"/>
            <w:vAlign w:val="center"/>
            <w:hideMark/>
          </w:tcPr>
          <w:p w14:paraId="7F060A06" w14:textId="060A6415"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5.6496</w:t>
            </w:r>
          </w:p>
        </w:tc>
      </w:tr>
      <w:tr w:rsidR="00892C10" w:rsidRPr="00262015" w14:paraId="34453704" w14:textId="77777777" w:rsidTr="00FD5249">
        <w:trPr>
          <w:trHeight w:val="260"/>
        </w:trPr>
        <w:tc>
          <w:tcPr>
            <w:tcW w:w="1720" w:type="dxa"/>
            <w:tcBorders>
              <w:top w:val="nil"/>
              <w:left w:val="nil"/>
              <w:bottom w:val="nil"/>
              <w:right w:val="nil"/>
            </w:tcBorders>
            <w:shd w:val="clear" w:color="auto" w:fill="auto"/>
            <w:vAlign w:val="center"/>
            <w:hideMark/>
          </w:tcPr>
          <w:p w14:paraId="27D3391C"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SPSY</w:t>
            </w:r>
          </w:p>
        </w:tc>
        <w:tc>
          <w:tcPr>
            <w:tcW w:w="1720" w:type="dxa"/>
            <w:tcBorders>
              <w:top w:val="nil"/>
              <w:left w:val="nil"/>
              <w:bottom w:val="nil"/>
              <w:right w:val="nil"/>
            </w:tcBorders>
            <w:shd w:val="clear" w:color="auto" w:fill="auto"/>
            <w:vAlign w:val="center"/>
            <w:hideMark/>
          </w:tcPr>
          <w:p w14:paraId="6D42B026" w14:textId="70F51021"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-0.6320</w:t>
            </w:r>
          </w:p>
        </w:tc>
        <w:tc>
          <w:tcPr>
            <w:tcW w:w="1720" w:type="dxa"/>
            <w:tcBorders>
              <w:top w:val="nil"/>
              <w:left w:val="nil"/>
              <w:bottom w:val="nil"/>
              <w:right w:val="nil"/>
            </w:tcBorders>
            <w:shd w:val="clear" w:color="auto" w:fill="auto"/>
            <w:vAlign w:val="center"/>
            <w:hideMark/>
          </w:tcPr>
          <w:p w14:paraId="326C9EDC" w14:textId="5452C5BE"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2.2071</w:t>
            </w:r>
          </w:p>
        </w:tc>
        <w:tc>
          <w:tcPr>
            <w:tcW w:w="1720" w:type="dxa"/>
            <w:tcBorders>
              <w:top w:val="nil"/>
              <w:left w:val="nil"/>
              <w:bottom w:val="nil"/>
              <w:right w:val="nil"/>
            </w:tcBorders>
            <w:shd w:val="clear" w:color="auto" w:fill="auto"/>
            <w:vAlign w:val="center"/>
            <w:hideMark/>
          </w:tcPr>
          <w:p w14:paraId="0C173DE9" w14:textId="4FE2B808"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-5.0040</w:t>
            </w:r>
          </w:p>
        </w:tc>
        <w:tc>
          <w:tcPr>
            <w:tcW w:w="1720" w:type="dxa"/>
            <w:tcBorders>
              <w:top w:val="nil"/>
              <w:left w:val="nil"/>
              <w:bottom w:val="nil"/>
              <w:right w:val="nil"/>
            </w:tcBorders>
            <w:shd w:val="clear" w:color="auto" w:fill="auto"/>
            <w:vAlign w:val="center"/>
            <w:hideMark/>
          </w:tcPr>
          <w:p w14:paraId="72AEBAE7" w14:textId="697E72B1"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4.7547</w:t>
            </w:r>
          </w:p>
        </w:tc>
      </w:tr>
      <w:tr w:rsidR="00892C10" w:rsidRPr="00262015" w14:paraId="35A43C64" w14:textId="77777777" w:rsidTr="00FD5249">
        <w:trPr>
          <w:trHeight w:val="260"/>
        </w:trPr>
        <w:tc>
          <w:tcPr>
            <w:tcW w:w="1720" w:type="dxa"/>
            <w:tcBorders>
              <w:top w:val="nil"/>
              <w:left w:val="nil"/>
              <w:bottom w:val="nil"/>
              <w:right w:val="nil"/>
            </w:tcBorders>
            <w:shd w:val="clear" w:color="auto" w:fill="auto"/>
            <w:vAlign w:val="center"/>
            <w:hideMark/>
          </w:tcPr>
          <w:p w14:paraId="5E5C5B1C"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SPLRCT</w:t>
            </w:r>
          </w:p>
        </w:tc>
        <w:tc>
          <w:tcPr>
            <w:tcW w:w="1720" w:type="dxa"/>
            <w:tcBorders>
              <w:top w:val="nil"/>
              <w:left w:val="nil"/>
              <w:bottom w:val="nil"/>
              <w:right w:val="nil"/>
            </w:tcBorders>
            <w:shd w:val="clear" w:color="auto" w:fill="auto"/>
            <w:vAlign w:val="center"/>
            <w:hideMark/>
          </w:tcPr>
          <w:p w14:paraId="18202607" w14:textId="28821AC1"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-0.3276</w:t>
            </w:r>
          </w:p>
        </w:tc>
        <w:tc>
          <w:tcPr>
            <w:tcW w:w="1720" w:type="dxa"/>
            <w:tcBorders>
              <w:top w:val="nil"/>
              <w:left w:val="nil"/>
              <w:bottom w:val="nil"/>
              <w:right w:val="nil"/>
            </w:tcBorders>
            <w:shd w:val="clear" w:color="auto" w:fill="auto"/>
            <w:vAlign w:val="center"/>
            <w:hideMark/>
          </w:tcPr>
          <w:p w14:paraId="245FA0C1" w14:textId="6A737CCB"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2.4463</w:t>
            </w:r>
          </w:p>
        </w:tc>
        <w:tc>
          <w:tcPr>
            <w:tcW w:w="1720" w:type="dxa"/>
            <w:tcBorders>
              <w:top w:val="nil"/>
              <w:left w:val="nil"/>
              <w:bottom w:val="nil"/>
              <w:right w:val="nil"/>
            </w:tcBorders>
            <w:shd w:val="clear" w:color="auto" w:fill="auto"/>
            <w:vAlign w:val="center"/>
            <w:hideMark/>
          </w:tcPr>
          <w:p w14:paraId="03A6C729" w14:textId="114A6820"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-5.4748</w:t>
            </w:r>
          </w:p>
        </w:tc>
        <w:tc>
          <w:tcPr>
            <w:tcW w:w="1720" w:type="dxa"/>
            <w:tcBorders>
              <w:top w:val="nil"/>
              <w:left w:val="nil"/>
              <w:bottom w:val="nil"/>
              <w:right w:val="nil"/>
            </w:tcBorders>
            <w:shd w:val="clear" w:color="auto" w:fill="auto"/>
            <w:vAlign w:val="center"/>
            <w:hideMark/>
          </w:tcPr>
          <w:p w14:paraId="30332877" w14:textId="26E91A8C"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5.5493</w:t>
            </w:r>
          </w:p>
        </w:tc>
      </w:tr>
      <w:tr w:rsidR="00892C10" w:rsidRPr="00262015" w14:paraId="6CB6540B" w14:textId="77777777" w:rsidTr="00FD5249">
        <w:trPr>
          <w:trHeight w:val="260"/>
        </w:trPr>
        <w:tc>
          <w:tcPr>
            <w:tcW w:w="1720" w:type="dxa"/>
            <w:tcBorders>
              <w:top w:val="nil"/>
              <w:left w:val="nil"/>
              <w:bottom w:val="nil"/>
              <w:right w:val="nil"/>
            </w:tcBorders>
            <w:shd w:val="clear" w:color="auto" w:fill="auto"/>
            <w:vAlign w:val="center"/>
            <w:hideMark/>
          </w:tcPr>
          <w:p w14:paraId="78AD9607"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SPLRCL</w:t>
            </w:r>
          </w:p>
        </w:tc>
        <w:tc>
          <w:tcPr>
            <w:tcW w:w="1720" w:type="dxa"/>
            <w:tcBorders>
              <w:top w:val="nil"/>
              <w:left w:val="nil"/>
              <w:bottom w:val="nil"/>
              <w:right w:val="nil"/>
            </w:tcBorders>
            <w:shd w:val="clear" w:color="auto" w:fill="auto"/>
            <w:vAlign w:val="center"/>
            <w:hideMark/>
          </w:tcPr>
          <w:p w14:paraId="3661723F" w14:textId="6D2E063C"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-0.3706</w:t>
            </w:r>
          </w:p>
        </w:tc>
        <w:tc>
          <w:tcPr>
            <w:tcW w:w="1720" w:type="dxa"/>
            <w:tcBorders>
              <w:top w:val="nil"/>
              <w:left w:val="nil"/>
              <w:bottom w:val="nil"/>
              <w:right w:val="nil"/>
            </w:tcBorders>
            <w:shd w:val="clear" w:color="auto" w:fill="auto"/>
            <w:vAlign w:val="center"/>
            <w:hideMark/>
          </w:tcPr>
          <w:p w14:paraId="53689D59" w14:textId="46E37905"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1.8587</w:t>
            </w:r>
          </w:p>
        </w:tc>
        <w:tc>
          <w:tcPr>
            <w:tcW w:w="1720" w:type="dxa"/>
            <w:tcBorders>
              <w:top w:val="nil"/>
              <w:left w:val="nil"/>
              <w:bottom w:val="nil"/>
              <w:right w:val="nil"/>
            </w:tcBorders>
            <w:shd w:val="clear" w:color="auto" w:fill="auto"/>
            <w:vAlign w:val="center"/>
            <w:hideMark/>
          </w:tcPr>
          <w:p w14:paraId="6F693D97" w14:textId="020DCD29"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-4.1330</w:t>
            </w:r>
          </w:p>
        </w:tc>
        <w:tc>
          <w:tcPr>
            <w:tcW w:w="1720" w:type="dxa"/>
            <w:tcBorders>
              <w:top w:val="nil"/>
              <w:left w:val="nil"/>
              <w:bottom w:val="nil"/>
              <w:right w:val="nil"/>
            </w:tcBorders>
            <w:shd w:val="clear" w:color="auto" w:fill="auto"/>
            <w:vAlign w:val="center"/>
            <w:hideMark/>
          </w:tcPr>
          <w:p w14:paraId="336CB707" w14:textId="7A91D972"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3.5226</w:t>
            </w:r>
          </w:p>
        </w:tc>
      </w:tr>
      <w:tr w:rsidR="00892C10" w:rsidRPr="00262015" w14:paraId="143EA654" w14:textId="77777777" w:rsidTr="00FD5249">
        <w:trPr>
          <w:trHeight w:val="260"/>
        </w:trPr>
        <w:tc>
          <w:tcPr>
            <w:tcW w:w="1720" w:type="dxa"/>
            <w:tcBorders>
              <w:top w:val="nil"/>
              <w:left w:val="nil"/>
              <w:bottom w:val="nil"/>
              <w:right w:val="nil"/>
            </w:tcBorders>
            <w:shd w:val="clear" w:color="auto" w:fill="auto"/>
            <w:vAlign w:val="center"/>
            <w:hideMark/>
          </w:tcPr>
          <w:p w14:paraId="29C3154C"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SPLRCU</w:t>
            </w:r>
          </w:p>
        </w:tc>
        <w:tc>
          <w:tcPr>
            <w:tcW w:w="1720" w:type="dxa"/>
            <w:tcBorders>
              <w:top w:val="nil"/>
              <w:left w:val="nil"/>
              <w:bottom w:val="nil"/>
              <w:right w:val="nil"/>
            </w:tcBorders>
            <w:shd w:val="clear" w:color="auto" w:fill="auto"/>
            <w:vAlign w:val="center"/>
            <w:hideMark/>
          </w:tcPr>
          <w:p w14:paraId="3C14BC48" w14:textId="5FDC5560"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-0.0714</w:t>
            </w:r>
          </w:p>
        </w:tc>
        <w:tc>
          <w:tcPr>
            <w:tcW w:w="1720" w:type="dxa"/>
            <w:tcBorders>
              <w:top w:val="nil"/>
              <w:left w:val="nil"/>
              <w:bottom w:val="nil"/>
              <w:right w:val="nil"/>
            </w:tcBorders>
            <w:shd w:val="clear" w:color="auto" w:fill="auto"/>
            <w:vAlign w:val="center"/>
            <w:hideMark/>
          </w:tcPr>
          <w:p w14:paraId="0287EE6D" w14:textId="521227D8"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1.9977</w:t>
            </w:r>
          </w:p>
        </w:tc>
        <w:tc>
          <w:tcPr>
            <w:tcW w:w="1720" w:type="dxa"/>
            <w:tcBorders>
              <w:top w:val="nil"/>
              <w:left w:val="nil"/>
              <w:bottom w:val="nil"/>
              <w:right w:val="nil"/>
            </w:tcBorders>
            <w:shd w:val="clear" w:color="auto" w:fill="auto"/>
            <w:vAlign w:val="center"/>
            <w:hideMark/>
          </w:tcPr>
          <w:p w14:paraId="33D27E07" w14:textId="3B533375"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-4.8052</w:t>
            </w:r>
          </w:p>
        </w:tc>
        <w:tc>
          <w:tcPr>
            <w:tcW w:w="1720" w:type="dxa"/>
            <w:tcBorders>
              <w:top w:val="nil"/>
              <w:left w:val="nil"/>
              <w:bottom w:val="nil"/>
              <w:right w:val="nil"/>
            </w:tcBorders>
            <w:shd w:val="clear" w:color="auto" w:fill="auto"/>
            <w:vAlign w:val="center"/>
            <w:hideMark/>
          </w:tcPr>
          <w:p w14:paraId="2D398F63" w14:textId="02C6E7E2"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5.6973</w:t>
            </w:r>
          </w:p>
        </w:tc>
      </w:tr>
      <w:tr w:rsidR="00892C10" w:rsidRPr="00262015" w14:paraId="600D959F" w14:textId="77777777" w:rsidTr="00FD5249">
        <w:trPr>
          <w:trHeight w:val="260"/>
        </w:trPr>
        <w:tc>
          <w:tcPr>
            <w:tcW w:w="1720" w:type="dxa"/>
            <w:tcBorders>
              <w:top w:val="nil"/>
              <w:left w:val="nil"/>
              <w:bottom w:val="nil"/>
              <w:right w:val="nil"/>
            </w:tcBorders>
            <w:shd w:val="clear" w:color="auto" w:fill="auto"/>
            <w:vAlign w:val="center"/>
            <w:hideMark/>
          </w:tcPr>
          <w:p w14:paraId="427FA46E"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SPLRCREC</w:t>
            </w:r>
          </w:p>
        </w:tc>
        <w:tc>
          <w:tcPr>
            <w:tcW w:w="1720" w:type="dxa"/>
            <w:tcBorders>
              <w:top w:val="nil"/>
              <w:left w:val="nil"/>
              <w:bottom w:val="nil"/>
              <w:right w:val="nil"/>
            </w:tcBorders>
            <w:shd w:val="clear" w:color="auto" w:fill="auto"/>
            <w:vAlign w:val="center"/>
            <w:hideMark/>
          </w:tcPr>
          <w:p w14:paraId="35D3E77A" w14:textId="5883E95A"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-0.1400</w:t>
            </w:r>
          </w:p>
        </w:tc>
        <w:tc>
          <w:tcPr>
            <w:tcW w:w="1720" w:type="dxa"/>
            <w:tcBorders>
              <w:top w:val="nil"/>
              <w:left w:val="nil"/>
              <w:bottom w:val="nil"/>
              <w:right w:val="nil"/>
            </w:tcBorders>
            <w:shd w:val="clear" w:color="auto" w:fill="auto"/>
            <w:vAlign w:val="center"/>
            <w:hideMark/>
          </w:tcPr>
          <w:p w14:paraId="1D641328" w14:textId="203AE6E0"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1.9402</w:t>
            </w:r>
          </w:p>
        </w:tc>
        <w:tc>
          <w:tcPr>
            <w:tcW w:w="1720" w:type="dxa"/>
            <w:tcBorders>
              <w:top w:val="nil"/>
              <w:left w:val="nil"/>
              <w:bottom w:val="nil"/>
              <w:right w:val="nil"/>
            </w:tcBorders>
            <w:shd w:val="clear" w:color="auto" w:fill="auto"/>
            <w:vAlign w:val="center"/>
            <w:hideMark/>
          </w:tcPr>
          <w:p w14:paraId="233FA539" w14:textId="41F71D35"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-5.7513</w:t>
            </w:r>
          </w:p>
        </w:tc>
        <w:tc>
          <w:tcPr>
            <w:tcW w:w="1720" w:type="dxa"/>
            <w:tcBorders>
              <w:top w:val="nil"/>
              <w:left w:val="nil"/>
              <w:bottom w:val="nil"/>
              <w:right w:val="nil"/>
            </w:tcBorders>
            <w:shd w:val="clear" w:color="auto" w:fill="auto"/>
            <w:vAlign w:val="center"/>
            <w:hideMark/>
          </w:tcPr>
          <w:p w14:paraId="5BB23E51" w14:textId="64F87C5B"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4.9313</w:t>
            </w:r>
          </w:p>
        </w:tc>
      </w:tr>
      <w:tr w:rsidR="00892C10" w:rsidRPr="00262015" w14:paraId="34FBFFBB" w14:textId="77777777" w:rsidTr="00FD5249">
        <w:trPr>
          <w:trHeight w:val="270"/>
        </w:trPr>
        <w:tc>
          <w:tcPr>
            <w:tcW w:w="1720" w:type="dxa"/>
            <w:tcBorders>
              <w:top w:val="nil"/>
              <w:left w:val="nil"/>
              <w:bottom w:val="single" w:sz="8" w:space="0" w:color="auto"/>
              <w:right w:val="nil"/>
            </w:tcBorders>
            <w:shd w:val="clear" w:color="auto" w:fill="auto"/>
            <w:vAlign w:val="center"/>
            <w:hideMark/>
          </w:tcPr>
          <w:p w14:paraId="0431D9B2"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SPX</w:t>
            </w:r>
          </w:p>
        </w:tc>
        <w:tc>
          <w:tcPr>
            <w:tcW w:w="1720" w:type="dxa"/>
            <w:tcBorders>
              <w:top w:val="nil"/>
              <w:left w:val="nil"/>
              <w:bottom w:val="single" w:sz="8" w:space="0" w:color="auto"/>
              <w:right w:val="nil"/>
            </w:tcBorders>
            <w:shd w:val="clear" w:color="auto" w:fill="auto"/>
            <w:vAlign w:val="center"/>
            <w:hideMark/>
          </w:tcPr>
          <w:p w14:paraId="0779287B" w14:textId="14FC74BB"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-0.3742</w:t>
            </w:r>
          </w:p>
        </w:tc>
        <w:tc>
          <w:tcPr>
            <w:tcW w:w="1720" w:type="dxa"/>
            <w:tcBorders>
              <w:top w:val="nil"/>
              <w:left w:val="nil"/>
              <w:bottom w:val="single" w:sz="8" w:space="0" w:color="auto"/>
              <w:right w:val="nil"/>
            </w:tcBorders>
            <w:shd w:val="clear" w:color="auto" w:fill="auto"/>
            <w:vAlign w:val="center"/>
            <w:hideMark/>
          </w:tcPr>
          <w:p w14:paraId="4E12AD9B" w14:textId="3E62B862"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1.9746</w:t>
            </w:r>
          </w:p>
        </w:tc>
        <w:tc>
          <w:tcPr>
            <w:tcW w:w="1720" w:type="dxa"/>
            <w:tcBorders>
              <w:top w:val="nil"/>
              <w:left w:val="nil"/>
              <w:bottom w:val="single" w:sz="8" w:space="0" w:color="auto"/>
              <w:right w:val="nil"/>
            </w:tcBorders>
            <w:shd w:val="clear" w:color="auto" w:fill="auto"/>
            <w:vAlign w:val="center"/>
            <w:hideMark/>
          </w:tcPr>
          <w:p w14:paraId="3D9AF29E" w14:textId="243FCA2C"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-4.5168</w:t>
            </w:r>
          </w:p>
        </w:tc>
        <w:tc>
          <w:tcPr>
            <w:tcW w:w="1720" w:type="dxa"/>
            <w:tcBorders>
              <w:top w:val="nil"/>
              <w:left w:val="nil"/>
              <w:bottom w:val="single" w:sz="8" w:space="0" w:color="auto"/>
              <w:right w:val="nil"/>
            </w:tcBorders>
            <w:shd w:val="clear" w:color="auto" w:fill="auto"/>
            <w:vAlign w:val="center"/>
            <w:hideMark/>
          </w:tcPr>
          <w:p w14:paraId="7C5A7308" w14:textId="159F3555"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4.5011</w:t>
            </w:r>
          </w:p>
        </w:tc>
      </w:tr>
      <w:tr w:rsidR="00536FD3" w:rsidRPr="00262015" w14:paraId="6CDD5E66" w14:textId="77777777" w:rsidTr="00FD5249">
        <w:trPr>
          <w:trHeight w:val="290"/>
        </w:trPr>
        <w:tc>
          <w:tcPr>
            <w:tcW w:w="8600" w:type="dxa"/>
            <w:gridSpan w:val="5"/>
            <w:tcBorders>
              <w:top w:val="single" w:sz="8" w:space="0" w:color="auto"/>
              <w:left w:val="nil"/>
              <w:bottom w:val="nil"/>
              <w:right w:val="nil"/>
            </w:tcBorders>
            <w:shd w:val="clear" w:color="auto" w:fill="auto"/>
            <w:vAlign w:val="center"/>
            <w:hideMark/>
          </w:tcPr>
          <w:p w14:paraId="428E6C4B" w14:textId="4355C016" w:rsidR="00536FD3" w:rsidRPr="004F7679" w:rsidRDefault="00536FD3" w:rsidP="00FD5249">
            <w:pPr>
              <w:spacing w:line="240" w:lineRule="auto"/>
              <w:rPr>
                <w:rFonts w:ascii="Times New Roman" w:eastAsia="Times New Roman" w:hAnsi="Times New Roman" w:cs="Times New Roman"/>
                <w:bCs/>
                <w:color w:val="000000"/>
                <w:sz w:val="20"/>
                <w:szCs w:val="20"/>
              </w:rPr>
            </w:pPr>
            <w:r w:rsidRPr="004F7679">
              <w:rPr>
                <w:rFonts w:ascii="Times New Roman" w:eastAsia="Times New Roman" w:hAnsi="Times New Roman" w:cs="Times New Roman"/>
                <w:bCs/>
                <w:color w:val="000000"/>
                <w:sz w:val="20"/>
                <w:szCs w:val="20"/>
              </w:rPr>
              <w:t>Source: author's calculation</w:t>
            </w:r>
            <w:r w:rsidR="00C24195">
              <w:rPr>
                <w:rFonts w:ascii="Times New Roman" w:eastAsia="Times New Roman" w:hAnsi="Times New Roman" w:cs="Times New Roman"/>
                <w:bCs/>
                <w:color w:val="000000"/>
                <w:sz w:val="20"/>
                <w:szCs w:val="20"/>
              </w:rPr>
              <w:t xml:space="preserve"> of data from investing.com</w:t>
            </w:r>
            <w:r w:rsidRPr="004F7679">
              <w:rPr>
                <w:rFonts w:ascii="Times New Roman" w:eastAsia="Times New Roman" w:hAnsi="Times New Roman" w:cs="Times New Roman"/>
                <w:bCs/>
                <w:color w:val="000000"/>
                <w:sz w:val="20"/>
                <w:szCs w:val="20"/>
              </w:rPr>
              <w:t>; the event date is January 23, 2020</w:t>
            </w:r>
          </w:p>
        </w:tc>
      </w:tr>
    </w:tbl>
    <w:p w14:paraId="16A7496A" w14:textId="1B99F896" w:rsidR="00F6176E" w:rsidRPr="00262015" w:rsidRDefault="00F6176E">
      <w:pPr>
        <w:rPr>
          <w:rFonts w:ascii="Times New Roman" w:eastAsia="Times New Roman" w:hAnsi="Times New Roman" w:cs="Times New Roman"/>
          <w:bCs/>
          <w:sz w:val="24"/>
          <w:szCs w:val="24"/>
        </w:rPr>
      </w:pPr>
    </w:p>
    <w:p w14:paraId="5A1638F3" w14:textId="19423EA5" w:rsidR="00F6176E" w:rsidRPr="00262015" w:rsidRDefault="00F6176E">
      <w:pPr>
        <w:rPr>
          <w:rFonts w:ascii="Times New Roman" w:eastAsia="Times New Roman" w:hAnsi="Times New Roman" w:cs="Times New Roman"/>
          <w:bCs/>
          <w:sz w:val="24"/>
          <w:szCs w:val="24"/>
        </w:rPr>
      </w:pPr>
    </w:p>
    <w:p w14:paraId="58309700" w14:textId="77777777" w:rsidR="00C53D39" w:rsidRPr="00212403" w:rsidRDefault="00C53D39">
      <w:pPr>
        <w:rPr>
          <w:rFonts w:ascii="Times New Roman" w:eastAsia="Times New Roman" w:hAnsi="Times New Roman" w:cs="Times New Roman"/>
          <w:b/>
          <w:sz w:val="28"/>
          <w:szCs w:val="28"/>
        </w:rPr>
      </w:pPr>
      <w:r w:rsidRPr="00212403">
        <w:rPr>
          <w:rFonts w:ascii="Times New Roman" w:eastAsia="Times New Roman" w:hAnsi="Times New Roman" w:cs="Times New Roman"/>
          <w:b/>
          <w:sz w:val="28"/>
          <w:szCs w:val="28"/>
        </w:rPr>
        <w:t>5. Event Study Results</w:t>
      </w:r>
    </w:p>
    <w:p w14:paraId="1D4AD24E" w14:textId="77777777" w:rsidR="00C53D39" w:rsidRPr="00262015" w:rsidRDefault="00C53D39">
      <w:pPr>
        <w:rPr>
          <w:rFonts w:ascii="Times New Roman" w:eastAsia="Times New Roman" w:hAnsi="Times New Roman" w:cs="Times New Roman"/>
          <w:bCs/>
          <w:sz w:val="24"/>
          <w:szCs w:val="24"/>
        </w:rPr>
      </w:pPr>
    </w:p>
    <w:p w14:paraId="5BB56F91" w14:textId="174183F3" w:rsidR="0047544A" w:rsidRPr="00212403" w:rsidRDefault="00C53D39">
      <w:pPr>
        <w:rPr>
          <w:rFonts w:ascii="Times New Roman" w:eastAsia="Times New Roman" w:hAnsi="Times New Roman" w:cs="Times New Roman"/>
          <w:b/>
          <w:sz w:val="24"/>
          <w:szCs w:val="24"/>
        </w:rPr>
      </w:pPr>
      <w:r w:rsidRPr="00212403">
        <w:rPr>
          <w:rFonts w:ascii="Times New Roman" w:eastAsia="Times New Roman" w:hAnsi="Times New Roman" w:cs="Times New Roman"/>
          <w:b/>
          <w:sz w:val="24"/>
          <w:szCs w:val="24"/>
        </w:rPr>
        <w:t xml:space="preserve">5.1 </w:t>
      </w:r>
      <w:r w:rsidR="00762960" w:rsidRPr="00212403">
        <w:rPr>
          <w:rFonts w:ascii="Times New Roman" w:eastAsia="Times New Roman" w:hAnsi="Times New Roman" w:cs="Times New Roman"/>
          <w:b/>
          <w:sz w:val="24"/>
          <w:szCs w:val="24"/>
        </w:rPr>
        <w:t>A</w:t>
      </w:r>
      <w:r w:rsidR="00B64C4D" w:rsidRPr="00212403">
        <w:rPr>
          <w:rFonts w:ascii="Times New Roman" w:eastAsia="Times New Roman" w:hAnsi="Times New Roman" w:cs="Times New Roman"/>
          <w:b/>
          <w:sz w:val="24"/>
          <w:szCs w:val="24"/>
        </w:rPr>
        <w:t xml:space="preserve">bnormal Returns of GICS </w:t>
      </w:r>
      <w:r w:rsidR="005A2410" w:rsidRPr="00212403">
        <w:rPr>
          <w:rFonts w:ascii="Times New Roman" w:eastAsia="Times New Roman" w:hAnsi="Times New Roman" w:cs="Times New Roman"/>
          <w:b/>
          <w:sz w:val="24"/>
          <w:szCs w:val="24"/>
        </w:rPr>
        <w:t>Sectors</w:t>
      </w:r>
    </w:p>
    <w:p w14:paraId="55CD75F8" w14:textId="6747627D" w:rsidR="00F2190E" w:rsidRPr="00262015" w:rsidRDefault="00F2190E">
      <w:pPr>
        <w:rPr>
          <w:rFonts w:ascii="Times New Roman" w:eastAsia="Times New Roman" w:hAnsi="Times New Roman" w:cs="Times New Roman"/>
          <w:bCs/>
          <w:sz w:val="24"/>
          <w:szCs w:val="24"/>
        </w:rPr>
      </w:pPr>
    </w:p>
    <w:p w14:paraId="1032C37C" w14:textId="174659B1" w:rsidR="00F2190E" w:rsidRPr="00262015" w:rsidRDefault="00F2190E">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The event’s impact on the sectors can be seen evidently in section </w:t>
      </w:r>
      <w:r w:rsidR="00961675">
        <w:rPr>
          <w:rFonts w:ascii="Times New Roman" w:eastAsia="Times New Roman" w:hAnsi="Times New Roman" w:cs="Times New Roman"/>
          <w:bCs/>
          <w:sz w:val="24"/>
          <w:szCs w:val="24"/>
        </w:rPr>
        <w:t>C</w:t>
      </w:r>
      <w:r w:rsidRPr="00262015">
        <w:rPr>
          <w:rFonts w:ascii="Times New Roman" w:eastAsia="Times New Roman" w:hAnsi="Times New Roman" w:cs="Times New Roman"/>
          <w:bCs/>
          <w:sz w:val="24"/>
          <w:szCs w:val="24"/>
        </w:rPr>
        <w:t xml:space="preserve">. of the appendix. It is seen clearly that after the event the standard deviation of abnormal returns substantially </w:t>
      </w:r>
      <w:r w:rsidR="00582F39" w:rsidRPr="00262015">
        <w:rPr>
          <w:rFonts w:ascii="Times New Roman" w:eastAsia="Times New Roman" w:hAnsi="Times New Roman" w:cs="Times New Roman"/>
          <w:bCs/>
          <w:sz w:val="24"/>
          <w:szCs w:val="24"/>
        </w:rPr>
        <w:t>increased</w:t>
      </w:r>
      <w:r w:rsidRPr="00262015">
        <w:rPr>
          <w:rFonts w:ascii="Times New Roman" w:eastAsia="Times New Roman" w:hAnsi="Times New Roman" w:cs="Times New Roman"/>
          <w:bCs/>
          <w:sz w:val="24"/>
          <w:szCs w:val="24"/>
        </w:rPr>
        <w:t xml:space="preserve"> signifying </w:t>
      </w:r>
      <w:r w:rsidR="00A13F0C" w:rsidRPr="00262015">
        <w:rPr>
          <w:rFonts w:ascii="Times New Roman" w:eastAsia="Times New Roman" w:hAnsi="Times New Roman" w:cs="Times New Roman"/>
          <w:bCs/>
          <w:sz w:val="24"/>
          <w:szCs w:val="24"/>
        </w:rPr>
        <w:t>uncertainty</w:t>
      </w:r>
      <w:r w:rsidRPr="00262015">
        <w:rPr>
          <w:rFonts w:ascii="Times New Roman" w:eastAsia="Times New Roman" w:hAnsi="Times New Roman" w:cs="Times New Roman"/>
          <w:bCs/>
          <w:sz w:val="24"/>
          <w:szCs w:val="24"/>
        </w:rPr>
        <w:t xml:space="preserve"> and speculation in the marke</w:t>
      </w:r>
      <w:r w:rsidR="00A13F0C" w:rsidRPr="00262015">
        <w:rPr>
          <w:rFonts w:ascii="Times New Roman" w:eastAsia="Times New Roman" w:hAnsi="Times New Roman" w:cs="Times New Roman"/>
          <w:bCs/>
          <w:sz w:val="24"/>
          <w:szCs w:val="24"/>
        </w:rPr>
        <w:t xml:space="preserve">t. Moreover, there is a period of greater volatility after a certain number of days as seen in the figures in section </w:t>
      </w:r>
      <w:r w:rsidR="00961675">
        <w:rPr>
          <w:rFonts w:ascii="Times New Roman" w:eastAsia="Times New Roman" w:hAnsi="Times New Roman" w:cs="Times New Roman"/>
          <w:bCs/>
          <w:sz w:val="24"/>
          <w:szCs w:val="24"/>
        </w:rPr>
        <w:t>C</w:t>
      </w:r>
      <w:r w:rsidR="00A13F0C" w:rsidRPr="00262015">
        <w:rPr>
          <w:rFonts w:ascii="Times New Roman" w:eastAsia="Times New Roman" w:hAnsi="Times New Roman" w:cs="Times New Roman"/>
          <w:bCs/>
          <w:sz w:val="24"/>
          <w:szCs w:val="24"/>
        </w:rPr>
        <w:t>. This is because of another significant event that took place on 25</w:t>
      </w:r>
      <w:r w:rsidR="00A13F0C" w:rsidRPr="00262015">
        <w:rPr>
          <w:rFonts w:ascii="Times New Roman" w:eastAsia="Times New Roman" w:hAnsi="Times New Roman" w:cs="Times New Roman"/>
          <w:bCs/>
          <w:sz w:val="24"/>
          <w:szCs w:val="24"/>
          <w:vertAlign w:val="superscript"/>
        </w:rPr>
        <w:t>th</w:t>
      </w:r>
      <w:r w:rsidR="00A13F0C" w:rsidRPr="00262015">
        <w:rPr>
          <w:rFonts w:ascii="Times New Roman" w:eastAsia="Times New Roman" w:hAnsi="Times New Roman" w:cs="Times New Roman"/>
          <w:bCs/>
          <w:sz w:val="24"/>
          <w:szCs w:val="24"/>
        </w:rPr>
        <w:t xml:space="preserve"> February 2020. </w:t>
      </w:r>
      <w:r w:rsidR="00EF4DC8" w:rsidRPr="00262015">
        <w:rPr>
          <w:rFonts w:ascii="Times New Roman" w:eastAsia="Times New Roman" w:hAnsi="Times New Roman" w:cs="Times New Roman"/>
          <w:bCs/>
          <w:sz w:val="24"/>
          <w:szCs w:val="24"/>
        </w:rPr>
        <w:t xml:space="preserve">CDC’s Dr. Nancy Messonnier, the incident manager for the COVID-19 response, held a telebriefing and braced the nation to expect mitigation efforts to contain the SARS-CoV-2 virus in the U.S. that may include school </w:t>
      </w:r>
      <w:r w:rsidR="00EF4DC8" w:rsidRPr="00262015">
        <w:rPr>
          <w:rFonts w:ascii="Times New Roman" w:eastAsia="Times New Roman" w:hAnsi="Times New Roman" w:cs="Times New Roman"/>
          <w:bCs/>
          <w:sz w:val="24"/>
          <w:szCs w:val="24"/>
        </w:rPr>
        <w:lastRenderedPageBreak/>
        <w:t>closings, workplace shutdowns, and the canceling of large gatherings and public events, stating that the “disruption to everyday life may be severe.” (“</w:t>
      </w:r>
      <w:r w:rsidR="00EF4DC8" w:rsidRPr="00262015">
        <w:rPr>
          <w:rFonts w:ascii="Times New Roman" w:eastAsia="Times New Roman" w:hAnsi="Times New Roman" w:cs="Times New Roman"/>
          <w:bCs/>
          <w:sz w:val="24"/>
          <w:szCs w:val="24"/>
          <w:lang w:val="en-US"/>
        </w:rPr>
        <w:t>CDC Museum</w:t>
      </w:r>
      <w:r w:rsidR="00EF4DC8" w:rsidRPr="00262015">
        <w:rPr>
          <w:rFonts w:ascii="Times New Roman" w:eastAsia="Times New Roman" w:hAnsi="Times New Roman" w:cs="Times New Roman"/>
          <w:bCs/>
          <w:sz w:val="24"/>
          <w:szCs w:val="24"/>
        </w:rPr>
        <w:t xml:space="preserve">”). The greater level of volatility after the second event compared to the first is illustrated in Table 3. The greater volatility is reasonable, as it can be attributed to the second event occurring in the US, unlike the first event which happened in China. </w:t>
      </w:r>
    </w:p>
    <w:p w14:paraId="2293B277" w14:textId="77777777" w:rsidR="00582F39" w:rsidRPr="00262015" w:rsidRDefault="00582F39">
      <w:pPr>
        <w:rPr>
          <w:rFonts w:ascii="Times New Roman" w:eastAsia="Times New Roman" w:hAnsi="Times New Roman" w:cs="Times New Roman"/>
          <w:bCs/>
          <w:sz w:val="24"/>
          <w:szCs w:val="24"/>
        </w:rPr>
      </w:pPr>
    </w:p>
    <w:p w14:paraId="5F72FB64" w14:textId="77777777" w:rsidR="002758C6" w:rsidRPr="00262015" w:rsidRDefault="00582F39">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The immediate </w:t>
      </w:r>
      <w:r w:rsidR="00747C7F" w:rsidRPr="00262015">
        <w:rPr>
          <w:rFonts w:ascii="Times New Roman" w:eastAsia="Times New Roman" w:hAnsi="Times New Roman" w:cs="Times New Roman"/>
          <w:bCs/>
          <w:sz w:val="24"/>
          <w:szCs w:val="24"/>
        </w:rPr>
        <w:t xml:space="preserve">and more intuitive reaction from the market is seen in the next day of the second event compared to the first. As seen in table 2, </w:t>
      </w:r>
      <w:r w:rsidR="00A515D0" w:rsidRPr="00262015">
        <w:rPr>
          <w:rFonts w:ascii="Times New Roman" w:eastAsia="Times New Roman" w:hAnsi="Times New Roman" w:cs="Times New Roman"/>
          <w:bCs/>
          <w:sz w:val="24"/>
          <w:szCs w:val="24"/>
        </w:rPr>
        <w:t xml:space="preserve">after the first event, </w:t>
      </w:r>
      <w:r w:rsidR="001F4702" w:rsidRPr="00262015">
        <w:rPr>
          <w:rFonts w:ascii="Times New Roman" w:eastAsia="Times New Roman" w:hAnsi="Times New Roman" w:cs="Times New Roman"/>
          <w:bCs/>
          <w:sz w:val="24"/>
          <w:szCs w:val="24"/>
        </w:rPr>
        <w:t>the</w:t>
      </w:r>
      <w:r w:rsidR="00747C7F" w:rsidRPr="00262015">
        <w:rPr>
          <w:rFonts w:ascii="Times New Roman" w:eastAsia="Times New Roman" w:hAnsi="Times New Roman" w:cs="Times New Roman"/>
          <w:bCs/>
          <w:sz w:val="24"/>
          <w:szCs w:val="24"/>
        </w:rPr>
        <w:t xml:space="preserve"> abnormal return</w:t>
      </w:r>
      <w:r w:rsidR="00A515D0" w:rsidRPr="00262015">
        <w:rPr>
          <w:rFonts w:ascii="Times New Roman" w:eastAsia="Times New Roman" w:hAnsi="Times New Roman" w:cs="Times New Roman"/>
          <w:bCs/>
          <w:sz w:val="24"/>
          <w:szCs w:val="24"/>
        </w:rPr>
        <w:t xml:space="preserve"> </w:t>
      </w:r>
      <w:r w:rsidR="00747C7F" w:rsidRPr="00262015">
        <w:rPr>
          <w:rFonts w:ascii="Times New Roman" w:eastAsia="Times New Roman" w:hAnsi="Times New Roman" w:cs="Times New Roman"/>
          <w:bCs/>
          <w:sz w:val="24"/>
          <w:szCs w:val="24"/>
        </w:rPr>
        <w:t>increases from -0.3402 to -0.0896</w:t>
      </w:r>
      <w:r w:rsidR="00A515D0" w:rsidRPr="00262015">
        <w:rPr>
          <w:rFonts w:ascii="Times New Roman" w:eastAsia="Times New Roman" w:hAnsi="Times New Roman" w:cs="Times New Roman"/>
          <w:bCs/>
          <w:sz w:val="24"/>
          <w:szCs w:val="24"/>
        </w:rPr>
        <w:t xml:space="preserve"> for energy index (SPNY) and decreases from -0.6425 to -0.9993 for health care index (SPXHC). In contrast, after the second event, the abnormal return decreases from -1.0832 to -2.4762 for energy index (SPNY) and increases from -0.5279 to 0.1549 for health care index (SPXHC).</w:t>
      </w:r>
      <w:r w:rsidR="001F4702" w:rsidRPr="00262015">
        <w:rPr>
          <w:rFonts w:ascii="Times New Roman" w:eastAsia="Times New Roman" w:hAnsi="Times New Roman" w:cs="Times New Roman"/>
          <w:bCs/>
          <w:sz w:val="24"/>
          <w:szCs w:val="24"/>
        </w:rPr>
        <w:t xml:space="preserve"> With a possibility of a lockdown, it is rational to see the market expect the energy index to go down and health care index to </w:t>
      </w:r>
      <w:r w:rsidR="00181B53" w:rsidRPr="00262015">
        <w:rPr>
          <w:rFonts w:ascii="Times New Roman" w:eastAsia="Times New Roman" w:hAnsi="Times New Roman" w:cs="Times New Roman"/>
          <w:bCs/>
          <w:sz w:val="24"/>
          <w:szCs w:val="24"/>
        </w:rPr>
        <w:t>go</w:t>
      </w:r>
      <w:r w:rsidR="001F4702" w:rsidRPr="00262015">
        <w:rPr>
          <w:rFonts w:ascii="Times New Roman" w:eastAsia="Times New Roman" w:hAnsi="Times New Roman" w:cs="Times New Roman"/>
          <w:bCs/>
          <w:sz w:val="24"/>
          <w:szCs w:val="24"/>
        </w:rPr>
        <w:t xml:space="preserve"> up. </w:t>
      </w:r>
    </w:p>
    <w:p w14:paraId="309E07E1" w14:textId="77777777" w:rsidR="002758C6" w:rsidRPr="00262015" w:rsidRDefault="002758C6">
      <w:pPr>
        <w:rPr>
          <w:rFonts w:ascii="Times New Roman" w:eastAsia="Times New Roman" w:hAnsi="Times New Roman" w:cs="Times New Roman"/>
          <w:bCs/>
          <w:sz w:val="24"/>
          <w:szCs w:val="24"/>
        </w:rPr>
      </w:pPr>
    </w:p>
    <w:p w14:paraId="2888FA48" w14:textId="6A790B61" w:rsidR="00EF4DC8" w:rsidRPr="00B43BC5" w:rsidRDefault="00181B53">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The energy sector comprises of oil and gas products and services as seen in Table A1 in the appendix. Most of the energy resources are utilized for transportation and industrials (see appendix </w:t>
      </w:r>
      <w:r w:rsidR="00810DF1">
        <w:rPr>
          <w:rFonts w:ascii="Times New Roman" w:eastAsia="Times New Roman" w:hAnsi="Times New Roman" w:cs="Times New Roman"/>
          <w:bCs/>
          <w:sz w:val="24"/>
          <w:szCs w:val="24"/>
        </w:rPr>
        <w:t xml:space="preserve">section </w:t>
      </w:r>
      <w:r w:rsidR="00961675">
        <w:rPr>
          <w:rFonts w:ascii="Times New Roman" w:eastAsia="Times New Roman" w:hAnsi="Times New Roman" w:cs="Times New Roman"/>
          <w:bCs/>
          <w:sz w:val="24"/>
          <w:szCs w:val="24"/>
        </w:rPr>
        <w:t>D</w:t>
      </w:r>
      <w:r w:rsidR="00810DF1">
        <w:rPr>
          <w:rFonts w:ascii="Times New Roman" w:eastAsia="Times New Roman" w:hAnsi="Times New Roman" w:cs="Times New Roman"/>
          <w:bCs/>
          <w:sz w:val="24"/>
          <w:szCs w:val="24"/>
        </w:rPr>
        <w:t>.</w:t>
      </w:r>
      <w:r w:rsidRPr="00262015">
        <w:rPr>
          <w:rFonts w:ascii="Times New Roman" w:eastAsia="Times New Roman" w:hAnsi="Times New Roman" w:cs="Times New Roman"/>
          <w:bCs/>
          <w:sz w:val="24"/>
          <w:szCs w:val="24"/>
        </w:rPr>
        <w:t xml:space="preserve">). With an expectation of a </w:t>
      </w:r>
      <w:r w:rsidR="00085423" w:rsidRPr="00262015">
        <w:rPr>
          <w:rFonts w:ascii="Times New Roman" w:eastAsia="Times New Roman" w:hAnsi="Times New Roman" w:cs="Times New Roman"/>
          <w:bCs/>
          <w:sz w:val="24"/>
          <w:szCs w:val="24"/>
        </w:rPr>
        <w:t>countrywide</w:t>
      </w:r>
      <w:r w:rsidRPr="00262015">
        <w:rPr>
          <w:rFonts w:ascii="Times New Roman" w:eastAsia="Times New Roman" w:hAnsi="Times New Roman" w:cs="Times New Roman"/>
          <w:bCs/>
          <w:sz w:val="24"/>
          <w:szCs w:val="24"/>
        </w:rPr>
        <w:t xml:space="preserve"> lockdown, </w:t>
      </w:r>
      <w:r w:rsidR="00085423" w:rsidRPr="00262015">
        <w:rPr>
          <w:rFonts w:ascii="Times New Roman" w:eastAsia="Times New Roman" w:hAnsi="Times New Roman" w:cs="Times New Roman"/>
          <w:bCs/>
          <w:sz w:val="24"/>
          <w:szCs w:val="24"/>
        </w:rPr>
        <w:t xml:space="preserve">transportation and industrial activities are expected to go down, ultimately, driving the demand for oil and gas down. This will have implications for earnings for the Energy sector, which is reflected in the decrease in abnormal returns of SPNY on the day after the announcement on 26 Feb 2020. Moreover, with the increasing severity and profound measures taken by the country it is intuitive to expect the demand for health care to increase in the future. This is evident in the increase in abnormal returns of SPXHC on the day after the US announcement. </w:t>
      </w:r>
    </w:p>
    <w:p w14:paraId="6670FB19" w14:textId="77777777" w:rsidR="005A2410" w:rsidRPr="00262015" w:rsidRDefault="005A2410">
      <w:pPr>
        <w:rPr>
          <w:rFonts w:ascii="Times New Roman" w:eastAsia="Times New Roman" w:hAnsi="Times New Roman" w:cs="Times New Roman"/>
          <w:bCs/>
          <w:sz w:val="24"/>
          <w:szCs w:val="24"/>
        </w:rPr>
      </w:pPr>
    </w:p>
    <w:p w14:paraId="1C9EDFC6" w14:textId="239A7507" w:rsidR="000438B0" w:rsidRPr="00892C10" w:rsidRDefault="005A2410">
      <w:pPr>
        <w:rPr>
          <w:rFonts w:ascii="Times New Roman" w:eastAsia="Times New Roman" w:hAnsi="Times New Roman" w:cs="Times New Roman"/>
          <w:bCs/>
          <w:sz w:val="24"/>
          <w:szCs w:val="24"/>
        </w:rPr>
      </w:pPr>
      <w:r w:rsidRPr="00892C10">
        <w:rPr>
          <w:rFonts w:ascii="Times New Roman" w:eastAsia="Times New Roman" w:hAnsi="Times New Roman" w:cs="Times New Roman"/>
          <w:b/>
          <w:sz w:val="24"/>
          <w:szCs w:val="24"/>
        </w:rPr>
        <w:t>Table 3</w:t>
      </w:r>
      <w:r w:rsidRPr="00892C10">
        <w:rPr>
          <w:rFonts w:ascii="Times New Roman" w:eastAsia="Times New Roman" w:hAnsi="Times New Roman" w:cs="Times New Roman"/>
          <w:bCs/>
          <w:sz w:val="24"/>
          <w:szCs w:val="24"/>
        </w:rPr>
        <w:t xml:space="preserve"> Abnormal returns of selected indices </w:t>
      </w:r>
    </w:p>
    <w:tbl>
      <w:tblPr>
        <w:tblW w:w="8320" w:type="dxa"/>
        <w:tblLook w:val="04A0" w:firstRow="1" w:lastRow="0" w:firstColumn="1" w:lastColumn="0" w:noHBand="0" w:noVBand="1"/>
      </w:tblPr>
      <w:tblGrid>
        <w:gridCol w:w="1696"/>
        <w:gridCol w:w="1696"/>
        <w:gridCol w:w="1696"/>
        <w:gridCol w:w="1696"/>
        <w:gridCol w:w="1536"/>
      </w:tblGrid>
      <w:tr w:rsidR="00892C10" w:rsidRPr="00892C10" w14:paraId="5EB97808" w14:textId="77777777" w:rsidTr="00892C10">
        <w:trPr>
          <w:trHeight w:val="320"/>
        </w:trPr>
        <w:tc>
          <w:tcPr>
            <w:tcW w:w="1696" w:type="dxa"/>
            <w:tcBorders>
              <w:top w:val="single" w:sz="8" w:space="0" w:color="auto"/>
              <w:left w:val="nil"/>
              <w:bottom w:val="single" w:sz="8" w:space="0" w:color="auto"/>
              <w:right w:val="nil"/>
            </w:tcBorders>
            <w:shd w:val="clear" w:color="auto" w:fill="auto"/>
            <w:noWrap/>
            <w:vAlign w:val="bottom"/>
            <w:hideMark/>
          </w:tcPr>
          <w:p w14:paraId="138712AE"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 xml:space="preserve">Indices (GICS) </w:t>
            </w:r>
          </w:p>
        </w:tc>
        <w:tc>
          <w:tcPr>
            <w:tcW w:w="1696" w:type="dxa"/>
            <w:tcBorders>
              <w:top w:val="single" w:sz="8" w:space="0" w:color="auto"/>
              <w:left w:val="nil"/>
              <w:bottom w:val="single" w:sz="8" w:space="0" w:color="auto"/>
              <w:right w:val="nil"/>
            </w:tcBorders>
            <w:shd w:val="clear" w:color="auto" w:fill="auto"/>
            <w:noWrap/>
            <w:vAlign w:val="bottom"/>
            <w:hideMark/>
          </w:tcPr>
          <w:p w14:paraId="3FE44BBE"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23 Jan, 2020</w:t>
            </w:r>
          </w:p>
        </w:tc>
        <w:tc>
          <w:tcPr>
            <w:tcW w:w="1696" w:type="dxa"/>
            <w:tcBorders>
              <w:top w:val="single" w:sz="8" w:space="0" w:color="auto"/>
              <w:left w:val="nil"/>
              <w:bottom w:val="single" w:sz="8" w:space="0" w:color="auto"/>
              <w:right w:val="nil"/>
            </w:tcBorders>
            <w:shd w:val="clear" w:color="auto" w:fill="auto"/>
            <w:noWrap/>
            <w:vAlign w:val="bottom"/>
            <w:hideMark/>
          </w:tcPr>
          <w:p w14:paraId="343A8A25"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24 Jan, 2020</w:t>
            </w:r>
          </w:p>
        </w:tc>
        <w:tc>
          <w:tcPr>
            <w:tcW w:w="1696" w:type="dxa"/>
            <w:tcBorders>
              <w:top w:val="single" w:sz="8" w:space="0" w:color="auto"/>
              <w:left w:val="nil"/>
              <w:bottom w:val="single" w:sz="8" w:space="0" w:color="auto"/>
              <w:right w:val="nil"/>
            </w:tcBorders>
            <w:shd w:val="clear" w:color="auto" w:fill="auto"/>
            <w:noWrap/>
            <w:vAlign w:val="bottom"/>
            <w:hideMark/>
          </w:tcPr>
          <w:p w14:paraId="44D28A47"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 xml:space="preserve">25 Feb, 2020 </w:t>
            </w:r>
          </w:p>
        </w:tc>
        <w:tc>
          <w:tcPr>
            <w:tcW w:w="1536" w:type="dxa"/>
            <w:tcBorders>
              <w:top w:val="single" w:sz="8" w:space="0" w:color="auto"/>
              <w:left w:val="nil"/>
              <w:bottom w:val="single" w:sz="8" w:space="0" w:color="auto"/>
              <w:right w:val="nil"/>
            </w:tcBorders>
            <w:shd w:val="clear" w:color="auto" w:fill="auto"/>
            <w:noWrap/>
            <w:vAlign w:val="bottom"/>
            <w:hideMark/>
          </w:tcPr>
          <w:p w14:paraId="5C0FA1A7"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26 Feb, 2020</w:t>
            </w:r>
          </w:p>
        </w:tc>
      </w:tr>
      <w:tr w:rsidR="00892C10" w:rsidRPr="00892C10" w14:paraId="6722809E" w14:textId="77777777" w:rsidTr="00892C10">
        <w:trPr>
          <w:trHeight w:val="310"/>
        </w:trPr>
        <w:tc>
          <w:tcPr>
            <w:tcW w:w="1696" w:type="dxa"/>
            <w:tcBorders>
              <w:top w:val="nil"/>
              <w:left w:val="nil"/>
              <w:bottom w:val="nil"/>
              <w:right w:val="nil"/>
            </w:tcBorders>
            <w:shd w:val="clear" w:color="auto" w:fill="auto"/>
            <w:vAlign w:val="center"/>
            <w:hideMark/>
          </w:tcPr>
          <w:p w14:paraId="0C3EA81F"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SPNY</w:t>
            </w:r>
          </w:p>
        </w:tc>
        <w:tc>
          <w:tcPr>
            <w:tcW w:w="1696" w:type="dxa"/>
            <w:tcBorders>
              <w:top w:val="nil"/>
              <w:left w:val="nil"/>
              <w:bottom w:val="nil"/>
              <w:right w:val="nil"/>
            </w:tcBorders>
            <w:shd w:val="clear" w:color="auto" w:fill="auto"/>
            <w:noWrap/>
            <w:vAlign w:val="bottom"/>
            <w:hideMark/>
          </w:tcPr>
          <w:p w14:paraId="5AC45F3D"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-0.3402</w:t>
            </w:r>
          </w:p>
        </w:tc>
        <w:tc>
          <w:tcPr>
            <w:tcW w:w="1696" w:type="dxa"/>
            <w:tcBorders>
              <w:top w:val="nil"/>
              <w:left w:val="nil"/>
              <w:bottom w:val="nil"/>
              <w:right w:val="nil"/>
            </w:tcBorders>
            <w:shd w:val="clear" w:color="auto" w:fill="auto"/>
            <w:noWrap/>
            <w:vAlign w:val="bottom"/>
            <w:hideMark/>
          </w:tcPr>
          <w:p w14:paraId="3A8686EB"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-0.0896</w:t>
            </w:r>
          </w:p>
        </w:tc>
        <w:tc>
          <w:tcPr>
            <w:tcW w:w="1696" w:type="dxa"/>
            <w:tcBorders>
              <w:top w:val="nil"/>
              <w:left w:val="nil"/>
              <w:bottom w:val="nil"/>
              <w:right w:val="nil"/>
            </w:tcBorders>
            <w:shd w:val="clear" w:color="auto" w:fill="auto"/>
            <w:noWrap/>
            <w:vAlign w:val="bottom"/>
            <w:hideMark/>
          </w:tcPr>
          <w:p w14:paraId="55F2C474"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-1.0832</w:t>
            </w:r>
          </w:p>
        </w:tc>
        <w:tc>
          <w:tcPr>
            <w:tcW w:w="1536" w:type="dxa"/>
            <w:tcBorders>
              <w:top w:val="nil"/>
              <w:left w:val="nil"/>
              <w:bottom w:val="nil"/>
              <w:right w:val="nil"/>
            </w:tcBorders>
            <w:shd w:val="clear" w:color="auto" w:fill="auto"/>
            <w:noWrap/>
            <w:vAlign w:val="bottom"/>
            <w:hideMark/>
          </w:tcPr>
          <w:p w14:paraId="5D67833C"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-2.4762</w:t>
            </w:r>
          </w:p>
        </w:tc>
      </w:tr>
      <w:tr w:rsidR="00892C10" w:rsidRPr="00892C10" w14:paraId="7A376B3B" w14:textId="77777777" w:rsidTr="00892C10">
        <w:trPr>
          <w:trHeight w:val="310"/>
        </w:trPr>
        <w:tc>
          <w:tcPr>
            <w:tcW w:w="1696" w:type="dxa"/>
            <w:tcBorders>
              <w:top w:val="nil"/>
              <w:left w:val="nil"/>
              <w:bottom w:val="nil"/>
              <w:right w:val="nil"/>
            </w:tcBorders>
            <w:shd w:val="clear" w:color="auto" w:fill="auto"/>
            <w:vAlign w:val="center"/>
            <w:hideMark/>
          </w:tcPr>
          <w:p w14:paraId="31AD15DA"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SPLRCM</w:t>
            </w:r>
          </w:p>
        </w:tc>
        <w:tc>
          <w:tcPr>
            <w:tcW w:w="1696" w:type="dxa"/>
            <w:tcBorders>
              <w:top w:val="nil"/>
              <w:left w:val="nil"/>
              <w:bottom w:val="nil"/>
              <w:right w:val="nil"/>
            </w:tcBorders>
            <w:shd w:val="clear" w:color="auto" w:fill="auto"/>
            <w:noWrap/>
            <w:vAlign w:val="bottom"/>
            <w:hideMark/>
          </w:tcPr>
          <w:p w14:paraId="582C079D"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-0.2278</w:t>
            </w:r>
          </w:p>
        </w:tc>
        <w:tc>
          <w:tcPr>
            <w:tcW w:w="1696" w:type="dxa"/>
            <w:tcBorders>
              <w:top w:val="nil"/>
              <w:left w:val="nil"/>
              <w:bottom w:val="nil"/>
              <w:right w:val="nil"/>
            </w:tcBorders>
            <w:shd w:val="clear" w:color="auto" w:fill="auto"/>
            <w:noWrap/>
            <w:vAlign w:val="bottom"/>
            <w:hideMark/>
          </w:tcPr>
          <w:p w14:paraId="2C2CED73"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0.2013</w:t>
            </w:r>
          </w:p>
        </w:tc>
        <w:tc>
          <w:tcPr>
            <w:tcW w:w="1696" w:type="dxa"/>
            <w:tcBorders>
              <w:top w:val="nil"/>
              <w:left w:val="nil"/>
              <w:bottom w:val="nil"/>
              <w:right w:val="nil"/>
            </w:tcBorders>
            <w:shd w:val="clear" w:color="auto" w:fill="auto"/>
            <w:noWrap/>
            <w:vAlign w:val="bottom"/>
            <w:hideMark/>
          </w:tcPr>
          <w:p w14:paraId="529E1F55"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-1.4233</w:t>
            </w:r>
          </w:p>
        </w:tc>
        <w:tc>
          <w:tcPr>
            <w:tcW w:w="1536" w:type="dxa"/>
            <w:tcBorders>
              <w:top w:val="nil"/>
              <w:left w:val="nil"/>
              <w:bottom w:val="nil"/>
              <w:right w:val="nil"/>
            </w:tcBorders>
            <w:shd w:val="clear" w:color="auto" w:fill="auto"/>
            <w:noWrap/>
            <w:vAlign w:val="bottom"/>
            <w:hideMark/>
          </w:tcPr>
          <w:p w14:paraId="1724CF75"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0.0416</w:t>
            </w:r>
          </w:p>
        </w:tc>
      </w:tr>
      <w:tr w:rsidR="00892C10" w:rsidRPr="00892C10" w14:paraId="47C24709" w14:textId="77777777" w:rsidTr="00892C10">
        <w:trPr>
          <w:trHeight w:val="310"/>
        </w:trPr>
        <w:tc>
          <w:tcPr>
            <w:tcW w:w="1696" w:type="dxa"/>
            <w:tcBorders>
              <w:top w:val="nil"/>
              <w:left w:val="nil"/>
              <w:bottom w:val="nil"/>
              <w:right w:val="nil"/>
            </w:tcBorders>
            <w:shd w:val="clear" w:color="auto" w:fill="auto"/>
            <w:vAlign w:val="center"/>
            <w:hideMark/>
          </w:tcPr>
          <w:p w14:paraId="3B19AB53"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SPLRCI</w:t>
            </w:r>
          </w:p>
        </w:tc>
        <w:tc>
          <w:tcPr>
            <w:tcW w:w="1696" w:type="dxa"/>
            <w:tcBorders>
              <w:top w:val="nil"/>
              <w:left w:val="nil"/>
              <w:bottom w:val="nil"/>
              <w:right w:val="nil"/>
            </w:tcBorders>
            <w:shd w:val="clear" w:color="auto" w:fill="auto"/>
            <w:noWrap/>
            <w:vAlign w:val="bottom"/>
            <w:hideMark/>
          </w:tcPr>
          <w:p w14:paraId="62CE506A"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1.0262</w:t>
            </w:r>
          </w:p>
        </w:tc>
        <w:tc>
          <w:tcPr>
            <w:tcW w:w="1696" w:type="dxa"/>
            <w:tcBorders>
              <w:top w:val="nil"/>
              <w:left w:val="nil"/>
              <w:bottom w:val="nil"/>
              <w:right w:val="nil"/>
            </w:tcBorders>
            <w:shd w:val="clear" w:color="auto" w:fill="auto"/>
            <w:noWrap/>
            <w:vAlign w:val="bottom"/>
            <w:hideMark/>
          </w:tcPr>
          <w:p w14:paraId="1FEFD45E"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0.5480</w:t>
            </w:r>
          </w:p>
        </w:tc>
        <w:tc>
          <w:tcPr>
            <w:tcW w:w="1696" w:type="dxa"/>
            <w:tcBorders>
              <w:top w:val="nil"/>
              <w:left w:val="nil"/>
              <w:bottom w:val="nil"/>
              <w:right w:val="nil"/>
            </w:tcBorders>
            <w:shd w:val="clear" w:color="auto" w:fill="auto"/>
            <w:noWrap/>
            <w:vAlign w:val="bottom"/>
            <w:hideMark/>
          </w:tcPr>
          <w:p w14:paraId="4EB2D62A"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-0.7165</w:t>
            </w:r>
          </w:p>
        </w:tc>
        <w:tc>
          <w:tcPr>
            <w:tcW w:w="1536" w:type="dxa"/>
            <w:tcBorders>
              <w:top w:val="nil"/>
              <w:left w:val="nil"/>
              <w:bottom w:val="nil"/>
              <w:right w:val="nil"/>
            </w:tcBorders>
            <w:shd w:val="clear" w:color="auto" w:fill="auto"/>
            <w:noWrap/>
            <w:vAlign w:val="bottom"/>
            <w:hideMark/>
          </w:tcPr>
          <w:p w14:paraId="3DCEF60E"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-0.3522</w:t>
            </w:r>
          </w:p>
        </w:tc>
      </w:tr>
      <w:tr w:rsidR="00892C10" w:rsidRPr="00892C10" w14:paraId="3E6C6770" w14:textId="77777777" w:rsidTr="00892C10">
        <w:trPr>
          <w:trHeight w:val="310"/>
        </w:trPr>
        <w:tc>
          <w:tcPr>
            <w:tcW w:w="1696" w:type="dxa"/>
            <w:tcBorders>
              <w:top w:val="nil"/>
              <w:left w:val="nil"/>
              <w:bottom w:val="nil"/>
              <w:right w:val="nil"/>
            </w:tcBorders>
            <w:shd w:val="clear" w:color="auto" w:fill="auto"/>
            <w:vAlign w:val="center"/>
            <w:hideMark/>
          </w:tcPr>
          <w:p w14:paraId="032BF6D8"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SPLRCD</w:t>
            </w:r>
          </w:p>
        </w:tc>
        <w:tc>
          <w:tcPr>
            <w:tcW w:w="1696" w:type="dxa"/>
            <w:tcBorders>
              <w:top w:val="nil"/>
              <w:left w:val="nil"/>
              <w:bottom w:val="nil"/>
              <w:right w:val="nil"/>
            </w:tcBorders>
            <w:shd w:val="clear" w:color="auto" w:fill="auto"/>
            <w:noWrap/>
            <w:vAlign w:val="bottom"/>
            <w:hideMark/>
          </w:tcPr>
          <w:p w14:paraId="48A97663"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0.0420</w:t>
            </w:r>
          </w:p>
        </w:tc>
        <w:tc>
          <w:tcPr>
            <w:tcW w:w="1696" w:type="dxa"/>
            <w:tcBorders>
              <w:top w:val="nil"/>
              <w:left w:val="nil"/>
              <w:bottom w:val="nil"/>
              <w:right w:val="nil"/>
            </w:tcBorders>
            <w:shd w:val="clear" w:color="auto" w:fill="auto"/>
            <w:noWrap/>
            <w:vAlign w:val="bottom"/>
            <w:hideMark/>
          </w:tcPr>
          <w:p w14:paraId="282F9D78"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-0.3558</w:t>
            </w:r>
          </w:p>
        </w:tc>
        <w:tc>
          <w:tcPr>
            <w:tcW w:w="1696" w:type="dxa"/>
            <w:tcBorders>
              <w:top w:val="nil"/>
              <w:left w:val="nil"/>
              <w:bottom w:val="nil"/>
              <w:right w:val="nil"/>
            </w:tcBorders>
            <w:shd w:val="clear" w:color="auto" w:fill="auto"/>
            <w:noWrap/>
            <w:vAlign w:val="bottom"/>
            <w:hideMark/>
          </w:tcPr>
          <w:p w14:paraId="45B8C57B"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0.5963</w:t>
            </w:r>
          </w:p>
        </w:tc>
        <w:tc>
          <w:tcPr>
            <w:tcW w:w="1536" w:type="dxa"/>
            <w:tcBorders>
              <w:top w:val="nil"/>
              <w:left w:val="nil"/>
              <w:bottom w:val="nil"/>
              <w:right w:val="nil"/>
            </w:tcBorders>
            <w:shd w:val="clear" w:color="auto" w:fill="auto"/>
            <w:noWrap/>
            <w:vAlign w:val="bottom"/>
            <w:hideMark/>
          </w:tcPr>
          <w:p w14:paraId="5C7CE50F"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-0.2619</w:t>
            </w:r>
          </w:p>
        </w:tc>
      </w:tr>
      <w:tr w:rsidR="00892C10" w:rsidRPr="00892C10" w14:paraId="57BC658E" w14:textId="77777777" w:rsidTr="00892C10">
        <w:trPr>
          <w:trHeight w:val="310"/>
        </w:trPr>
        <w:tc>
          <w:tcPr>
            <w:tcW w:w="1696" w:type="dxa"/>
            <w:tcBorders>
              <w:top w:val="nil"/>
              <w:left w:val="nil"/>
              <w:bottom w:val="nil"/>
              <w:right w:val="nil"/>
            </w:tcBorders>
            <w:shd w:val="clear" w:color="auto" w:fill="auto"/>
            <w:vAlign w:val="center"/>
            <w:hideMark/>
          </w:tcPr>
          <w:p w14:paraId="5FC8F83F"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SPLRCS</w:t>
            </w:r>
          </w:p>
        </w:tc>
        <w:tc>
          <w:tcPr>
            <w:tcW w:w="1696" w:type="dxa"/>
            <w:tcBorders>
              <w:top w:val="nil"/>
              <w:left w:val="nil"/>
              <w:bottom w:val="nil"/>
              <w:right w:val="nil"/>
            </w:tcBorders>
            <w:shd w:val="clear" w:color="auto" w:fill="auto"/>
            <w:noWrap/>
            <w:vAlign w:val="bottom"/>
            <w:hideMark/>
          </w:tcPr>
          <w:p w14:paraId="3BE86A72"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-0.3603</w:t>
            </w:r>
          </w:p>
        </w:tc>
        <w:tc>
          <w:tcPr>
            <w:tcW w:w="1696" w:type="dxa"/>
            <w:tcBorders>
              <w:top w:val="nil"/>
              <w:left w:val="nil"/>
              <w:bottom w:val="nil"/>
              <w:right w:val="nil"/>
            </w:tcBorders>
            <w:shd w:val="clear" w:color="auto" w:fill="auto"/>
            <w:noWrap/>
            <w:vAlign w:val="bottom"/>
            <w:hideMark/>
          </w:tcPr>
          <w:p w14:paraId="5E485DEC"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-0.1455</w:t>
            </w:r>
          </w:p>
        </w:tc>
        <w:tc>
          <w:tcPr>
            <w:tcW w:w="1696" w:type="dxa"/>
            <w:tcBorders>
              <w:top w:val="nil"/>
              <w:left w:val="nil"/>
              <w:bottom w:val="nil"/>
              <w:right w:val="nil"/>
            </w:tcBorders>
            <w:shd w:val="clear" w:color="auto" w:fill="auto"/>
            <w:noWrap/>
            <w:vAlign w:val="bottom"/>
            <w:hideMark/>
          </w:tcPr>
          <w:p w14:paraId="1947FDA7"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0.0176</w:t>
            </w:r>
          </w:p>
        </w:tc>
        <w:tc>
          <w:tcPr>
            <w:tcW w:w="1536" w:type="dxa"/>
            <w:tcBorders>
              <w:top w:val="nil"/>
              <w:left w:val="nil"/>
              <w:bottom w:val="nil"/>
              <w:right w:val="nil"/>
            </w:tcBorders>
            <w:shd w:val="clear" w:color="auto" w:fill="auto"/>
            <w:noWrap/>
            <w:vAlign w:val="bottom"/>
            <w:hideMark/>
          </w:tcPr>
          <w:p w14:paraId="79DABE1D"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-0.2941</w:t>
            </w:r>
          </w:p>
        </w:tc>
      </w:tr>
      <w:tr w:rsidR="00892C10" w:rsidRPr="00892C10" w14:paraId="76284CF9" w14:textId="77777777" w:rsidTr="00892C10">
        <w:trPr>
          <w:trHeight w:val="310"/>
        </w:trPr>
        <w:tc>
          <w:tcPr>
            <w:tcW w:w="1696" w:type="dxa"/>
            <w:tcBorders>
              <w:top w:val="nil"/>
              <w:left w:val="nil"/>
              <w:bottom w:val="nil"/>
              <w:right w:val="nil"/>
            </w:tcBorders>
            <w:shd w:val="clear" w:color="auto" w:fill="auto"/>
            <w:vAlign w:val="center"/>
            <w:hideMark/>
          </w:tcPr>
          <w:p w14:paraId="7190DEB6"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SPXHC</w:t>
            </w:r>
          </w:p>
        </w:tc>
        <w:tc>
          <w:tcPr>
            <w:tcW w:w="1696" w:type="dxa"/>
            <w:tcBorders>
              <w:top w:val="nil"/>
              <w:left w:val="nil"/>
              <w:bottom w:val="nil"/>
              <w:right w:val="nil"/>
            </w:tcBorders>
            <w:shd w:val="clear" w:color="auto" w:fill="auto"/>
            <w:noWrap/>
            <w:vAlign w:val="bottom"/>
            <w:hideMark/>
          </w:tcPr>
          <w:p w14:paraId="5DBCDC0F"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-0.6425</w:t>
            </w:r>
          </w:p>
        </w:tc>
        <w:tc>
          <w:tcPr>
            <w:tcW w:w="1696" w:type="dxa"/>
            <w:tcBorders>
              <w:top w:val="nil"/>
              <w:left w:val="nil"/>
              <w:bottom w:val="nil"/>
              <w:right w:val="nil"/>
            </w:tcBorders>
            <w:shd w:val="clear" w:color="auto" w:fill="auto"/>
            <w:noWrap/>
            <w:vAlign w:val="bottom"/>
            <w:hideMark/>
          </w:tcPr>
          <w:p w14:paraId="315313AD"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-0.9993</w:t>
            </w:r>
          </w:p>
        </w:tc>
        <w:tc>
          <w:tcPr>
            <w:tcW w:w="1696" w:type="dxa"/>
            <w:tcBorders>
              <w:top w:val="nil"/>
              <w:left w:val="nil"/>
              <w:bottom w:val="nil"/>
              <w:right w:val="nil"/>
            </w:tcBorders>
            <w:shd w:val="clear" w:color="auto" w:fill="auto"/>
            <w:noWrap/>
            <w:vAlign w:val="bottom"/>
            <w:hideMark/>
          </w:tcPr>
          <w:p w14:paraId="5B26A0B9"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-0.5279</w:t>
            </w:r>
          </w:p>
        </w:tc>
        <w:tc>
          <w:tcPr>
            <w:tcW w:w="1536" w:type="dxa"/>
            <w:tcBorders>
              <w:top w:val="nil"/>
              <w:left w:val="nil"/>
              <w:bottom w:val="nil"/>
              <w:right w:val="nil"/>
            </w:tcBorders>
            <w:shd w:val="clear" w:color="auto" w:fill="auto"/>
            <w:noWrap/>
            <w:vAlign w:val="bottom"/>
            <w:hideMark/>
          </w:tcPr>
          <w:p w14:paraId="73F0C0FB"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0.1549</w:t>
            </w:r>
          </w:p>
        </w:tc>
      </w:tr>
      <w:tr w:rsidR="00892C10" w:rsidRPr="00892C10" w14:paraId="646508E3" w14:textId="77777777" w:rsidTr="00892C10">
        <w:trPr>
          <w:trHeight w:val="310"/>
        </w:trPr>
        <w:tc>
          <w:tcPr>
            <w:tcW w:w="1696" w:type="dxa"/>
            <w:tcBorders>
              <w:top w:val="nil"/>
              <w:left w:val="nil"/>
              <w:bottom w:val="nil"/>
              <w:right w:val="nil"/>
            </w:tcBorders>
            <w:shd w:val="clear" w:color="auto" w:fill="auto"/>
            <w:vAlign w:val="center"/>
            <w:hideMark/>
          </w:tcPr>
          <w:p w14:paraId="031DECF7"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SPSY</w:t>
            </w:r>
          </w:p>
        </w:tc>
        <w:tc>
          <w:tcPr>
            <w:tcW w:w="1696" w:type="dxa"/>
            <w:tcBorders>
              <w:top w:val="nil"/>
              <w:left w:val="nil"/>
              <w:bottom w:val="nil"/>
              <w:right w:val="nil"/>
            </w:tcBorders>
            <w:shd w:val="clear" w:color="auto" w:fill="auto"/>
            <w:noWrap/>
            <w:vAlign w:val="bottom"/>
            <w:hideMark/>
          </w:tcPr>
          <w:p w14:paraId="2E1860A0"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-0.3711</w:t>
            </w:r>
          </w:p>
        </w:tc>
        <w:tc>
          <w:tcPr>
            <w:tcW w:w="1696" w:type="dxa"/>
            <w:tcBorders>
              <w:top w:val="nil"/>
              <w:left w:val="nil"/>
              <w:bottom w:val="nil"/>
              <w:right w:val="nil"/>
            </w:tcBorders>
            <w:shd w:val="clear" w:color="auto" w:fill="auto"/>
            <w:noWrap/>
            <w:vAlign w:val="bottom"/>
            <w:hideMark/>
          </w:tcPr>
          <w:p w14:paraId="783FA9FF"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-0.3931</w:t>
            </w:r>
          </w:p>
        </w:tc>
        <w:tc>
          <w:tcPr>
            <w:tcW w:w="1696" w:type="dxa"/>
            <w:tcBorders>
              <w:top w:val="nil"/>
              <w:left w:val="nil"/>
              <w:bottom w:val="nil"/>
              <w:right w:val="nil"/>
            </w:tcBorders>
            <w:shd w:val="clear" w:color="auto" w:fill="auto"/>
            <w:noWrap/>
            <w:vAlign w:val="bottom"/>
            <w:hideMark/>
          </w:tcPr>
          <w:p w14:paraId="3D69A49B"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-0.1240</w:t>
            </w:r>
          </w:p>
        </w:tc>
        <w:tc>
          <w:tcPr>
            <w:tcW w:w="1536" w:type="dxa"/>
            <w:tcBorders>
              <w:top w:val="nil"/>
              <w:left w:val="nil"/>
              <w:bottom w:val="nil"/>
              <w:right w:val="nil"/>
            </w:tcBorders>
            <w:shd w:val="clear" w:color="auto" w:fill="auto"/>
            <w:noWrap/>
            <w:vAlign w:val="bottom"/>
            <w:hideMark/>
          </w:tcPr>
          <w:p w14:paraId="18DCA9A6"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-0.2757</w:t>
            </w:r>
          </w:p>
        </w:tc>
      </w:tr>
      <w:tr w:rsidR="00892C10" w:rsidRPr="00892C10" w14:paraId="022734FD" w14:textId="77777777" w:rsidTr="00892C10">
        <w:trPr>
          <w:trHeight w:val="310"/>
        </w:trPr>
        <w:tc>
          <w:tcPr>
            <w:tcW w:w="1696" w:type="dxa"/>
            <w:tcBorders>
              <w:top w:val="nil"/>
              <w:left w:val="nil"/>
              <w:bottom w:val="nil"/>
              <w:right w:val="nil"/>
            </w:tcBorders>
            <w:shd w:val="clear" w:color="auto" w:fill="auto"/>
            <w:vAlign w:val="center"/>
            <w:hideMark/>
          </w:tcPr>
          <w:p w14:paraId="1312E687"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SPLRCT</w:t>
            </w:r>
          </w:p>
        </w:tc>
        <w:tc>
          <w:tcPr>
            <w:tcW w:w="1696" w:type="dxa"/>
            <w:tcBorders>
              <w:top w:val="nil"/>
              <w:left w:val="nil"/>
              <w:bottom w:val="nil"/>
              <w:right w:val="nil"/>
            </w:tcBorders>
            <w:shd w:val="clear" w:color="auto" w:fill="auto"/>
            <w:noWrap/>
            <w:vAlign w:val="bottom"/>
            <w:hideMark/>
          </w:tcPr>
          <w:p w14:paraId="57227866"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0.3198</w:t>
            </w:r>
          </w:p>
        </w:tc>
        <w:tc>
          <w:tcPr>
            <w:tcW w:w="1696" w:type="dxa"/>
            <w:tcBorders>
              <w:top w:val="nil"/>
              <w:left w:val="nil"/>
              <w:bottom w:val="nil"/>
              <w:right w:val="nil"/>
            </w:tcBorders>
            <w:shd w:val="clear" w:color="auto" w:fill="auto"/>
            <w:noWrap/>
            <w:vAlign w:val="bottom"/>
            <w:hideMark/>
          </w:tcPr>
          <w:p w14:paraId="6071B319"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0.7536</w:t>
            </w:r>
          </w:p>
        </w:tc>
        <w:tc>
          <w:tcPr>
            <w:tcW w:w="1696" w:type="dxa"/>
            <w:tcBorders>
              <w:top w:val="nil"/>
              <w:left w:val="nil"/>
              <w:bottom w:val="nil"/>
              <w:right w:val="nil"/>
            </w:tcBorders>
            <w:shd w:val="clear" w:color="auto" w:fill="auto"/>
            <w:noWrap/>
            <w:vAlign w:val="bottom"/>
            <w:hideMark/>
          </w:tcPr>
          <w:p w14:paraId="04F0C251"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0.8559</w:t>
            </w:r>
          </w:p>
        </w:tc>
        <w:tc>
          <w:tcPr>
            <w:tcW w:w="1536" w:type="dxa"/>
            <w:tcBorders>
              <w:top w:val="nil"/>
              <w:left w:val="nil"/>
              <w:bottom w:val="nil"/>
              <w:right w:val="nil"/>
            </w:tcBorders>
            <w:shd w:val="clear" w:color="auto" w:fill="auto"/>
            <w:noWrap/>
            <w:vAlign w:val="bottom"/>
            <w:hideMark/>
          </w:tcPr>
          <w:p w14:paraId="235B570C"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0.8923</w:t>
            </w:r>
          </w:p>
        </w:tc>
      </w:tr>
      <w:tr w:rsidR="00892C10" w:rsidRPr="00892C10" w14:paraId="606EAB4C" w14:textId="77777777" w:rsidTr="00892C10">
        <w:trPr>
          <w:trHeight w:val="310"/>
        </w:trPr>
        <w:tc>
          <w:tcPr>
            <w:tcW w:w="1696" w:type="dxa"/>
            <w:tcBorders>
              <w:top w:val="nil"/>
              <w:left w:val="nil"/>
              <w:bottom w:val="nil"/>
              <w:right w:val="nil"/>
            </w:tcBorders>
            <w:shd w:val="clear" w:color="auto" w:fill="auto"/>
            <w:vAlign w:val="center"/>
            <w:hideMark/>
          </w:tcPr>
          <w:p w14:paraId="35288848"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SPLRCL</w:t>
            </w:r>
          </w:p>
        </w:tc>
        <w:tc>
          <w:tcPr>
            <w:tcW w:w="1696" w:type="dxa"/>
            <w:tcBorders>
              <w:top w:val="nil"/>
              <w:left w:val="nil"/>
              <w:bottom w:val="nil"/>
              <w:right w:val="nil"/>
            </w:tcBorders>
            <w:shd w:val="clear" w:color="auto" w:fill="auto"/>
            <w:noWrap/>
            <w:vAlign w:val="bottom"/>
            <w:hideMark/>
          </w:tcPr>
          <w:p w14:paraId="6F00F8BD"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-0.4526</w:t>
            </w:r>
          </w:p>
        </w:tc>
        <w:tc>
          <w:tcPr>
            <w:tcW w:w="1696" w:type="dxa"/>
            <w:tcBorders>
              <w:top w:val="nil"/>
              <w:left w:val="nil"/>
              <w:bottom w:val="nil"/>
              <w:right w:val="nil"/>
            </w:tcBorders>
            <w:shd w:val="clear" w:color="auto" w:fill="auto"/>
            <w:noWrap/>
            <w:vAlign w:val="bottom"/>
            <w:hideMark/>
          </w:tcPr>
          <w:p w14:paraId="13535F8D"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-0.1024</w:t>
            </w:r>
          </w:p>
        </w:tc>
        <w:tc>
          <w:tcPr>
            <w:tcW w:w="1696" w:type="dxa"/>
            <w:tcBorders>
              <w:top w:val="nil"/>
              <w:left w:val="nil"/>
              <w:bottom w:val="nil"/>
              <w:right w:val="nil"/>
            </w:tcBorders>
            <w:shd w:val="clear" w:color="auto" w:fill="auto"/>
            <w:noWrap/>
            <w:vAlign w:val="bottom"/>
            <w:hideMark/>
          </w:tcPr>
          <w:p w14:paraId="0085657D"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0.7581</w:t>
            </w:r>
          </w:p>
        </w:tc>
        <w:tc>
          <w:tcPr>
            <w:tcW w:w="1536" w:type="dxa"/>
            <w:tcBorders>
              <w:top w:val="nil"/>
              <w:left w:val="nil"/>
              <w:bottom w:val="nil"/>
              <w:right w:val="nil"/>
            </w:tcBorders>
            <w:shd w:val="clear" w:color="auto" w:fill="auto"/>
            <w:noWrap/>
            <w:vAlign w:val="bottom"/>
            <w:hideMark/>
          </w:tcPr>
          <w:p w14:paraId="189327E8"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0.1912</w:t>
            </w:r>
          </w:p>
        </w:tc>
      </w:tr>
      <w:tr w:rsidR="00892C10" w:rsidRPr="00892C10" w14:paraId="56E6D141" w14:textId="77777777" w:rsidTr="00892C10">
        <w:trPr>
          <w:trHeight w:val="310"/>
        </w:trPr>
        <w:tc>
          <w:tcPr>
            <w:tcW w:w="1696" w:type="dxa"/>
            <w:tcBorders>
              <w:top w:val="nil"/>
              <w:left w:val="nil"/>
              <w:bottom w:val="nil"/>
              <w:right w:val="nil"/>
            </w:tcBorders>
            <w:shd w:val="clear" w:color="auto" w:fill="auto"/>
            <w:vAlign w:val="center"/>
            <w:hideMark/>
          </w:tcPr>
          <w:p w14:paraId="10AE7AE9"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SPLRCU</w:t>
            </w:r>
          </w:p>
        </w:tc>
        <w:tc>
          <w:tcPr>
            <w:tcW w:w="1696" w:type="dxa"/>
            <w:tcBorders>
              <w:top w:val="nil"/>
              <w:left w:val="nil"/>
              <w:bottom w:val="nil"/>
              <w:right w:val="nil"/>
            </w:tcBorders>
            <w:shd w:val="clear" w:color="auto" w:fill="auto"/>
            <w:noWrap/>
            <w:vAlign w:val="bottom"/>
            <w:hideMark/>
          </w:tcPr>
          <w:p w14:paraId="10ADF4D8"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0.8425</w:t>
            </w:r>
          </w:p>
        </w:tc>
        <w:tc>
          <w:tcPr>
            <w:tcW w:w="1696" w:type="dxa"/>
            <w:tcBorders>
              <w:top w:val="nil"/>
              <w:left w:val="nil"/>
              <w:bottom w:val="nil"/>
              <w:right w:val="nil"/>
            </w:tcBorders>
            <w:shd w:val="clear" w:color="auto" w:fill="auto"/>
            <w:noWrap/>
            <w:vAlign w:val="bottom"/>
            <w:hideMark/>
          </w:tcPr>
          <w:p w14:paraId="7C96BEC8"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0.5018</w:t>
            </w:r>
          </w:p>
        </w:tc>
        <w:tc>
          <w:tcPr>
            <w:tcW w:w="1696" w:type="dxa"/>
            <w:tcBorders>
              <w:top w:val="nil"/>
              <w:left w:val="nil"/>
              <w:bottom w:val="nil"/>
              <w:right w:val="nil"/>
            </w:tcBorders>
            <w:shd w:val="clear" w:color="auto" w:fill="auto"/>
            <w:noWrap/>
            <w:vAlign w:val="bottom"/>
            <w:hideMark/>
          </w:tcPr>
          <w:p w14:paraId="3E220753"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-1.4970</w:t>
            </w:r>
          </w:p>
        </w:tc>
        <w:tc>
          <w:tcPr>
            <w:tcW w:w="1536" w:type="dxa"/>
            <w:tcBorders>
              <w:top w:val="nil"/>
              <w:left w:val="nil"/>
              <w:bottom w:val="nil"/>
              <w:right w:val="nil"/>
            </w:tcBorders>
            <w:shd w:val="clear" w:color="auto" w:fill="auto"/>
            <w:noWrap/>
            <w:vAlign w:val="bottom"/>
            <w:hideMark/>
          </w:tcPr>
          <w:p w14:paraId="3A7FE0FB"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-0.9239</w:t>
            </w:r>
          </w:p>
        </w:tc>
      </w:tr>
      <w:tr w:rsidR="00892C10" w:rsidRPr="00892C10" w14:paraId="2FF31BF1" w14:textId="77777777" w:rsidTr="00892C10">
        <w:trPr>
          <w:trHeight w:val="320"/>
        </w:trPr>
        <w:tc>
          <w:tcPr>
            <w:tcW w:w="1696" w:type="dxa"/>
            <w:tcBorders>
              <w:top w:val="nil"/>
              <w:left w:val="nil"/>
              <w:bottom w:val="single" w:sz="8" w:space="0" w:color="auto"/>
              <w:right w:val="nil"/>
            </w:tcBorders>
            <w:shd w:val="clear" w:color="auto" w:fill="auto"/>
            <w:vAlign w:val="center"/>
            <w:hideMark/>
          </w:tcPr>
          <w:p w14:paraId="6FF67CCF"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SPLRCREC</w:t>
            </w:r>
          </w:p>
        </w:tc>
        <w:tc>
          <w:tcPr>
            <w:tcW w:w="1696" w:type="dxa"/>
            <w:tcBorders>
              <w:top w:val="nil"/>
              <w:left w:val="nil"/>
              <w:bottom w:val="single" w:sz="8" w:space="0" w:color="auto"/>
              <w:right w:val="nil"/>
            </w:tcBorders>
            <w:shd w:val="clear" w:color="auto" w:fill="auto"/>
            <w:noWrap/>
            <w:vAlign w:val="bottom"/>
            <w:hideMark/>
          </w:tcPr>
          <w:p w14:paraId="5E1EF501"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0.8769</w:t>
            </w:r>
          </w:p>
        </w:tc>
        <w:tc>
          <w:tcPr>
            <w:tcW w:w="1696" w:type="dxa"/>
            <w:tcBorders>
              <w:top w:val="nil"/>
              <w:left w:val="nil"/>
              <w:bottom w:val="single" w:sz="8" w:space="0" w:color="auto"/>
              <w:right w:val="nil"/>
            </w:tcBorders>
            <w:shd w:val="clear" w:color="auto" w:fill="auto"/>
            <w:noWrap/>
            <w:vAlign w:val="bottom"/>
            <w:hideMark/>
          </w:tcPr>
          <w:p w14:paraId="64A9FF1A"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0.1156</w:t>
            </w:r>
          </w:p>
        </w:tc>
        <w:tc>
          <w:tcPr>
            <w:tcW w:w="1696" w:type="dxa"/>
            <w:tcBorders>
              <w:top w:val="nil"/>
              <w:left w:val="nil"/>
              <w:bottom w:val="single" w:sz="8" w:space="0" w:color="auto"/>
              <w:right w:val="nil"/>
            </w:tcBorders>
            <w:shd w:val="clear" w:color="auto" w:fill="auto"/>
            <w:noWrap/>
            <w:vAlign w:val="bottom"/>
            <w:hideMark/>
          </w:tcPr>
          <w:p w14:paraId="68AC7D2E"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-1.3378</w:t>
            </w:r>
          </w:p>
        </w:tc>
        <w:tc>
          <w:tcPr>
            <w:tcW w:w="1536" w:type="dxa"/>
            <w:tcBorders>
              <w:top w:val="nil"/>
              <w:left w:val="nil"/>
              <w:bottom w:val="single" w:sz="8" w:space="0" w:color="auto"/>
              <w:right w:val="nil"/>
            </w:tcBorders>
            <w:shd w:val="clear" w:color="auto" w:fill="auto"/>
            <w:noWrap/>
            <w:vAlign w:val="bottom"/>
            <w:hideMark/>
          </w:tcPr>
          <w:p w14:paraId="3C4B4DC4"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-0.7568</w:t>
            </w:r>
          </w:p>
        </w:tc>
      </w:tr>
    </w:tbl>
    <w:p w14:paraId="489F6D74" w14:textId="77777777" w:rsidR="00212403" w:rsidRDefault="00212403">
      <w:pPr>
        <w:rPr>
          <w:rFonts w:ascii="Times New Roman" w:eastAsia="Times New Roman" w:hAnsi="Times New Roman" w:cs="Times New Roman"/>
          <w:b/>
          <w:sz w:val="24"/>
          <w:szCs w:val="24"/>
        </w:rPr>
      </w:pPr>
    </w:p>
    <w:p w14:paraId="7A315F6A" w14:textId="04764771" w:rsidR="00255C78" w:rsidRDefault="00C53D39">
      <w:pPr>
        <w:rPr>
          <w:rFonts w:ascii="Times New Roman" w:eastAsia="Times New Roman" w:hAnsi="Times New Roman" w:cs="Times New Roman"/>
          <w:b/>
          <w:sz w:val="24"/>
          <w:szCs w:val="24"/>
        </w:rPr>
      </w:pPr>
      <w:r w:rsidRPr="00212403">
        <w:rPr>
          <w:rFonts w:ascii="Times New Roman" w:eastAsia="Times New Roman" w:hAnsi="Times New Roman" w:cs="Times New Roman"/>
          <w:b/>
          <w:sz w:val="24"/>
          <w:szCs w:val="24"/>
        </w:rPr>
        <w:t xml:space="preserve">5.2 </w:t>
      </w:r>
      <w:r w:rsidR="002758C6" w:rsidRPr="00212403">
        <w:rPr>
          <w:rFonts w:ascii="Times New Roman" w:eastAsia="Times New Roman" w:hAnsi="Times New Roman" w:cs="Times New Roman"/>
          <w:b/>
          <w:sz w:val="24"/>
          <w:szCs w:val="24"/>
        </w:rPr>
        <w:t>Cumulative Abnormal Return of GICS sector</w:t>
      </w:r>
    </w:p>
    <w:p w14:paraId="54357CCE" w14:textId="4CCB8F8B" w:rsidR="00B814F4" w:rsidRDefault="00892C1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51483724" w14:textId="68B85048" w:rsidR="00B814F4" w:rsidRDefault="00B814F4" w:rsidP="00B814F4">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lastRenderedPageBreak/>
        <w:t>There is an interesting observation that can be drawn from the CARs of the periods prior and after the event. The market may</w:t>
      </w:r>
      <w:r>
        <w:rPr>
          <w:rFonts w:ascii="Times New Roman" w:eastAsia="Times New Roman" w:hAnsi="Times New Roman" w:cs="Times New Roman"/>
          <w:bCs/>
          <w:sz w:val="24"/>
          <w:szCs w:val="24"/>
        </w:rPr>
        <w:t xml:space="preserve"> have</w:t>
      </w:r>
      <w:r w:rsidRPr="00262015">
        <w:rPr>
          <w:rFonts w:ascii="Times New Roman" w:eastAsia="Times New Roman" w:hAnsi="Times New Roman" w:cs="Times New Roman"/>
          <w:bCs/>
          <w:sz w:val="24"/>
          <w:szCs w:val="24"/>
        </w:rPr>
        <w:t xml:space="preserve"> acquire</w:t>
      </w:r>
      <w:r>
        <w:rPr>
          <w:rFonts w:ascii="Times New Roman" w:eastAsia="Times New Roman" w:hAnsi="Times New Roman" w:cs="Times New Roman"/>
          <w:bCs/>
          <w:sz w:val="24"/>
          <w:szCs w:val="24"/>
        </w:rPr>
        <w:t>d</w:t>
      </w:r>
      <w:r w:rsidRPr="00262015">
        <w:rPr>
          <w:rFonts w:ascii="Times New Roman" w:eastAsia="Times New Roman" w:hAnsi="Times New Roman" w:cs="Times New Roman"/>
          <w:bCs/>
          <w:sz w:val="24"/>
          <w:szCs w:val="24"/>
        </w:rPr>
        <w:t xml:space="preserve"> information about the earnings prior to the actual announcement and</w:t>
      </w:r>
      <w:r>
        <w:rPr>
          <w:rFonts w:ascii="Times New Roman" w:eastAsia="Times New Roman" w:hAnsi="Times New Roman" w:cs="Times New Roman"/>
          <w:bCs/>
          <w:sz w:val="24"/>
          <w:szCs w:val="24"/>
        </w:rPr>
        <w:t xml:space="preserve"> we</w:t>
      </w:r>
      <w:r w:rsidRPr="00262015">
        <w:rPr>
          <w:rFonts w:ascii="Times New Roman" w:eastAsia="Times New Roman" w:hAnsi="Times New Roman" w:cs="Times New Roman"/>
          <w:bCs/>
          <w:sz w:val="24"/>
          <w:szCs w:val="24"/>
        </w:rPr>
        <w:t xml:space="preserve"> can investigate this possibility by examining pre-event returns (</w:t>
      </w:r>
      <w:r>
        <w:rPr>
          <w:rFonts w:ascii="Times New Roman" w:eastAsia="Times New Roman" w:hAnsi="Times New Roman" w:cs="Times New Roman"/>
          <w:bCs/>
          <w:sz w:val="24"/>
          <w:szCs w:val="24"/>
        </w:rPr>
        <w:t>MacKinlay, 1997</w:t>
      </w:r>
      <w:r w:rsidRPr="00262015">
        <w:rPr>
          <w:rFonts w:ascii="Times New Roman" w:eastAsia="Times New Roman" w:hAnsi="Times New Roman" w:cs="Times New Roman"/>
          <w:bCs/>
          <w:sz w:val="24"/>
          <w:szCs w:val="24"/>
        </w:rPr>
        <w:t xml:space="preserve">). This statement in </w:t>
      </w:r>
      <w:r>
        <w:rPr>
          <w:rFonts w:ascii="Times New Roman" w:eastAsia="Times New Roman" w:hAnsi="Times New Roman" w:cs="Times New Roman"/>
          <w:bCs/>
          <w:sz w:val="24"/>
          <w:szCs w:val="24"/>
        </w:rPr>
        <w:t>MacKinlay</w:t>
      </w:r>
      <w:r w:rsidRPr="00262015">
        <w:rPr>
          <w:rFonts w:ascii="Times New Roman" w:eastAsia="Times New Roman" w:hAnsi="Times New Roman" w:cs="Times New Roman"/>
          <w:bCs/>
          <w:sz w:val="24"/>
          <w:szCs w:val="24"/>
        </w:rPr>
        <w:t xml:space="preserve"> is alluding to the efficient market Hypothesis which states, “The current stock prices reflect all existing available information, making them fairly valued as they are presently” (Baldrige</w:t>
      </w:r>
      <w:r w:rsidR="00640095">
        <w:rPr>
          <w:rFonts w:ascii="Times New Roman" w:eastAsia="Times New Roman" w:hAnsi="Times New Roman" w:cs="Times New Roman"/>
          <w:bCs/>
          <w:sz w:val="24"/>
          <w:szCs w:val="24"/>
        </w:rPr>
        <w:t>, 2022</w:t>
      </w:r>
      <w:r w:rsidRPr="00262015">
        <w:rPr>
          <w:rFonts w:ascii="Times New Roman" w:eastAsia="Times New Roman" w:hAnsi="Times New Roman" w:cs="Times New Roman"/>
          <w:bCs/>
          <w:sz w:val="24"/>
          <w:szCs w:val="24"/>
        </w:rPr>
        <w:t>).</w:t>
      </w:r>
      <w:r w:rsidRPr="00262015">
        <w:rPr>
          <w:rFonts w:ascii="Georgia" w:hAnsi="Georgia"/>
          <w:bCs/>
          <w:color w:val="333333"/>
          <w:sz w:val="27"/>
          <w:szCs w:val="27"/>
          <w:shd w:val="clear" w:color="auto" w:fill="FFFFFF"/>
        </w:rPr>
        <w:t xml:space="preserve"> </w:t>
      </w:r>
      <w:r w:rsidRPr="00262015">
        <w:rPr>
          <w:rFonts w:ascii="Times New Roman" w:eastAsia="Times New Roman" w:hAnsi="Times New Roman" w:cs="Times New Roman"/>
          <w:bCs/>
          <w:sz w:val="24"/>
          <w:szCs w:val="24"/>
        </w:rPr>
        <w:t>The polarity of the CARs of indices in the window (-30, 0) and (0, 30) are broadly similar showing that the efficient market hypothesis holds</w:t>
      </w:r>
      <w:r>
        <w:rPr>
          <w:rFonts w:ascii="Times New Roman" w:eastAsia="Times New Roman" w:hAnsi="Times New Roman" w:cs="Times New Roman"/>
          <w:bCs/>
          <w:sz w:val="24"/>
          <w:szCs w:val="24"/>
        </w:rPr>
        <w:t xml:space="preserve"> in this context</w:t>
      </w:r>
      <w:r w:rsidRPr="00262015">
        <w:rPr>
          <w:rFonts w:ascii="Times New Roman" w:eastAsia="Times New Roman" w:hAnsi="Times New Roman" w:cs="Times New Roman"/>
          <w:bCs/>
          <w:sz w:val="24"/>
          <w:szCs w:val="24"/>
        </w:rPr>
        <w:t xml:space="preserve">. </w:t>
      </w:r>
    </w:p>
    <w:p w14:paraId="63FF395B" w14:textId="77777777" w:rsidR="00B814F4" w:rsidRPr="00212403" w:rsidRDefault="00B814F4">
      <w:pPr>
        <w:rPr>
          <w:rFonts w:ascii="Times New Roman" w:eastAsia="Times New Roman" w:hAnsi="Times New Roman" w:cs="Times New Roman"/>
          <w:b/>
          <w:sz w:val="24"/>
          <w:szCs w:val="24"/>
        </w:rPr>
      </w:pPr>
    </w:p>
    <w:p w14:paraId="37311D0C" w14:textId="1A2A3F0F" w:rsidR="00AC77ED" w:rsidRDefault="00255C78">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Most of the </w:t>
      </w:r>
      <w:r w:rsidR="009C5143">
        <w:rPr>
          <w:rFonts w:ascii="Times New Roman" w:eastAsia="Times New Roman" w:hAnsi="Times New Roman" w:cs="Times New Roman"/>
          <w:bCs/>
          <w:sz w:val="24"/>
          <w:szCs w:val="24"/>
        </w:rPr>
        <w:t>sectors</w:t>
      </w:r>
      <w:r w:rsidRPr="00262015">
        <w:rPr>
          <w:rFonts w:ascii="Times New Roman" w:eastAsia="Times New Roman" w:hAnsi="Times New Roman" w:cs="Times New Roman"/>
          <w:bCs/>
          <w:sz w:val="24"/>
          <w:szCs w:val="24"/>
        </w:rPr>
        <w:t xml:space="preserve"> experienced </w:t>
      </w:r>
      <w:r w:rsidR="003D5006" w:rsidRPr="00262015">
        <w:rPr>
          <w:rFonts w:ascii="Times New Roman" w:eastAsia="Times New Roman" w:hAnsi="Times New Roman" w:cs="Times New Roman"/>
          <w:bCs/>
          <w:sz w:val="24"/>
          <w:szCs w:val="24"/>
        </w:rPr>
        <w:t>a downward trend in</w:t>
      </w:r>
      <w:r w:rsidRPr="00262015">
        <w:rPr>
          <w:rFonts w:ascii="Times New Roman" w:eastAsia="Times New Roman" w:hAnsi="Times New Roman" w:cs="Times New Roman"/>
          <w:bCs/>
          <w:sz w:val="24"/>
          <w:szCs w:val="24"/>
        </w:rPr>
        <w:t xml:space="preserve"> CARs after the event date as shown by the figures below.  </w:t>
      </w:r>
      <w:r w:rsidR="003D5006" w:rsidRPr="00262015">
        <w:rPr>
          <w:rFonts w:ascii="Times New Roman" w:eastAsia="Times New Roman" w:hAnsi="Times New Roman" w:cs="Times New Roman"/>
          <w:bCs/>
          <w:sz w:val="24"/>
          <w:szCs w:val="24"/>
        </w:rPr>
        <w:t xml:space="preserve">However, some sectors such as </w:t>
      </w:r>
      <w:r w:rsidR="00D10842" w:rsidRPr="00262015">
        <w:rPr>
          <w:rFonts w:ascii="Times New Roman" w:eastAsia="Times New Roman" w:hAnsi="Times New Roman" w:cs="Times New Roman"/>
          <w:bCs/>
          <w:sz w:val="24"/>
          <w:szCs w:val="24"/>
        </w:rPr>
        <w:t>Consumer Discretionary, Information Technology, Utilities, and Real Estate experienced an upward trend after the event.</w:t>
      </w:r>
      <w:r w:rsidR="00212403">
        <w:rPr>
          <w:rFonts w:ascii="Times New Roman" w:eastAsia="Times New Roman" w:hAnsi="Times New Roman" w:cs="Times New Roman"/>
          <w:bCs/>
          <w:sz w:val="24"/>
          <w:szCs w:val="24"/>
        </w:rPr>
        <w:t xml:space="preserve"> </w:t>
      </w:r>
      <w:r w:rsidR="00F54819" w:rsidRPr="00262015">
        <w:rPr>
          <w:rFonts w:ascii="Times New Roman" w:eastAsia="Times New Roman" w:hAnsi="Times New Roman" w:cs="Times New Roman"/>
          <w:bCs/>
          <w:sz w:val="24"/>
          <w:szCs w:val="24"/>
        </w:rPr>
        <w:t>The CARs for all the sector indices are presented in Table 4 and Table 5. The results are largely coherent with the existing literature. The event seems to have a significantly negative impact on the various sectors.</w:t>
      </w:r>
      <w:r w:rsidR="00AF3330" w:rsidRPr="00262015">
        <w:rPr>
          <w:rFonts w:ascii="Times New Roman" w:eastAsia="Times New Roman" w:hAnsi="Times New Roman" w:cs="Times New Roman"/>
          <w:bCs/>
          <w:sz w:val="24"/>
          <w:szCs w:val="24"/>
        </w:rPr>
        <w:t xml:space="preserve"> </w:t>
      </w:r>
    </w:p>
    <w:p w14:paraId="1813794E" w14:textId="77777777" w:rsidR="00B814F4" w:rsidRDefault="00B814F4">
      <w:pPr>
        <w:rPr>
          <w:rFonts w:ascii="Times New Roman" w:eastAsia="Times New Roman" w:hAnsi="Times New Roman" w:cs="Times New Roman"/>
          <w:bCs/>
          <w:sz w:val="24"/>
          <w:szCs w:val="24"/>
        </w:rPr>
      </w:pPr>
    </w:p>
    <w:p w14:paraId="70A72DC0" w14:textId="46077BE8" w:rsidR="009C5143" w:rsidRPr="00931280" w:rsidRDefault="00B814F4" w:rsidP="009C514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As expected, the energy sector seems to have been impacted to the greatest degree as the expectations for workplace and industry closedowns </w:t>
      </w:r>
      <w:r w:rsidR="00F46B34">
        <w:rPr>
          <w:rFonts w:ascii="Times New Roman" w:eastAsia="Times New Roman" w:hAnsi="Times New Roman" w:cs="Times New Roman"/>
          <w:bCs/>
          <w:sz w:val="24"/>
          <w:szCs w:val="24"/>
        </w:rPr>
        <w:t>are correlated with a decrease in the demand for oil and gas. From Table 4 and 5, we can observe the drop of CARs from pre-event to post-event of energy index (SPNY) by statistically significant -2.3464 to -17.4570 respectively. The CARs of Energy, Materials, and Industrials seem to have a downward trend after the event and show no sign of</w:t>
      </w:r>
      <w:r w:rsidR="00931280">
        <w:rPr>
          <w:rFonts w:ascii="Times New Roman" w:eastAsia="Times New Roman" w:hAnsi="Times New Roman" w:cs="Times New Roman"/>
          <w:bCs/>
          <w:sz w:val="24"/>
          <w:szCs w:val="24"/>
        </w:rPr>
        <w:t xml:space="preserve"> recovery (see fig </w:t>
      </w:r>
      <w:r w:rsidR="00C02A3C">
        <w:rPr>
          <w:rFonts w:ascii="Times New Roman" w:eastAsia="Times New Roman" w:hAnsi="Times New Roman" w:cs="Times New Roman"/>
          <w:bCs/>
          <w:sz w:val="24"/>
          <w:szCs w:val="24"/>
        </w:rPr>
        <w:t>2</w:t>
      </w:r>
      <w:r w:rsidR="00931280">
        <w:rPr>
          <w:rFonts w:ascii="Times New Roman" w:eastAsia="Times New Roman" w:hAnsi="Times New Roman" w:cs="Times New Roman"/>
          <w:bCs/>
          <w:sz w:val="24"/>
          <w:szCs w:val="24"/>
        </w:rPr>
        <w:t>).</w:t>
      </w:r>
      <w:r w:rsidR="00931280">
        <w:rPr>
          <w:rFonts w:ascii="Times New Roman" w:eastAsia="Times New Roman" w:hAnsi="Times New Roman" w:cs="Times New Roman"/>
          <w:bCs/>
          <w:sz w:val="24"/>
          <w:szCs w:val="24"/>
        </w:rPr>
        <w:br/>
      </w:r>
    </w:p>
    <w:p w14:paraId="5893016E" w14:textId="64AE9741" w:rsidR="009C5143" w:rsidRPr="00892C10" w:rsidRDefault="009C5143" w:rsidP="009C5143">
      <w:pPr>
        <w:rPr>
          <w:rFonts w:ascii="Times New Roman" w:eastAsia="Times New Roman" w:hAnsi="Times New Roman" w:cs="Times New Roman"/>
          <w:bCs/>
          <w:sz w:val="24"/>
          <w:szCs w:val="24"/>
        </w:rPr>
      </w:pPr>
      <w:r w:rsidRPr="00892C10">
        <w:rPr>
          <w:rFonts w:ascii="Times New Roman" w:eastAsia="Times New Roman" w:hAnsi="Times New Roman" w:cs="Times New Roman"/>
          <w:b/>
          <w:sz w:val="24"/>
          <w:szCs w:val="24"/>
        </w:rPr>
        <w:t>Table 4</w:t>
      </w:r>
      <w:r w:rsidRPr="00892C10">
        <w:rPr>
          <w:rFonts w:ascii="Times New Roman" w:eastAsia="Times New Roman" w:hAnsi="Times New Roman" w:cs="Times New Roman"/>
          <w:bCs/>
          <w:sz w:val="24"/>
          <w:szCs w:val="24"/>
        </w:rPr>
        <w:t xml:space="preserve"> CARs (-30, 0) event window </w:t>
      </w:r>
    </w:p>
    <w:tbl>
      <w:tblPr>
        <w:tblW w:w="6784" w:type="dxa"/>
        <w:tblLook w:val="04A0" w:firstRow="1" w:lastRow="0" w:firstColumn="1" w:lastColumn="0" w:noHBand="0" w:noVBand="1"/>
      </w:tblPr>
      <w:tblGrid>
        <w:gridCol w:w="1696"/>
        <w:gridCol w:w="1696"/>
        <w:gridCol w:w="1696"/>
        <w:gridCol w:w="1696"/>
      </w:tblGrid>
      <w:tr w:rsidR="009C5143" w:rsidRPr="00050181" w14:paraId="7F60AB20" w14:textId="77777777" w:rsidTr="00834D30">
        <w:trPr>
          <w:trHeight w:val="270"/>
        </w:trPr>
        <w:tc>
          <w:tcPr>
            <w:tcW w:w="1696" w:type="dxa"/>
            <w:tcBorders>
              <w:top w:val="single" w:sz="8" w:space="0" w:color="auto"/>
              <w:left w:val="nil"/>
              <w:bottom w:val="single" w:sz="8" w:space="0" w:color="auto"/>
              <w:right w:val="nil"/>
            </w:tcBorders>
            <w:shd w:val="clear" w:color="auto" w:fill="auto"/>
            <w:noWrap/>
            <w:vAlign w:val="bottom"/>
            <w:hideMark/>
          </w:tcPr>
          <w:p w14:paraId="1AAABB58"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Indices (GICS)</w:t>
            </w:r>
          </w:p>
        </w:tc>
        <w:tc>
          <w:tcPr>
            <w:tcW w:w="1696" w:type="dxa"/>
            <w:tcBorders>
              <w:top w:val="single" w:sz="8" w:space="0" w:color="auto"/>
              <w:left w:val="nil"/>
              <w:bottom w:val="single" w:sz="8" w:space="0" w:color="auto"/>
              <w:right w:val="nil"/>
            </w:tcBorders>
            <w:shd w:val="clear" w:color="auto" w:fill="auto"/>
            <w:noWrap/>
            <w:vAlign w:val="bottom"/>
            <w:hideMark/>
          </w:tcPr>
          <w:p w14:paraId="22E1E567"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CAR (-30, 0)</w:t>
            </w:r>
          </w:p>
        </w:tc>
        <w:tc>
          <w:tcPr>
            <w:tcW w:w="1696" w:type="dxa"/>
            <w:tcBorders>
              <w:top w:val="single" w:sz="8" w:space="0" w:color="auto"/>
              <w:left w:val="nil"/>
              <w:bottom w:val="single" w:sz="8" w:space="0" w:color="auto"/>
              <w:right w:val="nil"/>
            </w:tcBorders>
            <w:shd w:val="clear" w:color="auto" w:fill="auto"/>
            <w:noWrap/>
            <w:vAlign w:val="bottom"/>
            <w:hideMark/>
          </w:tcPr>
          <w:p w14:paraId="4F2A705E"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 xml:space="preserve">T-Test </w:t>
            </w:r>
          </w:p>
        </w:tc>
        <w:tc>
          <w:tcPr>
            <w:tcW w:w="1696" w:type="dxa"/>
            <w:tcBorders>
              <w:top w:val="single" w:sz="8" w:space="0" w:color="auto"/>
              <w:left w:val="nil"/>
              <w:bottom w:val="single" w:sz="8" w:space="0" w:color="auto"/>
              <w:right w:val="nil"/>
            </w:tcBorders>
            <w:shd w:val="clear" w:color="auto" w:fill="auto"/>
            <w:noWrap/>
            <w:vAlign w:val="bottom"/>
            <w:hideMark/>
          </w:tcPr>
          <w:p w14:paraId="2A2598B9"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P-value</w:t>
            </w:r>
          </w:p>
        </w:tc>
      </w:tr>
      <w:tr w:rsidR="009C5143" w:rsidRPr="00050181" w14:paraId="731168F8" w14:textId="77777777" w:rsidTr="00834D30">
        <w:trPr>
          <w:trHeight w:val="260"/>
        </w:trPr>
        <w:tc>
          <w:tcPr>
            <w:tcW w:w="1696" w:type="dxa"/>
            <w:tcBorders>
              <w:top w:val="nil"/>
              <w:left w:val="nil"/>
              <w:bottom w:val="nil"/>
              <w:right w:val="nil"/>
            </w:tcBorders>
            <w:shd w:val="clear" w:color="auto" w:fill="auto"/>
            <w:vAlign w:val="center"/>
            <w:hideMark/>
          </w:tcPr>
          <w:p w14:paraId="3A91D420"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SPNY</w:t>
            </w:r>
          </w:p>
        </w:tc>
        <w:tc>
          <w:tcPr>
            <w:tcW w:w="1696" w:type="dxa"/>
            <w:tcBorders>
              <w:top w:val="nil"/>
              <w:left w:val="nil"/>
              <w:bottom w:val="nil"/>
              <w:right w:val="nil"/>
            </w:tcBorders>
            <w:shd w:val="clear" w:color="auto" w:fill="auto"/>
            <w:noWrap/>
            <w:vAlign w:val="bottom"/>
            <w:hideMark/>
          </w:tcPr>
          <w:p w14:paraId="07839FE1"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-2.3464***</w:t>
            </w:r>
          </w:p>
        </w:tc>
        <w:tc>
          <w:tcPr>
            <w:tcW w:w="1696" w:type="dxa"/>
            <w:tcBorders>
              <w:top w:val="nil"/>
              <w:left w:val="nil"/>
              <w:bottom w:val="nil"/>
              <w:right w:val="nil"/>
            </w:tcBorders>
            <w:shd w:val="clear" w:color="auto" w:fill="auto"/>
            <w:noWrap/>
            <w:vAlign w:val="bottom"/>
            <w:hideMark/>
          </w:tcPr>
          <w:p w14:paraId="5F991C74"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6.8523</w:t>
            </w:r>
          </w:p>
        </w:tc>
        <w:tc>
          <w:tcPr>
            <w:tcW w:w="1696" w:type="dxa"/>
            <w:tcBorders>
              <w:top w:val="nil"/>
              <w:left w:val="nil"/>
              <w:bottom w:val="nil"/>
              <w:right w:val="nil"/>
            </w:tcBorders>
            <w:shd w:val="clear" w:color="auto" w:fill="auto"/>
            <w:noWrap/>
            <w:vAlign w:val="bottom"/>
            <w:hideMark/>
          </w:tcPr>
          <w:p w14:paraId="0FE5844E"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0.0000</w:t>
            </w:r>
          </w:p>
        </w:tc>
      </w:tr>
      <w:tr w:rsidR="009C5143" w:rsidRPr="00050181" w14:paraId="5553943C" w14:textId="77777777" w:rsidTr="00834D30">
        <w:trPr>
          <w:trHeight w:val="260"/>
        </w:trPr>
        <w:tc>
          <w:tcPr>
            <w:tcW w:w="1696" w:type="dxa"/>
            <w:tcBorders>
              <w:top w:val="nil"/>
              <w:left w:val="nil"/>
              <w:bottom w:val="nil"/>
              <w:right w:val="nil"/>
            </w:tcBorders>
            <w:shd w:val="clear" w:color="auto" w:fill="auto"/>
            <w:vAlign w:val="center"/>
            <w:hideMark/>
          </w:tcPr>
          <w:p w14:paraId="7DF4DA9E"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SPLRCM</w:t>
            </w:r>
          </w:p>
        </w:tc>
        <w:tc>
          <w:tcPr>
            <w:tcW w:w="1696" w:type="dxa"/>
            <w:tcBorders>
              <w:top w:val="nil"/>
              <w:left w:val="nil"/>
              <w:bottom w:val="nil"/>
              <w:right w:val="nil"/>
            </w:tcBorders>
            <w:shd w:val="clear" w:color="auto" w:fill="auto"/>
            <w:noWrap/>
            <w:vAlign w:val="bottom"/>
            <w:hideMark/>
          </w:tcPr>
          <w:p w14:paraId="3573C839"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-4.2485***</w:t>
            </w:r>
          </w:p>
        </w:tc>
        <w:tc>
          <w:tcPr>
            <w:tcW w:w="1696" w:type="dxa"/>
            <w:tcBorders>
              <w:top w:val="nil"/>
              <w:left w:val="nil"/>
              <w:bottom w:val="nil"/>
              <w:right w:val="nil"/>
            </w:tcBorders>
            <w:shd w:val="clear" w:color="auto" w:fill="auto"/>
            <w:noWrap/>
            <w:vAlign w:val="bottom"/>
            <w:hideMark/>
          </w:tcPr>
          <w:p w14:paraId="35D5110B"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-5.4687</w:t>
            </w:r>
          </w:p>
        </w:tc>
        <w:tc>
          <w:tcPr>
            <w:tcW w:w="1696" w:type="dxa"/>
            <w:tcBorders>
              <w:top w:val="nil"/>
              <w:left w:val="nil"/>
              <w:bottom w:val="nil"/>
              <w:right w:val="nil"/>
            </w:tcBorders>
            <w:shd w:val="clear" w:color="auto" w:fill="auto"/>
            <w:noWrap/>
            <w:vAlign w:val="bottom"/>
            <w:hideMark/>
          </w:tcPr>
          <w:p w14:paraId="49FBA0C5"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0.0000</w:t>
            </w:r>
          </w:p>
        </w:tc>
      </w:tr>
      <w:tr w:rsidR="009C5143" w:rsidRPr="00050181" w14:paraId="50686893" w14:textId="77777777" w:rsidTr="00834D30">
        <w:trPr>
          <w:trHeight w:val="260"/>
        </w:trPr>
        <w:tc>
          <w:tcPr>
            <w:tcW w:w="1696" w:type="dxa"/>
            <w:tcBorders>
              <w:top w:val="nil"/>
              <w:left w:val="nil"/>
              <w:bottom w:val="nil"/>
              <w:right w:val="nil"/>
            </w:tcBorders>
            <w:shd w:val="clear" w:color="auto" w:fill="auto"/>
            <w:vAlign w:val="center"/>
            <w:hideMark/>
          </w:tcPr>
          <w:p w14:paraId="026AA681"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SPLRCI</w:t>
            </w:r>
          </w:p>
        </w:tc>
        <w:tc>
          <w:tcPr>
            <w:tcW w:w="1696" w:type="dxa"/>
            <w:tcBorders>
              <w:top w:val="nil"/>
              <w:left w:val="nil"/>
              <w:bottom w:val="nil"/>
              <w:right w:val="nil"/>
            </w:tcBorders>
            <w:shd w:val="clear" w:color="auto" w:fill="auto"/>
            <w:noWrap/>
            <w:vAlign w:val="bottom"/>
            <w:hideMark/>
          </w:tcPr>
          <w:p w14:paraId="50825B22"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-1.2850***</w:t>
            </w:r>
          </w:p>
        </w:tc>
        <w:tc>
          <w:tcPr>
            <w:tcW w:w="1696" w:type="dxa"/>
            <w:tcBorders>
              <w:top w:val="nil"/>
              <w:left w:val="nil"/>
              <w:bottom w:val="nil"/>
              <w:right w:val="nil"/>
            </w:tcBorders>
            <w:shd w:val="clear" w:color="auto" w:fill="auto"/>
            <w:noWrap/>
            <w:vAlign w:val="bottom"/>
            <w:hideMark/>
          </w:tcPr>
          <w:p w14:paraId="33EF1101"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-6.5237</w:t>
            </w:r>
          </w:p>
        </w:tc>
        <w:tc>
          <w:tcPr>
            <w:tcW w:w="1696" w:type="dxa"/>
            <w:tcBorders>
              <w:top w:val="nil"/>
              <w:left w:val="nil"/>
              <w:bottom w:val="nil"/>
              <w:right w:val="nil"/>
            </w:tcBorders>
            <w:shd w:val="clear" w:color="auto" w:fill="auto"/>
            <w:noWrap/>
            <w:vAlign w:val="bottom"/>
            <w:hideMark/>
          </w:tcPr>
          <w:p w14:paraId="756C222F"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0.0000</w:t>
            </w:r>
          </w:p>
        </w:tc>
      </w:tr>
      <w:tr w:rsidR="009C5143" w:rsidRPr="00050181" w14:paraId="4DDB12DC" w14:textId="77777777" w:rsidTr="00834D30">
        <w:trPr>
          <w:trHeight w:val="260"/>
        </w:trPr>
        <w:tc>
          <w:tcPr>
            <w:tcW w:w="1696" w:type="dxa"/>
            <w:tcBorders>
              <w:top w:val="nil"/>
              <w:left w:val="nil"/>
              <w:bottom w:val="nil"/>
              <w:right w:val="nil"/>
            </w:tcBorders>
            <w:shd w:val="clear" w:color="auto" w:fill="auto"/>
            <w:vAlign w:val="center"/>
            <w:hideMark/>
          </w:tcPr>
          <w:p w14:paraId="5080A0D9"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SPLRCD</w:t>
            </w:r>
          </w:p>
        </w:tc>
        <w:tc>
          <w:tcPr>
            <w:tcW w:w="1696" w:type="dxa"/>
            <w:tcBorders>
              <w:top w:val="nil"/>
              <w:left w:val="nil"/>
              <w:bottom w:val="nil"/>
              <w:right w:val="nil"/>
            </w:tcBorders>
            <w:shd w:val="clear" w:color="auto" w:fill="auto"/>
            <w:noWrap/>
            <w:vAlign w:val="bottom"/>
            <w:hideMark/>
          </w:tcPr>
          <w:p w14:paraId="71A78FAD"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0.2592***</w:t>
            </w:r>
          </w:p>
        </w:tc>
        <w:tc>
          <w:tcPr>
            <w:tcW w:w="1696" w:type="dxa"/>
            <w:tcBorders>
              <w:top w:val="nil"/>
              <w:left w:val="nil"/>
              <w:bottom w:val="nil"/>
              <w:right w:val="nil"/>
            </w:tcBorders>
            <w:shd w:val="clear" w:color="auto" w:fill="auto"/>
            <w:noWrap/>
            <w:vAlign w:val="bottom"/>
            <w:hideMark/>
          </w:tcPr>
          <w:p w14:paraId="443FE0CD"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5.5399</w:t>
            </w:r>
          </w:p>
        </w:tc>
        <w:tc>
          <w:tcPr>
            <w:tcW w:w="1696" w:type="dxa"/>
            <w:tcBorders>
              <w:top w:val="nil"/>
              <w:left w:val="nil"/>
              <w:bottom w:val="nil"/>
              <w:right w:val="nil"/>
            </w:tcBorders>
            <w:shd w:val="clear" w:color="auto" w:fill="auto"/>
            <w:noWrap/>
            <w:vAlign w:val="bottom"/>
            <w:hideMark/>
          </w:tcPr>
          <w:p w14:paraId="619FE32D"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0.0000</w:t>
            </w:r>
          </w:p>
        </w:tc>
      </w:tr>
      <w:tr w:rsidR="009C5143" w:rsidRPr="00050181" w14:paraId="2E8312DC" w14:textId="77777777" w:rsidTr="00834D30">
        <w:trPr>
          <w:trHeight w:val="260"/>
        </w:trPr>
        <w:tc>
          <w:tcPr>
            <w:tcW w:w="1696" w:type="dxa"/>
            <w:tcBorders>
              <w:top w:val="nil"/>
              <w:left w:val="nil"/>
              <w:bottom w:val="nil"/>
              <w:right w:val="nil"/>
            </w:tcBorders>
            <w:shd w:val="clear" w:color="auto" w:fill="auto"/>
            <w:vAlign w:val="center"/>
            <w:hideMark/>
          </w:tcPr>
          <w:p w14:paraId="686F4FC5"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SPLRCS</w:t>
            </w:r>
          </w:p>
        </w:tc>
        <w:tc>
          <w:tcPr>
            <w:tcW w:w="1696" w:type="dxa"/>
            <w:tcBorders>
              <w:top w:val="nil"/>
              <w:left w:val="nil"/>
              <w:bottom w:val="nil"/>
              <w:right w:val="nil"/>
            </w:tcBorders>
            <w:shd w:val="clear" w:color="auto" w:fill="auto"/>
            <w:noWrap/>
            <w:vAlign w:val="bottom"/>
            <w:hideMark/>
          </w:tcPr>
          <w:p w14:paraId="11542E35"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-1.7328***</w:t>
            </w:r>
          </w:p>
        </w:tc>
        <w:tc>
          <w:tcPr>
            <w:tcW w:w="1696" w:type="dxa"/>
            <w:tcBorders>
              <w:top w:val="nil"/>
              <w:left w:val="nil"/>
              <w:bottom w:val="nil"/>
              <w:right w:val="nil"/>
            </w:tcBorders>
            <w:shd w:val="clear" w:color="auto" w:fill="auto"/>
            <w:noWrap/>
            <w:vAlign w:val="bottom"/>
            <w:hideMark/>
          </w:tcPr>
          <w:p w14:paraId="657D6179"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-10.5451</w:t>
            </w:r>
          </w:p>
        </w:tc>
        <w:tc>
          <w:tcPr>
            <w:tcW w:w="1696" w:type="dxa"/>
            <w:tcBorders>
              <w:top w:val="nil"/>
              <w:left w:val="nil"/>
              <w:bottom w:val="nil"/>
              <w:right w:val="nil"/>
            </w:tcBorders>
            <w:shd w:val="clear" w:color="auto" w:fill="auto"/>
            <w:noWrap/>
            <w:vAlign w:val="bottom"/>
            <w:hideMark/>
          </w:tcPr>
          <w:p w14:paraId="16113DF8"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0.0000</w:t>
            </w:r>
          </w:p>
        </w:tc>
      </w:tr>
      <w:tr w:rsidR="009C5143" w:rsidRPr="00050181" w14:paraId="7E8468A8" w14:textId="77777777" w:rsidTr="00834D30">
        <w:trPr>
          <w:trHeight w:val="260"/>
        </w:trPr>
        <w:tc>
          <w:tcPr>
            <w:tcW w:w="1696" w:type="dxa"/>
            <w:tcBorders>
              <w:top w:val="nil"/>
              <w:left w:val="nil"/>
              <w:bottom w:val="nil"/>
              <w:right w:val="nil"/>
            </w:tcBorders>
            <w:shd w:val="clear" w:color="auto" w:fill="auto"/>
            <w:vAlign w:val="center"/>
            <w:hideMark/>
          </w:tcPr>
          <w:p w14:paraId="75774B80"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SPXHC</w:t>
            </w:r>
          </w:p>
        </w:tc>
        <w:tc>
          <w:tcPr>
            <w:tcW w:w="1696" w:type="dxa"/>
            <w:tcBorders>
              <w:top w:val="nil"/>
              <w:left w:val="nil"/>
              <w:bottom w:val="nil"/>
              <w:right w:val="nil"/>
            </w:tcBorders>
            <w:shd w:val="clear" w:color="auto" w:fill="auto"/>
            <w:noWrap/>
            <w:vAlign w:val="bottom"/>
            <w:hideMark/>
          </w:tcPr>
          <w:p w14:paraId="7C985592"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-1.1093</w:t>
            </w:r>
          </w:p>
        </w:tc>
        <w:tc>
          <w:tcPr>
            <w:tcW w:w="1696" w:type="dxa"/>
            <w:tcBorders>
              <w:top w:val="nil"/>
              <w:left w:val="nil"/>
              <w:bottom w:val="nil"/>
              <w:right w:val="nil"/>
            </w:tcBorders>
            <w:shd w:val="clear" w:color="auto" w:fill="auto"/>
            <w:noWrap/>
            <w:vAlign w:val="bottom"/>
            <w:hideMark/>
          </w:tcPr>
          <w:p w14:paraId="7B17CDC7"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-1.5964</w:t>
            </w:r>
          </w:p>
        </w:tc>
        <w:tc>
          <w:tcPr>
            <w:tcW w:w="1696" w:type="dxa"/>
            <w:tcBorders>
              <w:top w:val="nil"/>
              <w:left w:val="nil"/>
              <w:bottom w:val="nil"/>
              <w:right w:val="nil"/>
            </w:tcBorders>
            <w:shd w:val="clear" w:color="auto" w:fill="auto"/>
            <w:noWrap/>
            <w:vAlign w:val="bottom"/>
            <w:hideMark/>
          </w:tcPr>
          <w:p w14:paraId="5B3E425A"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0.1216</w:t>
            </w:r>
          </w:p>
        </w:tc>
      </w:tr>
      <w:tr w:rsidR="009C5143" w:rsidRPr="00050181" w14:paraId="3FBD47B6" w14:textId="77777777" w:rsidTr="00834D30">
        <w:trPr>
          <w:trHeight w:val="260"/>
        </w:trPr>
        <w:tc>
          <w:tcPr>
            <w:tcW w:w="1696" w:type="dxa"/>
            <w:tcBorders>
              <w:top w:val="nil"/>
              <w:left w:val="nil"/>
              <w:bottom w:val="nil"/>
              <w:right w:val="nil"/>
            </w:tcBorders>
            <w:shd w:val="clear" w:color="auto" w:fill="auto"/>
            <w:vAlign w:val="center"/>
            <w:hideMark/>
          </w:tcPr>
          <w:p w14:paraId="38AFFFCD"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SPSY</w:t>
            </w:r>
          </w:p>
        </w:tc>
        <w:tc>
          <w:tcPr>
            <w:tcW w:w="1696" w:type="dxa"/>
            <w:tcBorders>
              <w:top w:val="nil"/>
              <w:left w:val="nil"/>
              <w:bottom w:val="nil"/>
              <w:right w:val="nil"/>
            </w:tcBorders>
            <w:shd w:val="clear" w:color="auto" w:fill="auto"/>
            <w:noWrap/>
            <w:vAlign w:val="bottom"/>
            <w:hideMark/>
          </w:tcPr>
          <w:p w14:paraId="52F51E3C"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-4.8070***</w:t>
            </w:r>
          </w:p>
        </w:tc>
        <w:tc>
          <w:tcPr>
            <w:tcW w:w="1696" w:type="dxa"/>
            <w:tcBorders>
              <w:top w:val="nil"/>
              <w:left w:val="nil"/>
              <w:bottom w:val="nil"/>
              <w:right w:val="nil"/>
            </w:tcBorders>
            <w:shd w:val="clear" w:color="auto" w:fill="auto"/>
            <w:noWrap/>
            <w:vAlign w:val="bottom"/>
            <w:hideMark/>
          </w:tcPr>
          <w:p w14:paraId="2095B792"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-6.7097</w:t>
            </w:r>
          </w:p>
        </w:tc>
        <w:tc>
          <w:tcPr>
            <w:tcW w:w="1696" w:type="dxa"/>
            <w:tcBorders>
              <w:top w:val="nil"/>
              <w:left w:val="nil"/>
              <w:bottom w:val="nil"/>
              <w:right w:val="nil"/>
            </w:tcBorders>
            <w:shd w:val="clear" w:color="auto" w:fill="auto"/>
            <w:noWrap/>
            <w:vAlign w:val="bottom"/>
            <w:hideMark/>
          </w:tcPr>
          <w:p w14:paraId="2AB0125D"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0.0000</w:t>
            </w:r>
          </w:p>
        </w:tc>
      </w:tr>
      <w:tr w:rsidR="009C5143" w:rsidRPr="00050181" w14:paraId="68485201" w14:textId="77777777" w:rsidTr="00834D30">
        <w:trPr>
          <w:trHeight w:val="260"/>
        </w:trPr>
        <w:tc>
          <w:tcPr>
            <w:tcW w:w="1696" w:type="dxa"/>
            <w:tcBorders>
              <w:top w:val="nil"/>
              <w:left w:val="nil"/>
              <w:bottom w:val="nil"/>
              <w:right w:val="nil"/>
            </w:tcBorders>
            <w:shd w:val="clear" w:color="auto" w:fill="auto"/>
            <w:vAlign w:val="center"/>
            <w:hideMark/>
          </w:tcPr>
          <w:p w14:paraId="5B74E75C"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SPLRCT</w:t>
            </w:r>
          </w:p>
        </w:tc>
        <w:tc>
          <w:tcPr>
            <w:tcW w:w="1696" w:type="dxa"/>
            <w:tcBorders>
              <w:top w:val="nil"/>
              <w:left w:val="nil"/>
              <w:bottom w:val="nil"/>
              <w:right w:val="nil"/>
            </w:tcBorders>
            <w:shd w:val="clear" w:color="auto" w:fill="auto"/>
            <w:noWrap/>
            <w:vAlign w:val="bottom"/>
            <w:hideMark/>
          </w:tcPr>
          <w:p w14:paraId="2EDC90E2"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3.6622***</w:t>
            </w:r>
          </w:p>
        </w:tc>
        <w:tc>
          <w:tcPr>
            <w:tcW w:w="1696" w:type="dxa"/>
            <w:tcBorders>
              <w:top w:val="nil"/>
              <w:left w:val="nil"/>
              <w:bottom w:val="nil"/>
              <w:right w:val="nil"/>
            </w:tcBorders>
            <w:shd w:val="clear" w:color="auto" w:fill="auto"/>
            <w:noWrap/>
            <w:vAlign w:val="bottom"/>
            <w:hideMark/>
          </w:tcPr>
          <w:p w14:paraId="5EAF0D7C"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9.2058</w:t>
            </w:r>
          </w:p>
        </w:tc>
        <w:tc>
          <w:tcPr>
            <w:tcW w:w="1696" w:type="dxa"/>
            <w:tcBorders>
              <w:top w:val="nil"/>
              <w:left w:val="nil"/>
              <w:bottom w:val="nil"/>
              <w:right w:val="nil"/>
            </w:tcBorders>
            <w:shd w:val="clear" w:color="auto" w:fill="auto"/>
            <w:noWrap/>
            <w:vAlign w:val="bottom"/>
            <w:hideMark/>
          </w:tcPr>
          <w:p w14:paraId="7CA530A6"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0.0000</w:t>
            </w:r>
          </w:p>
        </w:tc>
      </w:tr>
      <w:tr w:rsidR="009C5143" w:rsidRPr="00050181" w14:paraId="6C6806DB" w14:textId="77777777" w:rsidTr="00834D30">
        <w:trPr>
          <w:trHeight w:val="260"/>
        </w:trPr>
        <w:tc>
          <w:tcPr>
            <w:tcW w:w="1696" w:type="dxa"/>
            <w:tcBorders>
              <w:top w:val="nil"/>
              <w:left w:val="nil"/>
              <w:bottom w:val="nil"/>
              <w:right w:val="nil"/>
            </w:tcBorders>
            <w:shd w:val="clear" w:color="auto" w:fill="auto"/>
            <w:vAlign w:val="center"/>
            <w:hideMark/>
          </w:tcPr>
          <w:p w14:paraId="397EDA63"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SPLRCL</w:t>
            </w:r>
          </w:p>
        </w:tc>
        <w:tc>
          <w:tcPr>
            <w:tcW w:w="1696" w:type="dxa"/>
            <w:tcBorders>
              <w:top w:val="nil"/>
              <w:left w:val="nil"/>
              <w:bottom w:val="nil"/>
              <w:right w:val="nil"/>
            </w:tcBorders>
            <w:shd w:val="clear" w:color="auto" w:fill="auto"/>
            <w:noWrap/>
            <w:vAlign w:val="bottom"/>
            <w:hideMark/>
          </w:tcPr>
          <w:p w14:paraId="528CE2A1"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0.3364***</w:t>
            </w:r>
          </w:p>
        </w:tc>
        <w:tc>
          <w:tcPr>
            <w:tcW w:w="1696" w:type="dxa"/>
            <w:tcBorders>
              <w:top w:val="nil"/>
              <w:left w:val="nil"/>
              <w:bottom w:val="nil"/>
              <w:right w:val="nil"/>
            </w:tcBorders>
            <w:shd w:val="clear" w:color="auto" w:fill="auto"/>
            <w:noWrap/>
            <w:vAlign w:val="bottom"/>
            <w:hideMark/>
          </w:tcPr>
          <w:p w14:paraId="01DF0C17"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-3.3705</w:t>
            </w:r>
          </w:p>
        </w:tc>
        <w:tc>
          <w:tcPr>
            <w:tcW w:w="1696" w:type="dxa"/>
            <w:tcBorders>
              <w:top w:val="nil"/>
              <w:left w:val="nil"/>
              <w:bottom w:val="nil"/>
              <w:right w:val="nil"/>
            </w:tcBorders>
            <w:shd w:val="clear" w:color="auto" w:fill="auto"/>
            <w:noWrap/>
            <w:vAlign w:val="bottom"/>
            <w:hideMark/>
          </w:tcPr>
          <w:p w14:paraId="64DF7A69"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0.0022</w:t>
            </w:r>
          </w:p>
        </w:tc>
      </w:tr>
      <w:tr w:rsidR="009C5143" w:rsidRPr="00050181" w14:paraId="1A3B7722" w14:textId="77777777" w:rsidTr="00834D30">
        <w:trPr>
          <w:trHeight w:val="260"/>
        </w:trPr>
        <w:tc>
          <w:tcPr>
            <w:tcW w:w="1696" w:type="dxa"/>
            <w:tcBorders>
              <w:top w:val="nil"/>
              <w:left w:val="nil"/>
              <w:bottom w:val="nil"/>
              <w:right w:val="nil"/>
            </w:tcBorders>
            <w:shd w:val="clear" w:color="auto" w:fill="auto"/>
            <w:vAlign w:val="center"/>
            <w:hideMark/>
          </w:tcPr>
          <w:p w14:paraId="6DDBE1F0"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SPLRCU</w:t>
            </w:r>
          </w:p>
        </w:tc>
        <w:tc>
          <w:tcPr>
            <w:tcW w:w="1696" w:type="dxa"/>
            <w:tcBorders>
              <w:top w:val="nil"/>
              <w:left w:val="nil"/>
              <w:bottom w:val="nil"/>
              <w:right w:val="nil"/>
            </w:tcBorders>
            <w:shd w:val="clear" w:color="auto" w:fill="auto"/>
            <w:noWrap/>
            <w:vAlign w:val="bottom"/>
            <w:hideMark/>
          </w:tcPr>
          <w:p w14:paraId="2777A10F"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5.8688***</w:t>
            </w:r>
          </w:p>
        </w:tc>
        <w:tc>
          <w:tcPr>
            <w:tcW w:w="1696" w:type="dxa"/>
            <w:tcBorders>
              <w:top w:val="nil"/>
              <w:left w:val="nil"/>
              <w:bottom w:val="nil"/>
              <w:right w:val="nil"/>
            </w:tcBorders>
            <w:shd w:val="clear" w:color="auto" w:fill="auto"/>
            <w:noWrap/>
            <w:vAlign w:val="bottom"/>
            <w:hideMark/>
          </w:tcPr>
          <w:p w14:paraId="336A9371"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5.9947</w:t>
            </w:r>
          </w:p>
        </w:tc>
        <w:tc>
          <w:tcPr>
            <w:tcW w:w="1696" w:type="dxa"/>
            <w:tcBorders>
              <w:top w:val="nil"/>
              <w:left w:val="nil"/>
              <w:bottom w:val="nil"/>
              <w:right w:val="nil"/>
            </w:tcBorders>
            <w:shd w:val="clear" w:color="auto" w:fill="auto"/>
            <w:noWrap/>
            <w:vAlign w:val="bottom"/>
            <w:hideMark/>
          </w:tcPr>
          <w:p w14:paraId="1AA72B79"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0.0000</w:t>
            </w:r>
          </w:p>
        </w:tc>
      </w:tr>
      <w:tr w:rsidR="009C5143" w:rsidRPr="00050181" w14:paraId="3F02164A" w14:textId="77777777" w:rsidTr="00834D30">
        <w:trPr>
          <w:trHeight w:val="270"/>
        </w:trPr>
        <w:tc>
          <w:tcPr>
            <w:tcW w:w="1696" w:type="dxa"/>
            <w:tcBorders>
              <w:top w:val="nil"/>
              <w:left w:val="nil"/>
              <w:bottom w:val="single" w:sz="8" w:space="0" w:color="auto"/>
              <w:right w:val="nil"/>
            </w:tcBorders>
            <w:shd w:val="clear" w:color="auto" w:fill="auto"/>
            <w:vAlign w:val="center"/>
            <w:hideMark/>
          </w:tcPr>
          <w:p w14:paraId="76561356"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SPLRCREC</w:t>
            </w:r>
          </w:p>
        </w:tc>
        <w:tc>
          <w:tcPr>
            <w:tcW w:w="1696" w:type="dxa"/>
            <w:tcBorders>
              <w:top w:val="nil"/>
              <w:left w:val="nil"/>
              <w:bottom w:val="single" w:sz="8" w:space="0" w:color="auto"/>
              <w:right w:val="nil"/>
            </w:tcBorders>
            <w:shd w:val="clear" w:color="auto" w:fill="auto"/>
            <w:noWrap/>
            <w:vAlign w:val="bottom"/>
            <w:hideMark/>
          </w:tcPr>
          <w:p w14:paraId="5F30CF17"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0.7970***</w:t>
            </w:r>
          </w:p>
        </w:tc>
        <w:tc>
          <w:tcPr>
            <w:tcW w:w="1696" w:type="dxa"/>
            <w:tcBorders>
              <w:top w:val="nil"/>
              <w:left w:val="nil"/>
              <w:bottom w:val="single" w:sz="8" w:space="0" w:color="auto"/>
              <w:right w:val="nil"/>
            </w:tcBorders>
            <w:shd w:val="clear" w:color="auto" w:fill="auto"/>
            <w:noWrap/>
            <w:vAlign w:val="bottom"/>
            <w:hideMark/>
          </w:tcPr>
          <w:p w14:paraId="6E858124"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-8.4924</w:t>
            </w:r>
          </w:p>
        </w:tc>
        <w:tc>
          <w:tcPr>
            <w:tcW w:w="1696" w:type="dxa"/>
            <w:tcBorders>
              <w:top w:val="nil"/>
              <w:left w:val="nil"/>
              <w:bottom w:val="single" w:sz="8" w:space="0" w:color="auto"/>
              <w:right w:val="nil"/>
            </w:tcBorders>
            <w:shd w:val="clear" w:color="auto" w:fill="auto"/>
            <w:noWrap/>
            <w:vAlign w:val="bottom"/>
            <w:hideMark/>
          </w:tcPr>
          <w:p w14:paraId="12B82F7A"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0.0000</w:t>
            </w:r>
          </w:p>
        </w:tc>
      </w:tr>
      <w:tr w:rsidR="009C5143" w:rsidRPr="00050181" w14:paraId="6D14241C" w14:textId="77777777" w:rsidTr="00834D30">
        <w:trPr>
          <w:trHeight w:val="290"/>
        </w:trPr>
        <w:tc>
          <w:tcPr>
            <w:tcW w:w="6784" w:type="dxa"/>
            <w:gridSpan w:val="4"/>
            <w:tcBorders>
              <w:top w:val="single" w:sz="8" w:space="0" w:color="auto"/>
              <w:left w:val="nil"/>
              <w:bottom w:val="nil"/>
              <w:right w:val="nil"/>
            </w:tcBorders>
            <w:shd w:val="clear" w:color="auto" w:fill="auto"/>
            <w:noWrap/>
            <w:vAlign w:val="bottom"/>
            <w:hideMark/>
          </w:tcPr>
          <w:p w14:paraId="4E1DECD9" w14:textId="77777777" w:rsidR="009C5143" w:rsidRPr="00050181" w:rsidRDefault="009C5143" w:rsidP="00834D30">
            <w:pPr>
              <w:spacing w:line="240" w:lineRule="auto"/>
              <w:rPr>
                <w:rFonts w:ascii="Times New Roman" w:eastAsia="Times New Roman" w:hAnsi="Times New Roman" w:cs="Times New Roman"/>
                <w:bCs/>
                <w:color w:val="000000"/>
                <w:sz w:val="20"/>
                <w:szCs w:val="20"/>
                <w:lang w:val="en-US"/>
              </w:rPr>
            </w:pPr>
            <w:r w:rsidRPr="00050181">
              <w:rPr>
                <w:rFonts w:ascii="Times New Roman" w:eastAsia="Times New Roman" w:hAnsi="Times New Roman" w:cs="Times New Roman"/>
                <w:bCs/>
                <w:color w:val="000000"/>
                <w:sz w:val="20"/>
                <w:szCs w:val="20"/>
                <w:lang w:val="en-US"/>
              </w:rPr>
              <w:t>*, **, and *** indicate significance at the 10%, 5%, and 1% level, respectively</w:t>
            </w:r>
          </w:p>
        </w:tc>
      </w:tr>
    </w:tbl>
    <w:p w14:paraId="38BA39DD" w14:textId="77777777" w:rsidR="009C5143" w:rsidRPr="00262015" w:rsidRDefault="009C5143" w:rsidP="009C5143">
      <w:pPr>
        <w:rPr>
          <w:rFonts w:ascii="Times New Roman" w:eastAsia="Times New Roman" w:hAnsi="Times New Roman" w:cs="Times New Roman"/>
          <w:bCs/>
        </w:rPr>
      </w:pPr>
    </w:p>
    <w:p w14:paraId="3654D712" w14:textId="11BABC9D" w:rsidR="00931280" w:rsidRDefault="00931280" w:rsidP="009C514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Figure </w:t>
      </w:r>
      <w:r w:rsidR="00FE6171">
        <w:rPr>
          <w:rFonts w:ascii="Times New Roman" w:eastAsia="Times New Roman" w:hAnsi="Times New Roman" w:cs="Times New Roman"/>
          <w:bCs/>
          <w:sz w:val="24"/>
          <w:szCs w:val="24"/>
        </w:rPr>
        <w:t>3</w:t>
      </w:r>
      <w:r>
        <w:rPr>
          <w:rFonts w:ascii="Times New Roman" w:eastAsia="Times New Roman" w:hAnsi="Times New Roman" w:cs="Times New Roman"/>
          <w:bCs/>
          <w:sz w:val="24"/>
          <w:szCs w:val="24"/>
        </w:rPr>
        <w:t xml:space="preserve"> </w:t>
      </w:r>
      <w:r w:rsidR="008040B7">
        <w:rPr>
          <w:rFonts w:ascii="Times New Roman" w:eastAsia="Times New Roman" w:hAnsi="Times New Roman" w:cs="Times New Roman"/>
          <w:bCs/>
          <w:sz w:val="24"/>
          <w:szCs w:val="24"/>
        </w:rPr>
        <w:t>appears</w:t>
      </w:r>
      <w:r>
        <w:rPr>
          <w:rFonts w:ascii="Times New Roman" w:eastAsia="Times New Roman" w:hAnsi="Times New Roman" w:cs="Times New Roman"/>
          <w:bCs/>
          <w:sz w:val="24"/>
          <w:szCs w:val="24"/>
        </w:rPr>
        <w:t xml:space="preserve"> more interesting than</w:t>
      </w:r>
      <w:r w:rsidR="008040B7">
        <w:rPr>
          <w:rFonts w:ascii="Times New Roman" w:eastAsia="Times New Roman" w:hAnsi="Times New Roman" w:cs="Times New Roman"/>
          <w:bCs/>
          <w:sz w:val="24"/>
          <w:szCs w:val="24"/>
        </w:rPr>
        <w:t xml:space="preserve"> Figure </w:t>
      </w:r>
      <w:r w:rsidR="00FE6171">
        <w:rPr>
          <w:rFonts w:ascii="Times New Roman" w:eastAsia="Times New Roman" w:hAnsi="Times New Roman" w:cs="Times New Roman"/>
          <w:bCs/>
          <w:sz w:val="24"/>
          <w:szCs w:val="24"/>
        </w:rPr>
        <w:t>2</w:t>
      </w:r>
      <w:r>
        <w:rPr>
          <w:rFonts w:ascii="Times New Roman" w:eastAsia="Times New Roman" w:hAnsi="Times New Roman" w:cs="Times New Roman"/>
          <w:bCs/>
          <w:sz w:val="24"/>
          <w:szCs w:val="24"/>
        </w:rPr>
        <w:t xml:space="preserve"> as we can see an effect of the second event over the first. </w:t>
      </w:r>
      <w:r w:rsidR="008040B7" w:rsidRPr="008040B7">
        <w:rPr>
          <w:rFonts w:ascii="Times New Roman" w:eastAsia="Times New Roman" w:hAnsi="Times New Roman" w:cs="Times New Roman"/>
          <w:bCs/>
          <w:sz w:val="24"/>
          <w:szCs w:val="24"/>
        </w:rPr>
        <w:t xml:space="preserve">The announcement of the Wuhan city lockdown appeared to have an abrupt impact on investor behavior in the Consumer Staples and Health Care sectors. This impact is evident in the continuation of the gradual downward trend observed after the event date, as illustrated in Figure </w:t>
      </w:r>
      <w:r w:rsidR="00FE6171">
        <w:rPr>
          <w:rFonts w:ascii="Times New Roman" w:eastAsia="Times New Roman" w:hAnsi="Times New Roman" w:cs="Times New Roman"/>
          <w:bCs/>
          <w:sz w:val="24"/>
          <w:szCs w:val="24"/>
        </w:rPr>
        <w:lastRenderedPageBreak/>
        <w:t>3</w:t>
      </w:r>
      <w:r w:rsidR="008040B7" w:rsidRPr="008040B7">
        <w:rPr>
          <w:rFonts w:ascii="Times New Roman" w:eastAsia="Times New Roman" w:hAnsi="Times New Roman" w:cs="Times New Roman"/>
          <w:bCs/>
          <w:sz w:val="24"/>
          <w:szCs w:val="24"/>
        </w:rPr>
        <w:t>.</w:t>
      </w:r>
      <w:r w:rsidR="008040B7">
        <w:rPr>
          <w:rFonts w:ascii="Times New Roman" w:eastAsia="Times New Roman" w:hAnsi="Times New Roman" w:cs="Times New Roman"/>
          <w:bCs/>
          <w:sz w:val="24"/>
          <w:szCs w:val="24"/>
        </w:rPr>
        <w:t xml:space="preserve"> </w:t>
      </w:r>
      <w:r w:rsidR="008040B7" w:rsidRPr="008040B7">
        <w:rPr>
          <w:rFonts w:ascii="Times New Roman" w:eastAsia="Times New Roman" w:hAnsi="Times New Roman" w:cs="Times New Roman"/>
          <w:bCs/>
          <w:sz w:val="24"/>
          <w:szCs w:val="24"/>
        </w:rPr>
        <w:t>Following the second event, an abrupt upward shock was observed in the Consumer Staples and Health care sectors, while the Consumer Discretionary sector experienced a notable downward shock.</w:t>
      </w:r>
      <w:r w:rsidR="008040B7">
        <w:rPr>
          <w:rFonts w:ascii="Times New Roman" w:eastAsia="Times New Roman" w:hAnsi="Times New Roman" w:cs="Times New Roman"/>
          <w:bCs/>
          <w:sz w:val="24"/>
          <w:szCs w:val="24"/>
        </w:rPr>
        <w:br/>
      </w:r>
    </w:p>
    <w:p w14:paraId="72C7DC32" w14:textId="62298155" w:rsidR="008040B7" w:rsidRDefault="008040B7" w:rsidP="009C514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As expected, the sudden change in trajectory of Health Care can be attributed to the expectation of higher demand of pharmaceutical and other healthcare facilities with increasing fatal cases of COVID-19 infections. Similarly, in context with the lockdown-related speculation, </w:t>
      </w:r>
      <w:r w:rsidR="004116CF">
        <w:rPr>
          <w:rFonts w:ascii="Times New Roman" w:eastAsia="Times New Roman" w:hAnsi="Times New Roman" w:cs="Times New Roman"/>
          <w:bCs/>
          <w:sz w:val="24"/>
          <w:szCs w:val="24"/>
        </w:rPr>
        <w:t>the upward trend of Consumer Staples sectors is reasonable, which can be attributed to expectations of consumer hording of</w:t>
      </w:r>
      <w:r w:rsidR="00384F78">
        <w:rPr>
          <w:rFonts w:ascii="Times New Roman" w:eastAsia="Times New Roman" w:hAnsi="Times New Roman" w:cs="Times New Roman"/>
          <w:bCs/>
          <w:sz w:val="24"/>
          <w:szCs w:val="24"/>
        </w:rPr>
        <w:t xml:space="preserve"> essential products and services</w:t>
      </w:r>
      <w:r w:rsidR="004116CF">
        <w:rPr>
          <w:rFonts w:ascii="Times New Roman" w:eastAsia="Times New Roman" w:hAnsi="Times New Roman" w:cs="Times New Roman"/>
          <w:bCs/>
          <w:sz w:val="24"/>
          <w:szCs w:val="24"/>
        </w:rPr>
        <w:t xml:space="preserve">. In contrast, the downward trajectory of Consumer Discretionary sector can be attributed to the investor speculation of consumers opting out of non-essential products and services with an expectation of a weaking economy.  </w:t>
      </w:r>
    </w:p>
    <w:p w14:paraId="12408151" w14:textId="77777777" w:rsidR="00931280" w:rsidRDefault="00931280" w:rsidP="009C5143">
      <w:pPr>
        <w:rPr>
          <w:rFonts w:ascii="Times New Roman" w:eastAsia="Times New Roman" w:hAnsi="Times New Roman" w:cs="Times New Roman"/>
          <w:bCs/>
          <w:sz w:val="20"/>
          <w:szCs w:val="20"/>
        </w:rPr>
      </w:pPr>
    </w:p>
    <w:p w14:paraId="13223C79" w14:textId="77777777" w:rsidR="008040B7" w:rsidRDefault="008040B7" w:rsidP="009C5143">
      <w:pPr>
        <w:rPr>
          <w:rFonts w:ascii="Times New Roman" w:eastAsia="Times New Roman" w:hAnsi="Times New Roman" w:cs="Times New Roman"/>
          <w:bCs/>
          <w:sz w:val="20"/>
          <w:szCs w:val="20"/>
        </w:rPr>
      </w:pPr>
    </w:p>
    <w:p w14:paraId="5B4A9825" w14:textId="233714B6" w:rsidR="009C5143" w:rsidRPr="00892C10" w:rsidRDefault="009C5143" w:rsidP="009C5143">
      <w:pPr>
        <w:rPr>
          <w:rFonts w:ascii="Times New Roman" w:eastAsia="Times New Roman" w:hAnsi="Times New Roman" w:cs="Times New Roman"/>
          <w:bCs/>
          <w:sz w:val="24"/>
          <w:szCs w:val="24"/>
        </w:rPr>
      </w:pPr>
      <w:r w:rsidRPr="00892C10">
        <w:rPr>
          <w:rFonts w:ascii="Times New Roman" w:eastAsia="Times New Roman" w:hAnsi="Times New Roman" w:cs="Times New Roman"/>
          <w:b/>
          <w:sz w:val="24"/>
          <w:szCs w:val="24"/>
        </w:rPr>
        <w:t>Table 5</w:t>
      </w:r>
      <w:r w:rsidRPr="00892C10">
        <w:rPr>
          <w:rFonts w:ascii="Times New Roman" w:eastAsia="Times New Roman" w:hAnsi="Times New Roman" w:cs="Times New Roman"/>
          <w:bCs/>
          <w:sz w:val="24"/>
          <w:szCs w:val="24"/>
        </w:rPr>
        <w:t xml:space="preserve"> CARs in (0, 30) event window </w:t>
      </w:r>
    </w:p>
    <w:tbl>
      <w:tblPr>
        <w:tblW w:w="6784" w:type="dxa"/>
        <w:tblLook w:val="04A0" w:firstRow="1" w:lastRow="0" w:firstColumn="1" w:lastColumn="0" w:noHBand="0" w:noVBand="1"/>
      </w:tblPr>
      <w:tblGrid>
        <w:gridCol w:w="1696"/>
        <w:gridCol w:w="1696"/>
        <w:gridCol w:w="1696"/>
        <w:gridCol w:w="1696"/>
      </w:tblGrid>
      <w:tr w:rsidR="009C5143" w:rsidRPr="0047544A" w14:paraId="54888DD3" w14:textId="77777777" w:rsidTr="00834D30">
        <w:trPr>
          <w:trHeight w:val="270"/>
        </w:trPr>
        <w:tc>
          <w:tcPr>
            <w:tcW w:w="1696" w:type="dxa"/>
            <w:tcBorders>
              <w:top w:val="single" w:sz="8" w:space="0" w:color="auto"/>
              <w:left w:val="nil"/>
              <w:bottom w:val="single" w:sz="8" w:space="0" w:color="auto"/>
              <w:right w:val="nil"/>
            </w:tcBorders>
            <w:shd w:val="clear" w:color="auto" w:fill="auto"/>
            <w:noWrap/>
            <w:vAlign w:val="bottom"/>
            <w:hideMark/>
          </w:tcPr>
          <w:p w14:paraId="57BB9A82"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Indices (GICS)</w:t>
            </w:r>
          </w:p>
        </w:tc>
        <w:tc>
          <w:tcPr>
            <w:tcW w:w="1696" w:type="dxa"/>
            <w:tcBorders>
              <w:top w:val="single" w:sz="8" w:space="0" w:color="auto"/>
              <w:left w:val="nil"/>
              <w:bottom w:val="single" w:sz="8" w:space="0" w:color="auto"/>
              <w:right w:val="nil"/>
            </w:tcBorders>
            <w:shd w:val="clear" w:color="auto" w:fill="auto"/>
            <w:noWrap/>
            <w:vAlign w:val="bottom"/>
            <w:hideMark/>
          </w:tcPr>
          <w:p w14:paraId="5323499D"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CAR (0, 30 )</w:t>
            </w:r>
          </w:p>
        </w:tc>
        <w:tc>
          <w:tcPr>
            <w:tcW w:w="1696" w:type="dxa"/>
            <w:tcBorders>
              <w:top w:val="single" w:sz="8" w:space="0" w:color="auto"/>
              <w:left w:val="nil"/>
              <w:bottom w:val="single" w:sz="8" w:space="0" w:color="auto"/>
              <w:right w:val="nil"/>
            </w:tcBorders>
            <w:shd w:val="clear" w:color="auto" w:fill="auto"/>
            <w:noWrap/>
            <w:vAlign w:val="bottom"/>
            <w:hideMark/>
          </w:tcPr>
          <w:p w14:paraId="0BCBE474"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 xml:space="preserve">T-Test </w:t>
            </w:r>
          </w:p>
        </w:tc>
        <w:tc>
          <w:tcPr>
            <w:tcW w:w="1696" w:type="dxa"/>
            <w:tcBorders>
              <w:top w:val="single" w:sz="8" w:space="0" w:color="auto"/>
              <w:left w:val="nil"/>
              <w:bottom w:val="single" w:sz="8" w:space="0" w:color="auto"/>
              <w:right w:val="nil"/>
            </w:tcBorders>
            <w:shd w:val="clear" w:color="auto" w:fill="auto"/>
            <w:noWrap/>
            <w:vAlign w:val="bottom"/>
            <w:hideMark/>
          </w:tcPr>
          <w:p w14:paraId="2807F681"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 xml:space="preserve">P-value </w:t>
            </w:r>
          </w:p>
        </w:tc>
      </w:tr>
      <w:tr w:rsidR="009C5143" w:rsidRPr="0047544A" w14:paraId="7B73331C" w14:textId="77777777" w:rsidTr="00834D30">
        <w:trPr>
          <w:trHeight w:val="260"/>
        </w:trPr>
        <w:tc>
          <w:tcPr>
            <w:tcW w:w="1696" w:type="dxa"/>
            <w:tcBorders>
              <w:top w:val="nil"/>
              <w:left w:val="nil"/>
              <w:bottom w:val="nil"/>
              <w:right w:val="nil"/>
            </w:tcBorders>
            <w:shd w:val="clear" w:color="auto" w:fill="auto"/>
            <w:vAlign w:val="center"/>
            <w:hideMark/>
          </w:tcPr>
          <w:p w14:paraId="15B5C520"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SPNY</w:t>
            </w:r>
          </w:p>
        </w:tc>
        <w:tc>
          <w:tcPr>
            <w:tcW w:w="1696" w:type="dxa"/>
            <w:tcBorders>
              <w:top w:val="nil"/>
              <w:left w:val="nil"/>
              <w:bottom w:val="nil"/>
              <w:right w:val="nil"/>
            </w:tcBorders>
            <w:shd w:val="clear" w:color="auto" w:fill="auto"/>
            <w:noWrap/>
            <w:vAlign w:val="bottom"/>
            <w:hideMark/>
          </w:tcPr>
          <w:p w14:paraId="79581E8F"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-17.4570***</w:t>
            </w:r>
          </w:p>
        </w:tc>
        <w:tc>
          <w:tcPr>
            <w:tcW w:w="1696" w:type="dxa"/>
            <w:tcBorders>
              <w:top w:val="nil"/>
              <w:left w:val="nil"/>
              <w:bottom w:val="nil"/>
              <w:right w:val="nil"/>
            </w:tcBorders>
            <w:shd w:val="clear" w:color="auto" w:fill="auto"/>
            <w:noWrap/>
            <w:vAlign w:val="bottom"/>
            <w:hideMark/>
          </w:tcPr>
          <w:p w14:paraId="44994E28"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-13.1960</w:t>
            </w:r>
          </w:p>
        </w:tc>
        <w:tc>
          <w:tcPr>
            <w:tcW w:w="1696" w:type="dxa"/>
            <w:tcBorders>
              <w:top w:val="nil"/>
              <w:left w:val="nil"/>
              <w:bottom w:val="nil"/>
              <w:right w:val="nil"/>
            </w:tcBorders>
            <w:shd w:val="clear" w:color="auto" w:fill="auto"/>
            <w:noWrap/>
            <w:vAlign w:val="bottom"/>
            <w:hideMark/>
          </w:tcPr>
          <w:p w14:paraId="48583843"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0.0000</w:t>
            </w:r>
          </w:p>
        </w:tc>
      </w:tr>
      <w:tr w:rsidR="009C5143" w:rsidRPr="0047544A" w14:paraId="27772431" w14:textId="77777777" w:rsidTr="00834D30">
        <w:trPr>
          <w:trHeight w:val="260"/>
        </w:trPr>
        <w:tc>
          <w:tcPr>
            <w:tcW w:w="1696" w:type="dxa"/>
            <w:tcBorders>
              <w:top w:val="nil"/>
              <w:left w:val="nil"/>
              <w:bottom w:val="nil"/>
              <w:right w:val="nil"/>
            </w:tcBorders>
            <w:shd w:val="clear" w:color="auto" w:fill="auto"/>
            <w:vAlign w:val="center"/>
            <w:hideMark/>
          </w:tcPr>
          <w:p w14:paraId="0D7CB209"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SPLRCM</w:t>
            </w:r>
          </w:p>
        </w:tc>
        <w:tc>
          <w:tcPr>
            <w:tcW w:w="1696" w:type="dxa"/>
            <w:tcBorders>
              <w:top w:val="nil"/>
              <w:left w:val="nil"/>
              <w:bottom w:val="nil"/>
              <w:right w:val="nil"/>
            </w:tcBorders>
            <w:shd w:val="clear" w:color="auto" w:fill="auto"/>
            <w:noWrap/>
            <w:vAlign w:val="bottom"/>
            <w:hideMark/>
          </w:tcPr>
          <w:p w14:paraId="03C6B64D"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-4.9265***</w:t>
            </w:r>
          </w:p>
        </w:tc>
        <w:tc>
          <w:tcPr>
            <w:tcW w:w="1696" w:type="dxa"/>
            <w:tcBorders>
              <w:top w:val="nil"/>
              <w:left w:val="nil"/>
              <w:bottom w:val="nil"/>
              <w:right w:val="nil"/>
            </w:tcBorders>
            <w:shd w:val="clear" w:color="auto" w:fill="auto"/>
            <w:noWrap/>
            <w:vAlign w:val="bottom"/>
            <w:hideMark/>
          </w:tcPr>
          <w:p w14:paraId="794C4FD5"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-35.3598</w:t>
            </w:r>
          </w:p>
        </w:tc>
        <w:tc>
          <w:tcPr>
            <w:tcW w:w="1696" w:type="dxa"/>
            <w:tcBorders>
              <w:top w:val="nil"/>
              <w:left w:val="nil"/>
              <w:bottom w:val="nil"/>
              <w:right w:val="nil"/>
            </w:tcBorders>
            <w:shd w:val="clear" w:color="auto" w:fill="auto"/>
            <w:noWrap/>
            <w:vAlign w:val="bottom"/>
            <w:hideMark/>
          </w:tcPr>
          <w:p w14:paraId="7F9F907E"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0.0000</w:t>
            </w:r>
          </w:p>
        </w:tc>
      </w:tr>
      <w:tr w:rsidR="009C5143" w:rsidRPr="0047544A" w14:paraId="5E759208" w14:textId="77777777" w:rsidTr="00834D30">
        <w:trPr>
          <w:trHeight w:val="260"/>
        </w:trPr>
        <w:tc>
          <w:tcPr>
            <w:tcW w:w="1696" w:type="dxa"/>
            <w:tcBorders>
              <w:top w:val="nil"/>
              <w:left w:val="nil"/>
              <w:bottom w:val="nil"/>
              <w:right w:val="nil"/>
            </w:tcBorders>
            <w:shd w:val="clear" w:color="auto" w:fill="auto"/>
            <w:vAlign w:val="center"/>
            <w:hideMark/>
          </w:tcPr>
          <w:p w14:paraId="20B42D5E"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SPLRCI</w:t>
            </w:r>
          </w:p>
        </w:tc>
        <w:tc>
          <w:tcPr>
            <w:tcW w:w="1696" w:type="dxa"/>
            <w:tcBorders>
              <w:top w:val="nil"/>
              <w:left w:val="nil"/>
              <w:bottom w:val="nil"/>
              <w:right w:val="nil"/>
            </w:tcBorders>
            <w:shd w:val="clear" w:color="auto" w:fill="auto"/>
            <w:noWrap/>
            <w:vAlign w:val="bottom"/>
            <w:hideMark/>
          </w:tcPr>
          <w:p w14:paraId="3B3D2027"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-3.2035***</w:t>
            </w:r>
          </w:p>
        </w:tc>
        <w:tc>
          <w:tcPr>
            <w:tcW w:w="1696" w:type="dxa"/>
            <w:tcBorders>
              <w:top w:val="nil"/>
              <w:left w:val="nil"/>
              <w:bottom w:val="nil"/>
              <w:right w:val="nil"/>
            </w:tcBorders>
            <w:shd w:val="clear" w:color="auto" w:fill="auto"/>
            <w:noWrap/>
            <w:vAlign w:val="bottom"/>
            <w:hideMark/>
          </w:tcPr>
          <w:p w14:paraId="33074A11"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-11.0004</w:t>
            </w:r>
          </w:p>
        </w:tc>
        <w:tc>
          <w:tcPr>
            <w:tcW w:w="1696" w:type="dxa"/>
            <w:tcBorders>
              <w:top w:val="nil"/>
              <w:left w:val="nil"/>
              <w:bottom w:val="nil"/>
              <w:right w:val="nil"/>
            </w:tcBorders>
            <w:shd w:val="clear" w:color="auto" w:fill="auto"/>
            <w:noWrap/>
            <w:vAlign w:val="bottom"/>
            <w:hideMark/>
          </w:tcPr>
          <w:p w14:paraId="39B1361C"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0.0000</w:t>
            </w:r>
          </w:p>
        </w:tc>
      </w:tr>
      <w:tr w:rsidR="009C5143" w:rsidRPr="0047544A" w14:paraId="0A5AEBB9" w14:textId="77777777" w:rsidTr="00834D30">
        <w:trPr>
          <w:trHeight w:val="260"/>
        </w:trPr>
        <w:tc>
          <w:tcPr>
            <w:tcW w:w="1696" w:type="dxa"/>
            <w:tcBorders>
              <w:top w:val="nil"/>
              <w:left w:val="nil"/>
              <w:bottom w:val="nil"/>
              <w:right w:val="nil"/>
            </w:tcBorders>
            <w:shd w:val="clear" w:color="auto" w:fill="auto"/>
            <w:vAlign w:val="center"/>
            <w:hideMark/>
          </w:tcPr>
          <w:p w14:paraId="5F703025"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SPLRCD</w:t>
            </w:r>
          </w:p>
        </w:tc>
        <w:tc>
          <w:tcPr>
            <w:tcW w:w="1696" w:type="dxa"/>
            <w:tcBorders>
              <w:top w:val="nil"/>
              <w:left w:val="nil"/>
              <w:bottom w:val="nil"/>
              <w:right w:val="nil"/>
            </w:tcBorders>
            <w:shd w:val="clear" w:color="auto" w:fill="auto"/>
            <w:noWrap/>
            <w:vAlign w:val="bottom"/>
            <w:hideMark/>
          </w:tcPr>
          <w:p w14:paraId="6DF3E337"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3.1220***</w:t>
            </w:r>
          </w:p>
        </w:tc>
        <w:tc>
          <w:tcPr>
            <w:tcW w:w="1696" w:type="dxa"/>
            <w:tcBorders>
              <w:top w:val="nil"/>
              <w:left w:val="nil"/>
              <w:bottom w:val="nil"/>
              <w:right w:val="nil"/>
            </w:tcBorders>
            <w:shd w:val="clear" w:color="auto" w:fill="auto"/>
            <w:noWrap/>
            <w:vAlign w:val="bottom"/>
            <w:hideMark/>
          </w:tcPr>
          <w:p w14:paraId="4060A4C6"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10.3493</w:t>
            </w:r>
          </w:p>
        </w:tc>
        <w:tc>
          <w:tcPr>
            <w:tcW w:w="1696" w:type="dxa"/>
            <w:tcBorders>
              <w:top w:val="nil"/>
              <w:left w:val="nil"/>
              <w:bottom w:val="nil"/>
              <w:right w:val="nil"/>
            </w:tcBorders>
            <w:shd w:val="clear" w:color="auto" w:fill="auto"/>
            <w:noWrap/>
            <w:vAlign w:val="bottom"/>
            <w:hideMark/>
          </w:tcPr>
          <w:p w14:paraId="569E1A11"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0.0000</w:t>
            </w:r>
          </w:p>
        </w:tc>
      </w:tr>
      <w:tr w:rsidR="009C5143" w:rsidRPr="0047544A" w14:paraId="61DF9D1A" w14:textId="77777777" w:rsidTr="00834D30">
        <w:trPr>
          <w:trHeight w:val="260"/>
        </w:trPr>
        <w:tc>
          <w:tcPr>
            <w:tcW w:w="1696" w:type="dxa"/>
            <w:tcBorders>
              <w:top w:val="nil"/>
              <w:left w:val="nil"/>
              <w:bottom w:val="nil"/>
              <w:right w:val="nil"/>
            </w:tcBorders>
            <w:shd w:val="clear" w:color="auto" w:fill="auto"/>
            <w:vAlign w:val="center"/>
            <w:hideMark/>
          </w:tcPr>
          <w:p w14:paraId="5D11E11C"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SPLRCS</w:t>
            </w:r>
          </w:p>
        </w:tc>
        <w:tc>
          <w:tcPr>
            <w:tcW w:w="1696" w:type="dxa"/>
            <w:tcBorders>
              <w:top w:val="nil"/>
              <w:left w:val="nil"/>
              <w:bottom w:val="nil"/>
              <w:right w:val="nil"/>
            </w:tcBorders>
            <w:shd w:val="clear" w:color="auto" w:fill="auto"/>
            <w:noWrap/>
            <w:vAlign w:val="bottom"/>
            <w:hideMark/>
          </w:tcPr>
          <w:p w14:paraId="11F5E543"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0.0692***</w:t>
            </w:r>
          </w:p>
        </w:tc>
        <w:tc>
          <w:tcPr>
            <w:tcW w:w="1696" w:type="dxa"/>
            <w:tcBorders>
              <w:top w:val="nil"/>
              <w:left w:val="nil"/>
              <w:bottom w:val="nil"/>
              <w:right w:val="nil"/>
            </w:tcBorders>
            <w:shd w:val="clear" w:color="auto" w:fill="auto"/>
            <w:noWrap/>
            <w:vAlign w:val="bottom"/>
            <w:hideMark/>
          </w:tcPr>
          <w:p w14:paraId="2168F902"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-11.0074</w:t>
            </w:r>
          </w:p>
        </w:tc>
        <w:tc>
          <w:tcPr>
            <w:tcW w:w="1696" w:type="dxa"/>
            <w:tcBorders>
              <w:top w:val="nil"/>
              <w:left w:val="nil"/>
              <w:bottom w:val="nil"/>
              <w:right w:val="nil"/>
            </w:tcBorders>
            <w:shd w:val="clear" w:color="auto" w:fill="auto"/>
            <w:noWrap/>
            <w:vAlign w:val="bottom"/>
            <w:hideMark/>
          </w:tcPr>
          <w:p w14:paraId="53258802"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0.0000</w:t>
            </w:r>
          </w:p>
        </w:tc>
      </w:tr>
      <w:tr w:rsidR="009C5143" w:rsidRPr="0047544A" w14:paraId="3B17E0D6" w14:textId="77777777" w:rsidTr="00834D30">
        <w:trPr>
          <w:trHeight w:val="260"/>
        </w:trPr>
        <w:tc>
          <w:tcPr>
            <w:tcW w:w="1696" w:type="dxa"/>
            <w:tcBorders>
              <w:top w:val="nil"/>
              <w:left w:val="nil"/>
              <w:bottom w:val="nil"/>
              <w:right w:val="nil"/>
            </w:tcBorders>
            <w:shd w:val="clear" w:color="auto" w:fill="auto"/>
            <w:vAlign w:val="center"/>
            <w:hideMark/>
          </w:tcPr>
          <w:p w14:paraId="5A9AC942"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SPXHC</w:t>
            </w:r>
          </w:p>
        </w:tc>
        <w:tc>
          <w:tcPr>
            <w:tcW w:w="1696" w:type="dxa"/>
            <w:tcBorders>
              <w:top w:val="nil"/>
              <w:left w:val="nil"/>
              <w:bottom w:val="nil"/>
              <w:right w:val="nil"/>
            </w:tcBorders>
            <w:shd w:val="clear" w:color="auto" w:fill="auto"/>
            <w:noWrap/>
            <w:vAlign w:val="bottom"/>
            <w:hideMark/>
          </w:tcPr>
          <w:p w14:paraId="7F27C882"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-0.7106***</w:t>
            </w:r>
          </w:p>
        </w:tc>
        <w:tc>
          <w:tcPr>
            <w:tcW w:w="1696" w:type="dxa"/>
            <w:tcBorders>
              <w:top w:val="nil"/>
              <w:left w:val="nil"/>
              <w:bottom w:val="nil"/>
              <w:right w:val="nil"/>
            </w:tcBorders>
            <w:shd w:val="clear" w:color="auto" w:fill="auto"/>
            <w:noWrap/>
            <w:vAlign w:val="bottom"/>
            <w:hideMark/>
          </w:tcPr>
          <w:p w14:paraId="344413C5"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-17.4499</w:t>
            </w:r>
          </w:p>
        </w:tc>
        <w:tc>
          <w:tcPr>
            <w:tcW w:w="1696" w:type="dxa"/>
            <w:tcBorders>
              <w:top w:val="nil"/>
              <w:left w:val="nil"/>
              <w:bottom w:val="nil"/>
              <w:right w:val="nil"/>
            </w:tcBorders>
            <w:shd w:val="clear" w:color="auto" w:fill="auto"/>
            <w:noWrap/>
            <w:vAlign w:val="bottom"/>
            <w:hideMark/>
          </w:tcPr>
          <w:p w14:paraId="32B73FD0"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0.0000</w:t>
            </w:r>
          </w:p>
        </w:tc>
      </w:tr>
      <w:tr w:rsidR="009C5143" w:rsidRPr="0047544A" w14:paraId="2DD35AD0" w14:textId="77777777" w:rsidTr="00834D30">
        <w:trPr>
          <w:trHeight w:val="260"/>
        </w:trPr>
        <w:tc>
          <w:tcPr>
            <w:tcW w:w="1696" w:type="dxa"/>
            <w:tcBorders>
              <w:top w:val="nil"/>
              <w:left w:val="nil"/>
              <w:bottom w:val="nil"/>
              <w:right w:val="nil"/>
            </w:tcBorders>
            <w:shd w:val="clear" w:color="auto" w:fill="auto"/>
            <w:vAlign w:val="center"/>
            <w:hideMark/>
          </w:tcPr>
          <w:p w14:paraId="1E193627"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SPSY</w:t>
            </w:r>
          </w:p>
        </w:tc>
        <w:tc>
          <w:tcPr>
            <w:tcW w:w="1696" w:type="dxa"/>
            <w:tcBorders>
              <w:top w:val="nil"/>
              <w:left w:val="nil"/>
              <w:bottom w:val="nil"/>
              <w:right w:val="nil"/>
            </w:tcBorders>
            <w:shd w:val="clear" w:color="auto" w:fill="auto"/>
            <w:noWrap/>
            <w:vAlign w:val="bottom"/>
            <w:hideMark/>
          </w:tcPr>
          <w:p w14:paraId="483F49CA"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-11.8893***</w:t>
            </w:r>
          </w:p>
        </w:tc>
        <w:tc>
          <w:tcPr>
            <w:tcW w:w="1696" w:type="dxa"/>
            <w:tcBorders>
              <w:top w:val="nil"/>
              <w:left w:val="nil"/>
              <w:bottom w:val="nil"/>
              <w:right w:val="nil"/>
            </w:tcBorders>
            <w:shd w:val="clear" w:color="auto" w:fill="auto"/>
            <w:noWrap/>
            <w:vAlign w:val="bottom"/>
            <w:hideMark/>
          </w:tcPr>
          <w:p w14:paraId="3EFE9922"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-18.5144</w:t>
            </w:r>
          </w:p>
        </w:tc>
        <w:tc>
          <w:tcPr>
            <w:tcW w:w="1696" w:type="dxa"/>
            <w:tcBorders>
              <w:top w:val="nil"/>
              <w:left w:val="nil"/>
              <w:bottom w:val="nil"/>
              <w:right w:val="nil"/>
            </w:tcBorders>
            <w:shd w:val="clear" w:color="auto" w:fill="auto"/>
            <w:noWrap/>
            <w:vAlign w:val="bottom"/>
            <w:hideMark/>
          </w:tcPr>
          <w:p w14:paraId="48458385"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0.0000</w:t>
            </w:r>
          </w:p>
        </w:tc>
      </w:tr>
      <w:tr w:rsidR="009C5143" w:rsidRPr="0047544A" w14:paraId="71F14489" w14:textId="77777777" w:rsidTr="00834D30">
        <w:trPr>
          <w:trHeight w:val="260"/>
        </w:trPr>
        <w:tc>
          <w:tcPr>
            <w:tcW w:w="1696" w:type="dxa"/>
            <w:tcBorders>
              <w:top w:val="nil"/>
              <w:left w:val="nil"/>
              <w:bottom w:val="nil"/>
              <w:right w:val="nil"/>
            </w:tcBorders>
            <w:shd w:val="clear" w:color="auto" w:fill="auto"/>
            <w:vAlign w:val="center"/>
            <w:hideMark/>
          </w:tcPr>
          <w:p w14:paraId="204F9AB5"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SPLRCT</w:t>
            </w:r>
          </w:p>
        </w:tc>
        <w:tc>
          <w:tcPr>
            <w:tcW w:w="1696" w:type="dxa"/>
            <w:tcBorders>
              <w:top w:val="nil"/>
              <w:left w:val="nil"/>
              <w:bottom w:val="nil"/>
              <w:right w:val="nil"/>
            </w:tcBorders>
            <w:shd w:val="clear" w:color="auto" w:fill="auto"/>
            <w:noWrap/>
            <w:vAlign w:val="bottom"/>
            <w:hideMark/>
          </w:tcPr>
          <w:p w14:paraId="28EECDA0"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8.5806***</w:t>
            </w:r>
          </w:p>
        </w:tc>
        <w:tc>
          <w:tcPr>
            <w:tcW w:w="1696" w:type="dxa"/>
            <w:tcBorders>
              <w:top w:val="nil"/>
              <w:left w:val="nil"/>
              <w:bottom w:val="nil"/>
              <w:right w:val="nil"/>
            </w:tcBorders>
            <w:shd w:val="clear" w:color="auto" w:fill="auto"/>
            <w:noWrap/>
            <w:vAlign w:val="bottom"/>
            <w:hideMark/>
          </w:tcPr>
          <w:p w14:paraId="6C532B9E"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23.6423</w:t>
            </w:r>
          </w:p>
        </w:tc>
        <w:tc>
          <w:tcPr>
            <w:tcW w:w="1696" w:type="dxa"/>
            <w:tcBorders>
              <w:top w:val="nil"/>
              <w:left w:val="nil"/>
              <w:bottom w:val="nil"/>
              <w:right w:val="nil"/>
            </w:tcBorders>
            <w:shd w:val="clear" w:color="auto" w:fill="auto"/>
            <w:noWrap/>
            <w:vAlign w:val="bottom"/>
            <w:hideMark/>
          </w:tcPr>
          <w:p w14:paraId="4DBD4AF4"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0.0000</w:t>
            </w:r>
          </w:p>
        </w:tc>
      </w:tr>
      <w:tr w:rsidR="009C5143" w:rsidRPr="0047544A" w14:paraId="4A2C62CB" w14:textId="77777777" w:rsidTr="00834D30">
        <w:trPr>
          <w:trHeight w:val="260"/>
        </w:trPr>
        <w:tc>
          <w:tcPr>
            <w:tcW w:w="1696" w:type="dxa"/>
            <w:tcBorders>
              <w:top w:val="nil"/>
              <w:left w:val="nil"/>
              <w:bottom w:val="nil"/>
              <w:right w:val="nil"/>
            </w:tcBorders>
            <w:shd w:val="clear" w:color="auto" w:fill="auto"/>
            <w:vAlign w:val="center"/>
            <w:hideMark/>
          </w:tcPr>
          <w:p w14:paraId="4FDF2A10"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SPLRCL</w:t>
            </w:r>
          </w:p>
        </w:tc>
        <w:tc>
          <w:tcPr>
            <w:tcW w:w="1696" w:type="dxa"/>
            <w:tcBorders>
              <w:top w:val="nil"/>
              <w:left w:val="nil"/>
              <w:bottom w:val="nil"/>
              <w:right w:val="nil"/>
            </w:tcBorders>
            <w:shd w:val="clear" w:color="auto" w:fill="auto"/>
            <w:noWrap/>
            <w:vAlign w:val="bottom"/>
            <w:hideMark/>
          </w:tcPr>
          <w:p w14:paraId="3F5D900A"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-0.3738</w:t>
            </w:r>
          </w:p>
        </w:tc>
        <w:tc>
          <w:tcPr>
            <w:tcW w:w="1696" w:type="dxa"/>
            <w:tcBorders>
              <w:top w:val="nil"/>
              <w:left w:val="nil"/>
              <w:bottom w:val="nil"/>
              <w:right w:val="nil"/>
            </w:tcBorders>
            <w:shd w:val="clear" w:color="auto" w:fill="auto"/>
            <w:noWrap/>
            <w:vAlign w:val="bottom"/>
            <w:hideMark/>
          </w:tcPr>
          <w:p w14:paraId="036B9C83"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-1.3732</w:t>
            </w:r>
          </w:p>
        </w:tc>
        <w:tc>
          <w:tcPr>
            <w:tcW w:w="1696" w:type="dxa"/>
            <w:tcBorders>
              <w:top w:val="nil"/>
              <w:left w:val="nil"/>
              <w:bottom w:val="nil"/>
              <w:right w:val="nil"/>
            </w:tcBorders>
            <w:shd w:val="clear" w:color="auto" w:fill="auto"/>
            <w:noWrap/>
            <w:vAlign w:val="bottom"/>
            <w:hideMark/>
          </w:tcPr>
          <w:p w14:paraId="52600F00"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0.1806</w:t>
            </w:r>
          </w:p>
        </w:tc>
      </w:tr>
      <w:tr w:rsidR="009C5143" w:rsidRPr="0047544A" w14:paraId="3EF98FA3" w14:textId="77777777" w:rsidTr="00834D30">
        <w:trPr>
          <w:trHeight w:val="260"/>
        </w:trPr>
        <w:tc>
          <w:tcPr>
            <w:tcW w:w="1696" w:type="dxa"/>
            <w:tcBorders>
              <w:top w:val="nil"/>
              <w:left w:val="nil"/>
              <w:bottom w:val="nil"/>
              <w:right w:val="nil"/>
            </w:tcBorders>
            <w:shd w:val="clear" w:color="auto" w:fill="auto"/>
            <w:vAlign w:val="center"/>
            <w:hideMark/>
          </w:tcPr>
          <w:p w14:paraId="23D6DFE3"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SPLRCU</w:t>
            </w:r>
          </w:p>
        </w:tc>
        <w:tc>
          <w:tcPr>
            <w:tcW w:w="1696" w:type="dxa"/>
            <w:tcBorders>
              <w:top w:val="nil"/>
              <w:left w:val="nil"/>
              <w:bottom w:val="nil"/>
              <w:right w:val="nil"/>
            </w:tcBorders>
            <w:shd w:val="clear" w:color="auto" w:fill="auto"/>
            <w:noWrap/>
            <w:vAlign w:val="bottom"/>
            <w:hideMark/>
          </w:tcPr>
          <w:p w14:paraId="0557CEA7"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5.0807***</w:t>
            </w:r>
          </w:p>
        </w:tc>
        <w:tc>
          <w:tcPr>
            <w:tcW w:w="1696" w:type="dxa"/>
            <w:tcBorders>
              <w:top w:val="nil"/>
              <w:left w:val="nil"/>
              <w:bottom w:val="nil"/>
              <w:right w:val="nil"/>
            </w:tcBorders>
            <w:shd w:val="clear" w:color="auto" w:fill="auto"/>
            <w:noWrap/>
            <w:vAlign w:val="bottom"/>
            <w:hideMark/>
          </w:tcPr>
          <w:p w14:paraId="149F7F37"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13.9991</w:t>
            </w:r>
          </w:p>
        </w:tc>
        <w:tc>
          <w:tcPr>
            <w:tcW w:w="1696" w:type="dxa"/>
            <w:tcBorders>
              <w:top w:val="nil"/>
              <w:left w:val="nil"/>
              <w:bottom w:val="nil"/>
              <w:right w:val="nil"/>
            </w:tcBorders>
            <w:shd w:val="clear" w:color="auto" w:fill="auto"/>
            <w:noWrap/>
            <w:vAlign w:val="bottom"/>
            <w:hideMark/>
          </w:tcPr>
          <w:p w14:paraId="45E00A57"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0.0000</w:t>
            </w:r>
          </w:p>
        </w:tc>
      </w:tr>
      <w:tr w:rsidR="009C5143" w:rsidRPr="0047544A" w14:paraId="042BC2D3" w14:textId="77777777" w:rsidTr="00834D30">
        <w:trPr>
          <w:trHeight w:val="270"/>
        </w:trPr>
        <w:tc>
          <w:tcPr>
            <w:tcW w:w="1696" w:type="dxa"/>
            <w:tcBorders>
              <w:top w:val="nil"/>
              <w:left w:val="nil"/>
              <w:bottom w:val="single" w:sz="8" w:space="0" w:color="auto"/>
              <w:right w:val="nil"/>
            </w:tcBorders>
            <w:shd w:val="clear" w:color="auto" w:fill="auto"/>
            <w:vAlign w:val="center"/>
            <w:hideMark/>
          </w:tcPr>
          <w:p w14:paraId="07082680"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SPLRCREC</w:t>
            </w:r>
          </w:p>
        </w:tc>
        <w:tc>
          <w:tcPr>
            <w:tcW w:w="1696" w:type="dxa"/>
            <w:tcBorders>
              <w:top w:val="nil"/>
              <w:left w:val="nil"/>
              <w:bottom w:val="single" w:sz="8" w:space="0" w:color="auto"/>
              <w:right w:val="nil"/>
            </w:tcBorders>
            <w:shd w:val="clear" w:color="auto" w:fill="auto"/>
            <w:noWrap/>
            <w:vAlign w:val="bottom"/>
            <w:hideMark/>
          </w:tcPr>
          <w:p w14:paraId="5EB9BE83"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0.2734***</w:t>
            </w:r>
          </w:p>
        </w:tc>
        <w:tc>
          <w:tcPr>
            <w:tcW w:w="1696" w:type="dxa"/>
            <w:tcBorders>
              <w:top w:val="nil"/>
              <w:left w:val="nil"/>
              <w:bottom w:val="single" w:sz="8" w:space="0" w:color="auto"/>
              <w:right w:val="nil"/>
            </w:tcBorders>
            <w:shd w:val="clear" w:color="auto" w:fill="auto"/>
            <w:noWrap/>
            <w:vAlign w:val="bottom"/>
            <w:hideMark/>
          </w:tcPr>
          <w:p w14:paraId="16CE8268"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3.3678</w:t>
            </w:r>
          </w:p>
        </w:tc>
        <w:tc>
          <w:tcPr>
            <w:tcW w:w="1696" w:type="dxa"/>
            <w:tcBorders>
              <w:top w:val="nil"/>
              <w:left w:val="nil"/>
              <w:bottom w:val="single" w:sz="8" w:space="0" w:color="auto"/>
              <w:right w:val="nil"/>
            </w:tcBorders>
            <w:shd w:val="clear" w:color="auto" w:fill="auto"/>
            <w:noWrap/>
            <w:vAlign w:val="bottom"/>
            <w:hideMark/>
          </w:tcPr>
          <w:p w14:paraId="0B6D88F4"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0.0022</w:t>
            </w:r>
          </w:p>
        </w:tc>
      </w:tr>
      <w:tr w:rsidR="009C5143" w:rsidRPr="0047544A" w14:paraId="5FEA2B4C" w14:textId="77777777" w:rsidTr="00834D30">
        <w:trPr>
          <w:trHeight w:val="290"/>
        </w:trPr>
        <w:tc>
          <w:tcPr>
            <w:tcW w:w="6784" w:type="dxa"/>
            <w:gridSpan w:val="4"/>
            <w:tcBorders>
              <w:top w:val="nil"/>
              <w:left w:val="nil"/>
              <w:bottom w:val="nil"/>
              <w:right w:val="nil"/>
            </w:tcBorders>
            <w:shd w:val="clear" w:color="auto" w:fill="auto"/>
            <w:noWrap/>
            <w:vAlign w:val="bottom"/>
            <w:hideMark/>
          </w:tcPr>
          <w:p w14:paraId="1DDDC563" w14:textId="77777777" w:rsidR="009C5143" w:rsidRPr="0047544A" w:rsidRDefault="009C5143" w:rsidP="00834D30">
            <w:pPr>
              <w:spacing w:line="240" w:lineRule="auto"/>
              <w:rPr>
                <w:rFonts w:ascii="Times New Roman" w:eastAsia="Times New Roman" w:hAnsi="Times New Roman" w:cs="Times New Roman"/>
                <w:bCs/>
                <w:color w:val="000000"/>
                <w:sz w:val="20"/>
                <w:szCs w:val="20"/>
                <w:lang w:val="en-US"/>
              </w:rPr>
            </w:pPr>
            <w:r w:rsidRPr="0047544A">
              <w:rPr>
                <w:rFonts w:ascii="Times New Roman" w:eastAsia="Times New Roman" w:hAnsi="Times New Roman" w:cs="Times New Roman"/>
                <w:bCs/>
                <w:color w:val="000000"/>
                <w:sz w:val="20"/>
                <w:szCs w:val="20"/>
                <w:lang w:val="en-US"/>
              </w:rPr>
              <w:t>*, **, and *** indicate significance at the 10%, 5%, and 1% level, respectively</w:t>
            </w:r>
          </w:p>
        </w:tc>
      </w:tr>
      <w:tr w:rsidR="004116CF" w:rsidRPr="00892C10" w14:paraId="469820A4" w14:textId="77777777" w:rsidTr="00834D30">
        <w:trPr>
          <w:trHeight w:val="290"/>
        </w:trPr>
        <w:tc>
          <w:tcPr>
            <w:tcW w:w="6784" w:type="dxa"/>
            <w:gridSpan w:val="4"/>
            <w:tcBorders>
              <w:top w:val="nil"/>
              <w:left w:val="nil"/>
              <w:bottom w:val="nil"/>
              <w:right w:val="nil"/>
            </w:tcBorders>
            <w:shd w:val="clear" w:color="auto" w:fill="auto"/>
            <w:noWrap/>
            <w:vAlign w:val="bottom"/>
          </w:tcPr>
          <w:p w14:paraId="213FA734" w14:textId="77777777" w:rsidR="004116CF" w:rsidRPr="00892C10" w:rsidRDefault="004116CF" w:rsidP="00834D30">
            <w:pPr>
              <w:spacing w:line="240" w:lineRule="auto"/>
              <w:rPr>
                <w:rFonts w:ascii="Times New Roman" w:eastAsia="Times New Roman" w:hAnsi="Times New Roman" w:cs="Times New Roman"/>
                <w:bCs/>
                <w:color w:val="000000"/>
                <w:sz w:val="24"/>
                <w:szCs w:val="24"/>
                <w:lang w:val="en-US"/>
              </w:rPr>
            </w:pPr>
          </w:p>
          <w:p w14:paraId="6B37612E" w14:textId="77777777" w:rsidR="004116CF" w:rsidRPr="00892C10" w:rsidRDefault="004116CF" w:rsidP="00834D30">
            <w:pPr>
              <w:spacing w:line="240" w:lineRule="auto"/>
              <w:rPr>
                <w:rFonts w:ascii="Times New Roman" w:eastAsia="Times New Roman" w:hAnsi="Times New Roman" w:cs="Times New Roman"/>
                <w:bCs/>
                <w:color w:val="000000"/>
                <w:sz w:val="24"/>
                <w:szCs w:val="24"/>
                <w:lang w:val="en-US"/>
              </w:rPr>
            </w:pPr>
          </w:p>
        </w:tc>
      </w:tr>
    </w:tbl>
    <w:p w14:paraId="16F0A245" w14:textId="2902C7D7" w:rsidR="00384F78" w:rsidRDefault="00384F78">
      <w:pPr>
        <w:rPr>
          <w:rFonts w:ascii="Times New Roman" w:eastAsia="Times New Roman" w:hAnsi="Times New Roman" w:cs="Times New Roman"/>
          <w:bCs/>
          <w:sz w:val="24"/>
          <w:szCs w:val="24"/>
        </w:rPr>
      </w:pPr>
    </w:p>
    <w:p w14:paraId="6AB95347" w14:textId="77777777" w:rsidR="00384F78" w:rsidRDefault="00384F78">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198BF355" w14:textId="77777777" w:rsidR="002758C6" w:rsidRPr="00262015" w:rsidRDefault="002758C6">
      <w:pPr>
        <w:rPr>
          <w:rFonts w:ascii="Times New Roman" w:eastAsia="Times New Roman" w:hAnsi="Times New Roman" w:cs="Times New Roman"/>
          <w:bCs/>
          <w:sz w:val="24"/>
          <w:szCs w:val="24"/>
        </w:rPr>
      </w:pPr>
    </w:p>
    <w:p w14:paraId="67854EA8" w14:textId="03982C5D" w:rsidR="002758C6" w:rsidRPr="00262015" w:rsidRDefault="002758C6" w:rsidP="002758C6">
      <w:pPr>
        <w:jc w:val="center"/>
        <w:rPr>
          <w:rFonts w:ascii="Times New Roman" w:eastAsia="Times New Roman" w:hAnsi="Times New Roman" w:cs="Times New Roman"/>
          <w:bCs/>
          <w:sz w:val="24"/>
          <w:szCs w:val="24"/>
        </w:rPr>
      </w:pPr>
      <w:r w:rsidRPr="00262015">
        <w:rPr>
          <w:rFonts w:ascii="Times New Roman" w:eastAsia="Times New Roman" w:hAnsi="Times New Roman" w:cs="Times New Roman"/>
          <w:bCs/>
          <w:noProof/>
          <w:sz w:val="24"/>
          <w:szCs w:val="24"/>
        </w:rPr>
        <w:drawing>
          <wp:inline distT="0" distB="0" distL="0" distR="0" wp14:anchorId="7FEAB104" wp14:editId="7DB978DC">
            <wp:extent cx="4781444" cy="3474720"/>
            <wp:effectExtent l="0" t="0" r="635" b="0"/>
            <wp:docPr id="419515990" name="Picture 1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15990" name="Picture 13" descr="A graph of different colored lin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81444" cy="3474720"/>
                    </a:xfrm>
                    <a:prstGeom prst="rect">
                      <a:avLst/>
                    </a:prstGeom>
                  </pic:spPr>
                </pic:pic>
              </a:graphicData>
            </a:graphic>
          </wp:inline>
        </w:drawing>
      </w:r>
    </w:p>
    <w:p w14:paraId="111F7A9B" w14:textId="33B689C3" w:rsidR="002758C6" w:rsidRPr="00262015" w:rsidRDefault="002758C6" w:rsidP="002758C6">
      <w:pPr>
        <w:jc w:val="cente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Figure </w:t>
      </w:r>
      <w:r w:rsidR="00230263">
        <w:rPr>
          <w:rFonts w:ascii="Times New Roman" w:eastAsia="Times New Roman" w:hAnsi="Times New Roman" w:cs="Times New Roman"/>
          <w:bCs/>
          <w:sz w:val="24"/>
          <w:szCs w:val="24"/>
        </w:rPr>
        <w:t>2</w:t>
      </w:r>
      <w:r w:rsidRPr="00262015">
        <w:rPr>
          <w:rFonts w:ascii="Times New Roman" w:eastAsia="Times New Roman" w:hAnsi="Times New Roman" w:cs="Times New Roman"/>
          <w:bCs/>
          <w:sz w:val="24"/>
          <w:szCs w:val="24"/>
        </w:rPr>
        <w:t xml:space="preserve">: </w:t>
      </w:r>
      <w:r w:rsidR="003E5483" w:rsidRPr="00262015">
        <w:rPr>
          <w:rFonts w:ascii="Times New Roman" w:eastAsia="Times New Roman" w:hAnsi="Times New Roman" w:cs="Times New Roman"/>
          <w:bCs/>
          <w:sz w:val="24"/>
          <w:szCs w:val="24"/>
        </w:rPr>
        <w:t>CARs on Energy, Materials, and Industrials</w:t>
      </w:r>
    </w:p>
    <w:p w14:paraId="012D4A1D" w14:textId="77777777" w:rsidR="002758C6" w:rsidRPr="00262015" w:rsidRDefault="002758C6">
      <w:pPr>
        <w:rPr>
          <w:rFonts w:ascii="Times New Roman" w:eastAsia="Times New Roman" w:hAnsi="Times New Roman" w:cs="Times New Roman"/>
          <w:bCs/>
          <w:sz w:val="24"/>
          <w:szCs w:val="24"/>
        </w:rPr>
      </w:pPr>
    </w:p>
    <w:p w14:paraId="0BCD0888" w14:textId="7ADD3275" w:rsidR="002758C6" w:rsidRPr="00262015" w:rsidRDefault="002758C6" w:rsidP="002758C6">
      <w:pPr>
        <w:jc w:val="center"/>
        <w:rPr>
          <w:rFonts w:ascii="Times New Roman" w:eastAsia="Times New Roman" w:hAnsi="Times New Roman" w:cs="Times New Roman"/>
          <w:bCs/>
          <w:sz w:val="24"/>
          <w:szCs w:val="24"/>
        </w:rPr>
      </w:pPr>
      <w:r w:rsidRPr="00262015">
        <w:rPr>
          <w:rFonts w:ascii="Times New Roman" w:eastAsia="Times New Roman" w:hAnsi="Times New Roman" w:cs="Times New Roman"/>
          <w:bCs/>
          <w:noProof/>
          <w:sz w:val="24"/>
          <w:szCs w:val="24"/>
        </w:rPr>
        <w:drawing>
          <wp:inline distT="0" distB="0" distL="0" distR="0" wp14:anchorId="12E5BC73" wp14:editId="6C97ABE7">
            <wp:extent cx="4781444" cy="3474720"/>
            <wp:effectExtent l="0" t="0" r="635" b="0"/>
            <wp:docPr id="100656477" name="Picture 1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6477" name="Picture 14" descr="A graph of different colored lin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81444" cy="3474720"/>
                    </a:xfrm>
                    <a:prstGeom prst="rect">
                      <a:avLst/>
                    </a:prstGeom>
                  </pic:spPr>
                </pic:pic>
              </a:graphicData>
            </a:graphic>
          </wp:inline>
        </w:drawing>
      </w:r>
    </w:p>
    <w:p w14:paraId="0EADA0CD" w14:textId="4C78210C" w:rsidR="003E5483" w:rsidRPr="00262015" w:rsidRDefault="003E5483" w:rsidP="003E5483">
      <w:pPr>
        <w:jc w:val="cente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Figure </w:t>
      </w:r>
      <w:r w:rsidR="00230263">
        <w:rPr>
          <w:rFonts w:ascii="Times New Roman" w:eastAsia="Times New Roman" w:hAnsi="Times New Roman" w:cs="Times New Roman"/>
          <w:bCs/>
          <w:sz w:val="24"/>
          <w:szCs w:val="24"/>
        </w:rPr>
        <w:t>3</w:t>
      </w:r>
      <w:r w:rsidRPr="00262015">
        <w:rPr>
          <w:rFonts w:ascii="Times New Roman" w:eastAsia="Times New Roman" w:hAnsi="Times New Roman" w:cs="Times New Roman"/>
          <w:bCs/>
          <w:sz w:val="24"/>
          <w:szCs w:val="24"/>
        </w:rPr>
        <w:t>: CARs on Consumer Discretionary, Consumer Staples, and</w:t>
      </w:r>
      <w:r w:rsidRPr="00262015">
        <w:rPr>
          <w:rFonts w:ascii="Times New Roman" w:eastAsia="Times New Roman" w:hAnsi="Times New Roman" w:cs="Times New Roman"/>
          <w:bCs/>
          <w:sz w:val="24"/>
          <w:szCs w:val="24"/>
        </w:rPr>
        <w:br/>
        <w:t>Health Care</w:t>
      </w:r>
    </w:p>
    <w:p w14:paraId="026D62EA" w14:textId="77777777" w:rsidR="002758C6" w:rsidRPr="00262015" w:rsidRDefault="002758C6" w:rsidP="003E5483">
      <w:pPr>
        <w:jc w:val="center"/>
        <w:rPr>
          <w:rFonts w:ascii="Times New Roman" w:eastAsia="Times New Roman" w:hAnsi="Times New Roman" w:cs="Times New Roman"/>
          <w:bCs/>
          <w:sz w:val="24"/>
          <w:szCs w:val="24"/>
        </w:rPr>
      </w:pPr>
    </w:p>
    <w:p w14:paraId="58E4B732" w14:textId="27D90BE6" w:rsidR="002758C6" w:rsidRPr="00262015" w:rsidRDefault="002758C6" w:rsidP="002758C6">
      <w:pPr>
        <w:jc w:val="center"/>
        <w:rPr>
          <w:rFonts w:ascii="Times New Roman" w:eastAsia="Times New Roman" w:hAnsi="Times New Roman" w:cs="Times New Roman"/>
          <w:bCs/>
          <w:sz w:val="24"/>
          <w:szCs w:val="24"/>
        </w:rPr>
      </w:pPr>
      <w:r w:rsidRPr="00262015">
        <w:rPr>
          <w:rFonts w:ascii="Times New Roman" w:eastAsia="Times New Roman" w:hAnsi="Times New Roman" w:cs="Times New Roman"/>
          <w:bCs/>
          <w:noProof/>
          <w:sz w:val="24"/>
          <w:szCs w:val="24"/>
        </w:rPr>
        <w:lastRenderedPageBreak/>
        <w:drawing>
          <wp:inline distT="0" distB="0" distL="0" distR="0" wp14:anchorId="4CAA2D7A" wp14:editId="490882B2">
            <wp:extent cx="4781444" cy="3474720"/>
            <wp:effectExtent l="0" t="0" r="635" b="0"/>
            <wp:docPr id="371034742" name="Picture 1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34742" name="Picture 15" descr="A graph of different colored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81444" cy="3474720"/>
                    </a:xfrm>
                    <a:prstGeom prst="rect">
                      <a:avLst/>
                    </a:prstGeom>
                  </pic:spPr>
                </pic:pic>
              </a:graphicData>
            </a:graphic>
          </wp:inline>
        </w:drawing>
      </w:r>
    </w:p>
    <w:p w14:paraId="1B72302B" w14:textId="4A225F36" w:rsidR="003E5483" w:rsidRPr="00262015" w:rsidRDefault="003E5483" w:rsidP="003E5483">
      <w:pPr>
        <w:jc w:val="cente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Figure </w:t>
      </w:r>
      <w:r w:rsidR="00230263">
        <w:rPr>
          <w:rFonts w:ascii="Times New Roman" w:eastAsia="Times New Roman" w:hAnsi="Times New Roman" w:cs="Times New Roman"/>
          <w:bCs/>
          <w:sz w:val="24"/>
          <w:szCs w:val="24"/>
        </w:rPr>
        <w:t>4</w:t>
      </w:r>
      <w:r w:rsidRPr="00262015">
        <w:rPr>
          <w:rFonts w:ascii="Times New Roman" w:eastAsia="Times New Roman" w:hAnsi="Times New Roman" w:cs="Times New Roman"/>
          <w:bCs/>
          <w:sz w:val="24"/>
          <w:szCs w:val="24"/>
        </w:rPr>
        <w:t>: CARs on Financials, Information Technology, and</w:t>
      </w:r>
      <w:r w:rsidRPr="00262015">
        <w:rPr>
          <w:rFonts w:ascii="Times New Roman" w:eastAsia="Times New Roman" w:hAnsi="Times New Roman" w:cs="Times New Roman"/>
          <w:bCs/>
          <w:sz w:val="24"/>
          <w:szCs w:val="24"/>
        </w:rPr>
        <w:br/>
        <w:t>Communication Services</w:t>
      </w:r>
    </w:p>
    <w:p w14:paraId="1B06FDEA" w14:textId="77777777" w:rsidR="002758C6" w:rsidRPr="00262015" w:rsidRDefault="002758C6">
      <w:pPr>
        <w:rPr>
          <w:rFonts w:ascii="Times New Roman" w:eastAsia="Times New Roman" w:hAnsi="Times New Roman" w:cs="Times New Roman"/>
          <w:bCs/>
          <w:sz w:val="24"/>
          <w:szCs w:val="24"/>
        </w:rPr>
      </w:pPr>
    </w:p>
    <w:p w14:paraId="3B40ECE5" w14:textId="027A7E95" w:rsidR="002758C6" w:rsidRPr="00262015" w:rsidRDefault="002758C6" w:rsidP="002758C6">
      <w:pPr>
        <w:jc w:val="center"/>
        <w:rPr>
          <w:rFonts w:ascii="Times New Roman" w:eastAsia="Times New Roman" w:hAnsi="Times New Roman" w:cs="Times New Roman"/>
          <w:bCs/>
          <w:sz w:val="24"/>
          <w:szCs w:val="24"/>
        </w:rPr>
      </w:pPr>
      <w:r w:rsidRPr="00262015">
        <w:rPr>
          <w:rFonts w:ascii="Times New Roman" w:eastAsia="Times New Roman" w:hAnsi="Times New Roman" w:cs="Times New Roman"/>
          <w:bCs/>
          <w:noProof/>
          <w:sz w:val="24"/>
          <w:szCs w:val="24"/>
        </w:rPr>
        <w:drawing>
          <wp:inline distT="0" distB="0" distL="0" distR="0" wp14:anchorId="3056DED7" wp14:editId="7AA12710">
            <wp:extent cx="4781444" cy="3474720"/>
            <wp:effectExtent l="0" t="0" r="635" b="0"/>
            <wp:docPr id="729332038" name="Picture 16" descr="A graph of a graph showing the days after ev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32038" name="Picture 16" descr="A graph of a graph showing the days after even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781444" cy="3474720"/>
                    </a:xfrm>
                    <a:prstGeom prst="rect">
                      <a:avLst/>
                    </a:prstGeom>
                  </pic:spPr>
                </pic:pic>
              </a:graphicData>
            </a:graphic>
          </wp:inline>
        </w:drawing>
      </w:r>
    </w:p>
    <w:p w14:paraId="32BDF0E4" w14:textId="5EE698DB" w:rsidR="003E5483" w:rsidRPr="00262015" w:rsidRDefault="003E5483" w:rsidP="003E5483">
      <w:pPr>
        <w:jc w:val="cente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Figure </w:t>
      </w:r>
      <w:r w:rsidR="00230263">
        <w:rPr>
          <w:rFonts w:ascii="Times New Roman" w:eastAsia="Times New Roman" w:hAnsi="Times New Roman" w:cs="Times New Roman"/>
          <w:bCs/>
          <w:sz w:val="24"/>
          <w:szCs w:val="24"/>
        </w:rPr>
        <w:t>5</w:t>
      </w:r>
      <w:r w:rsidRPr="00262015">
        <w:rPr>
          <w:rFonts w:ascii="Times New Roman" w:eastAsia="Times New Roman" w:hAnsi="Times New Roman" w:cs="Times New Roman"/>
          <w:bCs/>
          <w:sz w:val="24"/>
          <w:szCs w:val="24"/>
        </w:rPr>
        <w:t>: CARs on Utilities and Real Estate</w:t>
      </w:r>
    </w:p>
    <w:p w14:paraId="09DFDB56" w14:textId="32889A61" w:rsidR="000C54BB" w:rsidRDefault="000C54BB" w:rsidP="000C73DB">
      <w:pPr>
        <w:rPr>
          <w:rFonts w:ascii="Times New Roman" w:eastAsia="Times New Roman" w:hAnsi="Times New Roman" w:cs="Times New Roman"/>
          <w:b/>
          <w:sz w:val="28"/>
          <w:szCs w:val="28"/>
        </w:rPr>
      </w:pPr>
    </w:p>
    <w:p w14:paraId="3F2971E7" w14:textId="131BB493" w:rsidR="000C73DB" w:rsidRPr="000C73DB" w:rsidRDefault="003B52A3" w:rsidP="000C73D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6</w:t>
      </w:r>
      <w:r w:rsidR="000C73DB" w:rsidRPr="000C73DB">
        <w:rPr>
          <w:rFonts w:ascii="Times New Roman" w:eastAsia="Times New Roman" w:hAnsi="Times New Roman" w:cs="Times New Roman"/>
          <w:b/>
          <w:sz w:val="28"/>
          <w:szCs w:val="28"/>
        </w:rPr>
        <w:t xml:space="preserve">. Conclusion </w:t>
      </w:r>
    </w:p>
    <w:p w14:paraId="2AEF735D" w14:textId="77777777" w:rsidR="000C73DB" w:rsidRPr="00262015" w:rsidRDefault="000C73DB" w:rsidP="00D87C60">
      <w:pPr>
        <w:rPr>
          <w:rFonts w:ascii="Times New Roman" w:eastAsia="Times New Roman" w:hAnsi="Times New Roman" w:cs="Times New Roman"/>
          <w:bCs/>
        </w:rPr>
      </w:pPr>
    </w:p>
    <w:p w14:paraId="07B48AF0" w14:textId="77777777" w:rsidR="000C54BB" w:rsidRPr="00892C10" w:rsidRDefault="00D9138F">
      <w:pPr>
        <w:rPr>
          <w:rFonts w:ascii="Times New Roman" w:hAnsi="Times New Roman" w:cs="Times New Roman"/>
          <w:bCs/>
          <w:sz w:val="24"/>
          <w:szCs w:val="24"/>
        </w:rPr>
      </w:pPr>
      <w:r w:rsidRPr="00892C10">
        <w:rPr>
          <w:rFonts w:ascii="Times New Roman" w:hAnsi="Times New Roman" w:cs="Times New Roman"/>
          <w:bCs/>
          <w:sz w:val="24"/>
          <w:szCs w:val="24"/>
        </w:rPr>
        <w:t xml:space="preserve">This study analyzed the varied impact of the COVID-19 outbreak on various sectors. Some sectors were positively affected whereas others were negatively affected by the virus. The results indicate that the investor sentiment before the event was largely coherent to their sentiment after the event, indicating that their expectations about the future before the event were mostly accurate. The first event seems to have a relatively smaller impact to that of the second event, which was an announcement in the US. </w:t>
      </w:r>
      <w:r w:rsidR="004E56FA" w:rsidRPr="00892C10">
        <w:rPr>
          <w:rFonts w:ascii="Times New Roman" w:hAnsi="Times New Roman" w:cs="Times New Roman"/>
          <w:bCs/>
          <w:sz w:val="24"/>
          <w:szCs w:val="24"/>
        </w:rPr>
        <w:t xml:space="preserve">The pandemic had a significantly negative effect on the Energy, Financials, and Industrials Sectors. However, Consumer Staples, Information Technology, and Healthcare had a statistically significant response to the pandemic, looking at the effect of the second </w:t>
      </w:r>
      <w:r w:rsidR="008A253E" w:rsidRPr="00892C10">
        <w:rPr>
          <w:rFonts w:ascii="Times New Roman" w:hAnsi="Times New Roman" w:cs="Times New Roman"/>
          <w:bCs/>
          <w:sz w:val="24"/>
          <w:szCs w:val="24"/>
        </w:rPr>
        <w:t>event</w:t>
      </w:r>
      <w:r w:rsidR="004E56FA" w:rsidRPr="00892C10">
        <w:rPr>
          <w:rFonts w:ascii="Times New Roman" w:hAnsi="Times New Roman" w:cs="Times New Roman"/>
          <w:bCs/>
          <w:sz w:val="24"/>
          <w:szCs w:val="24"/>
        </w:rPr>
        <w:t>.</w:t>
      </w:r>
    </w:p>
    <w:p w14:paraId="7FFA9B37" w14:textId="77777777" w:rsidR="000C54BB" w:rsidRPr="00892C10" w:rsidRDefault="000C54BB">
      <w:pPr>
        <w:rPr>
          <w:rFonts w:ascii="Times New Roman" w:hAnsi="Times New Roman" w:cs="Times New Roman"/>
          <w:bCs/>
          <w:sz w:val="24"/>
          <w:szCs w:val="24"/>
        </w:rPr>
      </w:pPr>
    </w:p>
    <w:p w14:paraId="0AD3087C" w14:textId="521C2726" w:rsidR="00B202F0" w:rsidRPr="00892C10" w:rsidRDefault="000C54BB">
      <w:pPr>
        <w:rPr>
          <w:bCs/>
          <w:sz w:val="24"/>
          <w:szCs w:val="24"/>
        </w:rPr>
      </w:pPr>
      <w:r w:rsidRPr="00892C10">
        <w:rPr>
          <w:rFonts w:ascii="Times New Roman" w:hAnsi="Times New Roman" w:cs="Times New Roman"/>
          <w:bCs/>
          <w:sz w:val="24"/>
          <w:szCs w:val="24"/>
        </w:rPr>
        <w:t xml:space="preserve">The event study also revealed an increased volatility in the returns of the Sectors caused by the panic selling of investors. The investigation supports that the mitigation measures of the government had varied effects on various sectors. This research can be of use to strategic decision makers to make better decisions in future black swan events, events which are unexpected and come with severe consequences, like COVID. </w:t>
      </w:r>
      <w:r w:rsidR="00C92B88" w:rsidRPr="00892C10">
        <w:rPr>
          <w:bCs/>
          <w:sz w:val="24"/>
          <w:szCs w:val="24"/>
        </w:rPr>
        <w:br w:type="page"/>
      </w:r>
    </w:p>
    <w:p w14:paraId="205E17C5" w14:textId="52B84AF8" w:rsidR="00B202F0" w:rsidRDefault="00810DF1" w:rsidP="00810DF1">
      <w:pPr>
        <w:rPr>
          <w:rFonts w:ascii="Times New Roman" w:eastAsia="Times New Roman" w:hAnsi="Times New Roman" w:cs="Times New Roman"/>
          <w:b/>
          <w:sz w:val="28"/>
          <w:szCs w:val="28"/>
        </w:rPr>
      </w:pPr>
      <w:r w:rsidRPr="00810DF1">
        <w:rPr>
          <w:rFonts w:ascii="Times New Roman" w:eastAsia="Times New Roman" w:hAnsi="Times New Roman" w:cs="Times New Roman"/>
          <w:b/>
          <w:sz w:val="28"/>
          <w:szCs w:val="28"/>
        </w:rPr>
        <w:lastRenderedPageBreak/>
        <w:t xml:space="preserve">References </w:t>
      </w:r>
    </w:p>
    <w:p w14:paraId="3B969E67" w14:textId="77777777" w:rsidR="00810DF1" w:rsidRPr="00810DF1" w:rsidRDefault="00810DF1" w:rsidP="00810DF1">
      <w:pPr>
        <w:rPr>
          <w:rFonts w:ascii="Times New Roman" w:eastAsia="Times New Roman" w:hAnsi="Times New Roman" w:cs="Times New Roman"/>
          <w:b/>
          <w:sz w:val="28"/>
          <w:szCs w:val="28"/>
        </w:rPr>
      </w:pPr>
    </w:p>
    <w:p w14:paraId="163C9E11" w14:textId="54E3A6FA" w:rsidR="00810DF1" w:rsidRPr="00810DF1" w:rsidRDefault="00810DF1" w:rsidP="00810DF1">
      <w:pPr>
        <w:spacing w:line="480" w:lineRule="auto"/>
        <w:ind w:left="880" w:hanging="440"/>
        <w:rPr>
          <w:rFonts w:ascii="Times New Roman" w:eastAsia="Times New Roman" w:hAnsi="Times New Roman" w:cs="Times New Roman"/>
          <w:bCs/>
        </w:rPr>
      </w:pPr>
      <w:r w:rsidRPr="00810DF1">
        <w:rPr>
          <w:rFonts w:ascii="Times New Roman" w:eastAsia="Times New Roman" w:hAnsi="Times New Roman" w:cs="Times New Roman"/>
          <w:bCs/>
        </w:rPr>
        <w:t xml:space="preserve">Ashraf, Badar Nadeem, and John W. Goodell. “COVID-19 Social Distancing Measures and Economic Growth: Distinguishing Short- and Long-Term Effects.” </w:t>
      </w:r>
      <w:r w:rsidRPr="00810DF1">
        <w:rPr>
          <w:rFonts w:ascii="Times New Roman" w:eastAsia="Times New Roman" w:hAnsi="Times New Roman" w:cs="Times New Roman"/>
          <w:bCs/>
          <w:i/>
        </w:rPr>
        <w:t>Finance Research Letters</w:t>
      </w:r>
      <w:r w:rsidRPr="00810DF1">
        <w:rPr>
          <w:rFonts w:ascii="Times New Roman" w:eastAsia="Times New Roman" w:hAnsi="Times New Roman" w:cs="Times New Roman"/>
          <w:bCs/>
        </w:rPr>
        <w:t xml:space="preserve">, vol. 47, June 2022, p. 102639. </w:t>
      </w:r>
      <w:r w:rsidRPr="00810DF1">
        <w:rPr>
          <w:rFonts w:ascii="Times New Roman" w:eastAsia="Times New Roman" w:hAnsi="Times New Roman" w:cs="Times New Roman"/>
          <w:bCs/>
          <w:i/>
        </w:rPr>
        <w:t>PubMed Central</w:t>
      </w:r>
      <w:r w:rsidRPr="00810DF1">
        <w:rPr>
          <w:rFonts w:ascii="Times New Roman" w:eastAsia="Times New Roman" w:hAnsi="Times New Roman" w:cs="Times New Roman"/>
          <w:bCs/>
        </w:rPr>
        <w:t>,</w:t>
      </w:r>
      <w:hyperlink r:id="rId16">
        <w:r w:rsidRPr="00810DF1">
          <w:rPr>
            <w:rFonts w:ascii="Times New Roman" w:eastAsia="Times New Roman" w:hAnsi="Times New Roman" w:cs="Times New Roman"/>
            <w:bCs/>
          </w:rPr>
          <w:t xml:space="preserve"> </w:t>
        </w:r>
      </w:hyperlink>
      <w:hyperlink r:id="rId17">
        <w:r w:rsidRPr="00810DF1">
          <w:rPr>
            <w:rFonts w:ascii="Times New Roman" w:eastAsia="Times New Roman" w:hAnsi="Times New Roman" w:cs="Times New Roman"/>
            <w:bCs/>
            <w:u w:val="single"/>
          </w:rPr>
          <w:t>https://doi.org/10.1016/j.frl.2021.102639</w:t>
        </w:r>
      </w:hyperlink>
      <w:r w:rsidRPr="00810DF1">
        <w:rPr>
          <w:rFonts w:ascii="Times New Roman" w:eastAsia="Times New Roman" w:hAnsi="Times New Roman" w:cs="Times New Roman"/>
          <w:bCs/>
        </w:rPr>
        <w:t>.</w:t>
      </w:r>
    </w:p>
    <w:p w14:paraId="2E0B24EE" w14:textId="4D9F6A8F" w:rsidR="00810DF1" w:rsidRPr="00810DF1" w:rsidRDefault="00810DF1" w:rsidP="00810DF1">
      <w:pPr>
        <w:spacing w:line="480" w:lineRule="auto"/>
        <w:ind w:left="880" w:hanging="440"/>
        <w:rPr>
          <w:rFonts w:ascii="Times New Roman" w:eastAsia="Times New Roman" w:hAnsi="Times New Roman" w:cs="Times New Roman"/>
          <w:bCs/>
        </w:rPr>
      </w:pPr>
      <w:r w:rsidRPr="00810DF1">
        <w:rPr>
          <w:rFonts w:ascii="Times New Roman" w:eastAsia="Times New Roman" w:hAnsi="Times New Roman" w:cs="Times New Roman"/>
          <w:bCs/>
        </w:rPr>
        <w:t xml:space="preserve">Baek, Seungho, et al. “COVID-19 and Stock Market Volatility: An Industry Level Analysis.” </w:t>
      </w:r>
      <w:r w:rsidRPr="00810DF1">
        <w:rPr>
          <w:rFonts w:ascii="Times New Roman" w:eastAsia="Times New Roman" w:hAnsi="Times New Roman" w:cs="Times New Roman"/>
          <w:bCs/>
          <w:i/>
        </w:rPr>
        <w:t>Finance Research Letters</w:t>
      </w:r>
      <w:r w:rsidRPr="00810DF1">
        <w:rPr>
          <w:rFonts w:ascii="Times New Roman" w:eastAsia="Times New Roman" w:hAnsi="Times New Roman" w:cs="Times New Roman"/>
          <w:bCs/>
        </w:rPr>
        <w:t xml:space="preserve">, vol. 37, Nov. 2020, p. 101748. </w:t>
      </w:r>
      <w:r w:rsidRPr="00810DF1">
        <w:rPr>
          <w:rFonts w:ascii="Times New Roman" w:eastAsia="Times New Roman" w:hAnsi="Times New Roman" w:cs="Times New Roman"/>
          <w:bCs/>
          <w:i/>
        </w:rPr>
        <w:t>PubMed Central</w:t>
      </w:r>
      <w:r w:rsidRPr="00810DF1">
        <w:rPr>
          <w:rFonts w:ascii="Times New Roman" w:eastAsia="Times New Roman" w:hAnsi="Times New Roman" w:cs="Times New Roman"/>
          <w:bCs/>
        </w:rPr>
        <w:t>,</w:t>
      </w:r>
      <w:hyperlink r:id="rId18">
        <w:r w:rsidRPr="00810DF1">
          <w:rPr>
            <w:rFonts w:ascii="Times New Roman" w:eastAsia="Times New Roman" w:hAnsi="Times New Roman" w:cs="Times New Roman"/>
            <w:bCs/>
          </w:rPr>
          <w:t xml:space="preserve"> </w:t>
        </w:r>
      </w:hyperlink>
      <w:hyperlink r:id="rId19">
        <w:r w:rsidRPr="00810DF1">
          <w:rPr>
            <w:rFonts w:ascii="Times New Roman" w:eastAsia="Times New Roman" w:hAnsi="Times New Roman" w:cs="Times New Roman"/>
            <w:bCs/>
            <w:u w:val="single"/>
          </w:rPr>
          <w:t>https://doi.org/10.1016/j.frl.2020.101748</w:t>
        </w:r>
      </w:hyperlink>
      <w:r w:rsidRPr="00810DF1">
        <w:rPr>
          <w:rFonts w:ascii="Times New Roman" w:eastAsia="Times New Roman" w:hAnsi="Times New Roman" w:cs="Times New Roman"/>
          <w:bCs/>
        </w:rPr>
        <w:t>.</w:t>
      </w:r>
    </w:p>
    <w:p w14:paraId="272D2F68" w14:textId="6D6C5752" w:rsidR="00810DF1" w:rsidRPr="00810DF1" w:rsidRDefault="00810DF1" w:rsidP="00810DF1">
      <w:pPr>
        <w:spacing w:line="480" w:lineRule="auto"/>
        <w:ind w:left="880" w:hanging="440"/>
        <w:rPr>
          <w:rFonts w:ascii="Times New Roman" w:eastAsia="Times New Roman" w:hAnsi="Times New Roman" w:cs="Times New Roman"/>
          <w:bCs/>
        </w:rPr>
      </w:pPr>
      <w:r w:rsidRPr="00810DF1">
        <w:rPr>
          <w:rFonts w:ascii="Times New Roman" w:eastAsia="Times New Roman" w:hAnsi="Times New Roman" w:cs="Times New Roman"/>
          <w:bCs/>
        </w:rPr>
        <w:t xml:space="preserve">Baker, Scott R., et al. </w:t>
      </w:r>
      <w:r w:rsidRPr="00810DF1">
        <w:rPr>
          <w:rFonts w:ascii="Times New Roman" w:eastAsia="Times New Roman" w:hAnsi="Times New Roman" w:cs="Times New Roman"/>
          <w:bCs/>
          <w:i/>
        </w:rPr>
        <w:t>The Unprecedented Stock Market Impact of COVID-19</w:t>
      </w:r>
      <w:r w:rsidRPr="00810DF1">
        <w:rPr>
          <w:rFonts w:ascii="Times New Roman" w:eastAsia="Times New Roman" w:hAnsi="Times New Roman" w:cs="Times New Roman"/>
          <w:bCs/>
        </w:rPr>
        <w:t xml:space="preserve">. 26945, National Bureau of Economic Research, Apr. 2020. </w:t>
      </w:r>
      <w:r w:rsidRPr="00810DF1">
        <w:rPr>
          <w:rFonts w:ascii="Times New Roman" w:eastAsia="Times New Roman" w:hAnsi="Times New Roman" w:cs="Times New Roman"/>
          <w:bCs/>
          <w:i/>
        </w:rPr>
        <w:t>National Bureau of Economic Research</w:t>
      </w:r>
      <w:r w:rsidRPr="00810DF1">
        <w:rPr>
          <w:rFonts w:ascii="Times New Roman" w:eastAsia="Times New Roman" w:hAnsi="Times New Roman" w:cs="Times New Roman"/>
          <w:bCs/>
        </w:rPr>
        <w:t>,</w:t>
      </w:r>
      <w:hyperlink r:id="rId20">
        <w:r w:rsidRPr="00810DF1">
          <w:rPr>
            <w:rFonts w:ascii="Times New Roman" w:eastAsia="Times New Roman" w:hAnsi="Times New Roman" w:cs="Times New Roman"/>
            <w:bCs/>
          </w:rPr>
          <w:t xml:space="preserve"> </w:t>
        </w:r>
      </w:hyperlink>
      <w:hyperlink r:id="rId21">
        <w:r w:rsidRPr="00810DF1">
          <w:rPr>
            <w:rFonts w:ascii="Times New Roman" w:eastAsia="Times New Roman" w:hAnsi="Times New Roman" w:cs="Times New Roman"/>
            <w:bCs/>
            <w:u w:val="single"/>
          </w:rPr>
          <w:t>https://doi.org/10.3386/w26945</w:t>
        </w:r>
      </w:hyperlink>
      <w:r w:rsidRPr="00810DF1">
        <w:rPr>
          <w:rFonts w:ascii="Times New Roman" w:eastAsia="Times New Roman" w:hAnsi="Times New Roman" w:cs="Times New Roman"/>
          <w:bCs/>
        </w:rPr>
        <w:t>.</w:t>
      </w:r>
    </w:p>
    <w:p w14:paraId="7DBA6E81" w14:textId="31DA6B7E" w:rsidR="00810DF1" w:rsidRPr="00810DF1" w:rsidRDefault="00810DF1" w:rsidP="00810DF1">
      <w:pPr>
        <w:spacing w:line="480" w:lineRule="auto"/>
        <w:ind w:left="880" w:hanging="440"/>
        <w:rPr>
          <w:rFonts w:ascii="Times New Roman" w:eastAsia="Times New Roman" w:hAnsi="Times New Roman" w:cs="Times New Roman"/>
          <w:bCs/>
        </w:rPr>
      </w:pPr>
      <w:r w:rsidRPr="00810DF1">
        <w:rPr>
          <w:rFonts w:ascii="Times New Roman" w:eastAsia="Times New Roman" w:hAnsi="Times New Roman" w:cs="Times New Roman"/>
          <w:bCs/>
        </w:rPr>
        <w:t xml:space="preserve">Barro, Robert J., et al. </w:t>
      </w:r>
      <w:r w:rsidRPr="00810DF1">
        <w:rPr>
          <w:rFonts w:ascii="Times New Roman" w:eastAsia="Times New Roman" w:hAnsi="Times New Roman" w:cs="Times New Roman"/>
          <w:bCs/>
          <w:i/>
        </w:rPr>
        <w:t>The Coronavirus and the Great Influenza Pandemic: Lessons from the “Spanish Flu” for the Coronavirus’s Potential Effects on Mortality and Economic Activity</w:t>
      </w:r>
      <w:r w:rsidRPr="00810DF1">
        <w:rPr>
          <w:rFonts w:ascii="Times New Roman" w:eastAsia="Times New Roman" w:hAnsi="Times New Roman" w:cs="Times New Roman"/>
          <w:bCs/>
        </w:rPr>
        <w:t xml:space="preserve">. 26866, National Bureau of Economic Research, Mar. 2020. </w:t>
      </w:r>
      <w:r w:rsidRPr="00810DF1">
        <w:rPr>
          <w:rFonts w:ascii="Times New Roman" w:eastAsia="Times New Roman" w:hAnsi="Times New Roman" w:cs="Times New Roman"/>
          <w:bCs/>
          <w:i/>
        </w:rPr>
        <w:t>National Bureau of Economic Research</w:t>
      </w:r>
      <w:r w:rsidRPr="00810DF1">
        <w:rPr>
          <w:rFonts w:ascii="Times New Roman" w:eastAsia="Times New Roman" w:hAnsi="Times New Roman" w:cs="Times New Roman"/>
          <w:bCs/>
        </w:rPr>
        <w:t>,</w:t>
      </w:r>
      <w:hyperlink r:id="rId22">
        <w:r w:rsidRPr="00810DF1">
          <w:rPr>
            <w:rFonts w:ascii="Times New Roman" w:eastAsia="Times New Roman" w:hAnsi="Times New Roman" w:cs="Times New Roman"/>
            <w:bCs/>
          </w:rPr>
          <w:t xml:space="preserve"> </w:t>
        </w:r>
      </w:hyperlink>
      <w:hyperlink r:id="rId23">
        <w:r w:rsidRPr="00810DF1">
          <w:rPr>
            <w:rFonts w:ascii="Times New Roman" w:eastAsia="Times New Roman" w:hAnsi="Times New Roman" w:cs="Times New Roman"/>
            <w:bCs/>
            <w:u w:val="single"/>
          </w:rPr>
          <w:t>https://doi.org/10.3386/w26866</w:t>
        </w:r>
      </w:hyperlink>
      <w:r w:rsidRPr="00810DF1">
        <w:rPr>
          <w:rFonts w:ascii="Times New Roman" w:eastAsia="Times New Roman" w:hAnsi="Times New Roman" w:cs="Times New Roman"/>
          <w:bCs/>
        </w:rPr>
        <w:t>.</w:t>
      </w:r>
    </w:p>
    <w:p w14:paraId="0DF7A268" w14:textId="65D8DE36" w:rsidR="00810DF1" w:rsidRPr="00810DF1" w:rsidRDefault="00810DF1" w:rsidP="00810DF1">
      <w:pPr>
        <w:spacing w:line="480" w:lineRule="auto"/>
        <w:ind w:left="880" w:hanging="440"/>
        <w:rPr>
          <w:rFonts w:ascii="Times New Roman" w:eastAsia="Times New Roman" w:hAnsi="Times New Roman" w:cs="Times New Roman"/>
          <w:bCs/>
        </w:rPr>
      </w:pPr>
      <w:r w:rsidRPr="00810DF1">
        <w:rPr>
          <w:rFonts w:ascii="Times New Roman" w:eastAsia="Times New Roman" w:hAnsi="Times New Roman" w:cs="Times New Roman"/>
          <w:bCs/>
          <w:i/>
        </w:rPr>
        <w:t>Considerations for Implementing and Adjusting Public Health and Social Measures in the Context of COVID-19</w:t>
      </w:r>
      <w:r w:rsidRPr="00810DF1">
        <w:rPr>
          <w:rFonts w:ascii="Times New Roman" w:eastAsia="Times New Roman" w:hAnsi="Times New Roman" w:cs="Times New Roman"/>
          <w:bCs/>
        </w:rPr>
        <w:t>.</w:t>
      </w:r>
      <w:hyperlink r:id="rId24">
        <w:r w:rsidRPr="00810DF1">
          <w:rPr>
            <w:rFonts w:ascii="Times New Roman" w:eastAsia="Times New Roman" w:hAnsi="Times New Roman" w:cs="Times New Roman"/>
            <w:bCs/>
          </w:rPr>
          <w:t xml:space="preserve"> </w:t>
        </w:r>
      </w:hyperlink>
      <w:hyperlink r:id="rId25">
        <w:r w:rsidRPr="00810DF1">
          <w:rPr>
            <w:rFonts w:ascii="Times New Roman" w:eastAsia="Times New Roman" w:hAnsi="Times New Roman" w:cs="Times New Roman"/>
            <w:bCs/>
            <w:u w:val="single"/>
          </w:rPr>
          <w:t>https://www.who.int/publications-detail-redirect/who-2019-ncov-adjusting-ph-measures-2023.1</w:t>
        </w:r>
      </w:hyperlink>
      <w:r w:rsidRPr="00810DF1">
        <w:rPr>
          <w:rFonts w:ascii="Times New Roman" w:eastAsia="Times New Roman" w:hAnsi="Times New Roman" w:cs="Times New Roman"/>
          <w:bCs/>
        </w:rPr>
        <w:t>. Accessed 10 June 2023.</w:t>
      </w:r>
    </w:p>
    <w:p w14:paraId="3BA4175A" w14:textId="39DDB260" w:rsidR="00810DF1" w:rsidRPr="00810DF1" w:rsidRDefault="00810DF1" w:rsidP="00810DF1">
      <w:pPr>
        <w:spacing w:line="480" w:lineRule="auto"/>
        <w:ind w:left="880" w:hanging="440"/>
        <w:rPr>
          <w:rFonts w:ascii="Times New Roman" w:eastAsia="Times New Roman" w:hAnsi="Times New Roman" w:cs="Times New Roman"/>
          <w:bCs/>
        </w:rPr>
      </w:pPr>
      <w:r w:rsidRPr="00810DF1">
        <w:rPr>
          <w:rFonts w:ascii="Times New Roman" w:eastAsia="Times New Roman" w:hAnsi="Times New Roman" w:cs="Times New Roman"/>
          <w:bCs/>
          <w:i/>
        </w:rPr>
        <w:t>Coronavirus</w:t>
      </w:r>
      <w:r w:rsidRPr="00810DF1">
        <w:rPr>
          <w:rFonts w:ascii="Times New Roman" w:eastAsia="Times New Roman" w:hAnsi="Times New Roman" w:cs="Times New Roman"/>
          <w:bCs/>
        </w:rPr>
        <w:t>.</w:t>
      </w:r>
      <w:hyperlink r:id="rId26">
        <w:r w:rsidRPr="00810DF1">
          <w:rPr>
            <w:rFonts w:ascii="Times New Roman" w:eastAsia="Times New Roman" w:hAnsi="Times New Roman" w:cs="Times New Roman"/>
            <w:bCs/>
          </w:rPr>
          <w:t xml:space="preserve"> </w:t>
        </w:r>
      </w:hyperlink>
      <w:hyperlink r:id="rId27">
        <w:r w:rsidRPr="00810DF1">
          <w:rPr>
            <w:rFonts w:ascii="Times New Roman" w:eastAsia="Times New Roman" w:hAnsi="Times New Roman" w:cs="Times New Roman"/>
            <w:bCs/>
            <w:u w:val="single"/>
          </w:rPr>
          <w:t>https://www.who.int/health-topics/coronavirus</w:t>
        </w:r>
      </w:hyperlink>
      <w:r w:rsidRPr="00810DF1">
        <w:rPr>
          <w:rFonts w:ascii="Times New Roman" w:eastAsia="Times New Roman" w:hAnsi="Times New Roman" w:cs="Times New Roman"/>
          <w:bCs/>
        </w:rPr>
        <w:t>. Accessed 10 June 2023.</w:t>
      </w:r>
    </w:p>
    <w:p w14:paraId="5FD56831" w14:textId="4DE7DAA0" w:rsidR="00810DF1" w:rsidRPr="00810DF1" w:rsidRDefault="00810DF1" w:rsidP="00810DF1">
      <w:pPr>
        <w:spacing w:line="480" w:lineRule="auto"/>
        <w:ind w:left="880" w:hanging="440"/>
        <w:rPr>
          <w:rFonts w:ascii="Times New Roman" w:eastAsia="Times New Roman" w:hAnsi="Times New Roman" w:cs="Times New Roman"/>
          <w:bCs/>
        </w:rPr>
      </w:pPr>
      <w:r w:rsidRPr="00810DF1">
        <w:rPr>
          <w:rFonts w:ascii="Times New Roman" w:eastAsia="Times New Roman" w:hAnsi="Times New Roman" w:cs="Times New Roman"/>
          <w:bCs/>
        </w:rPr>
        <w:t>DOLLEY, JAMES CLAY. "Characteristics and Proce dure of Common Stock Split-Ups," Harvard Bus. Rev., Apr. 1933, 11, pp. 316-26.</w:t>
      </w:r>
    </w:p>
    <w:p w14:paraId="4190BA6F" w14:textId="1A237FEB" w:rsidR="00810DF1" w:rsidRPr="00810DF1" w:rsidRDefault="00810DF1" w:rsidP="00810DF1">
      <w:pPr>
        <w:spacing w:line="480" w:lineRule="auto"/>
        <w:ind w:left="880" w:hanging="440"/>
        <w:rPr>
          <w:rFonts w:ascii="Times New Roman" w:eastAsia="Times New Roman" w:hAnsi="Times New Roman" w:cs="Times New Roman"/>
          <w:bCs/>
          <w:lang w:val="en-US"/>
        </w:rPr>
      </w:pPr>
      <w:r w:rsidRPr="000C73DB">
        <w:rPr>
          <w:rFonts w:ascii="Times New Roman" w:eastAsia="Times New Roman" w:hAnsi="Times New Roman" w:cs="Times New Roman"/>
          <w:bCs/>
          <w:lang w:val="en-US"/>
        </w:rPr>
        <w:t xml:space="preserve">“Global Industry Classification Standard.” </w:t>
      </w:r>
      <w:r w:rsidRPr="000C73DB">
        <w:rPr>
          <w:rFonts w:ascii="Times New Roman" w:eastAsia="Times New Roman" w:hAnsi="Times New Roman" w:cs="Times New Roman"/>
          <w:bCs/>
          <w:i/>
          <w:iCs/>
          <w:lang w:val="en-US"/>
        </w:rPr>
        <w:t>Wikipedia</w:t>
      </w:r>
      <w:r w:rsidRPr="000C73DB">
        <w:rPr>
          <w:rFonts w:ascii="Times New Roman" w:eastAsia="Times New Roman" w:hAnsi="Times New Roman" w:cs="Times New Roman"/>
          <w:bCs/>
          <w:lang w:val="en-US"/>
        </w:rPr>
        <w:t xml:space="preserve">, 13 July 2023. </w:t>
      </w:r>
      <w:r w:rsidRPr="000C73DB">
        <w:rPr>
          <w:rFonts w:ascii="Times New Roman" w:eastAsia="Times New Roman" w:hAnsi="Times New Roman" w:cs="Times New Roman"/>
          <w:bCs/>
          <w:i/>
          <w:iCs/>
          <w:lang w:val="en-US"/>
        </w:rPr>
        <w:t>Wikipedia</w:t>
      </w:r>
      <w:r w:rsidRPr="000C73DB">
        <w:rPr>
          <w:rFonts w:ascii="Times New Roman" w:eastAsia="Times New Roman" w:hAnsi="Times New Roman" w:cs="Times New Roman"/>
          <w:bCs/>
          <w:lang w:val="en-US"/>
        </w:rPr>
        <w:t xml:space="preserve">, </w:t>
      </w:r>
      <w:hyperlink r:id="rId28" w:history="1">
        <w:r w:rsidRPr="000C73DB">
          <w:rPr>
            <w:rStyle w:val="Hyperlink"/>
            <w:rFonts w:ascii="Times New Roman" w:eastAsia="Times New Roman" w:hAnsi="Times New Roman" w:cs="Times New Roman"/>
            <w:bCs/>
            <w:color w:val="auto"/>
            <w:lang w:val="en-US"/>
          </w:rPr>
          <w:t>https://en.wikipedia.org/w/index.php?title=Global_Industry_Classification_Standard&amp;oldid=1165218317</w:t>
        </w:r>
      </w:hyperlink>
      <w:r w:rsidRPr="000C73DB">
        <w:rPr>
          <w:rFonts w:ascii="Times New Roman" w:eastAsia="Times New Roman" w:hAnsi="Times New Roman" w:cs="Times New Roman"/>
          <w:bCs/>
          <w:lang w:val="en-US"/>
        </w:rPr>
        <w:t>.</w:t>
      </w:r>
    </w:p>
    <w:p w14:paraId="03C3DE61" w14:textId="69202948" w:rsidR="00810DF1" w:rsidRPr="00810DF1" w:rsidRDefault="00810DF1" w:rsidP="00810DF1">
      <w:pPr>
        <w:spacing w:line="480" w:lineRule="auto"/>
        <w:ind w:left="880" w:hanging="440"/>
        <w:rPr>
          <w:rFonts w:ascii="Times New Roman" w:eastAsia="Times New Roman" w:hAnsi="Times New Roman" w:cs="Times New Roman"/>
          <w:bCs/>
        </w:rPr>
      </w:pPr>
      <w:r w:rsidRPr="00810DF1">
        <w:rPr>
          <w:rFonts w:ascii="Times New Roman" w:eastAsia="Times New Roman" w:hAnsi="Times New Roman" w:cs="Times New Roman"/>
          <w:bCs/>
        </w:rPr>
        <w:lastRenderedPageBreak/>
        <w:t xml:space="preserve">Goodell, John W., and Toan Luu Duc Huynh. “Did Congress Trade Ahead? Considering the Reaction of US Industries to COVID-19.” </w:t>
      </w:r>
      <w:r w:rsidRPr="00810DF1">
        <w:rPr>
          <w:rFonts w:ascii="Times New Roman" w:eastAsia="Times New Roman" w:hAnsi="Times New Roman" w:cs="Times New Roman"/>
          <w:bCs/>
          <w:i/>
        </w:rPr>
        <w:t>Finance Research Letters</w:t>
      </w:r>
      <w:r w:rsidRPr="00810DF1">
        <w:rPr>
          <w:rFonts w:ascii="Times New Roman" w:eastAsia="Times New Roman" w:hAnsi="Times New Roman" w:cs="Times New Roman"/>
          <w:bCs/>
        </w:rPr>
        <w:t xml:space="preserve">, vol. 36, Oct. 2020, p. 101578. </w:t>
      </w:r>
      <w:r w:rsidRPr="00810DF1">
        <w:rPr>
          <w:rFonts w:ascii="Times New Roman" w:eastAsia="Times New Roman" w:hAnsi="Times New Roman" w:cs="Times New Roman"/>
          <w:bCs/>
          <w:i/>
        </w:rPr>
        <w:t>www.ncbi.nlm.nih.gov</w:t>
      </w:r>
      <w:r w:rsidRPr="00810DF1">
        <w:rPr>
          <w:rFonts w:ascii="Times New Roman" w:eastAsia="Times New Roman" w:hAnsi="Times New Roman" w:cs="Times New Roman"/>
          <w:bCs/>
        </w:rPr>
        <w:t>,</w:t>
      </w:r>
      <w:hyperlink r:id="rId29">
        <w:r w:rsidRPr="00810DF1">
          <w:rPr>
            <w:rFonts w:ascii="Times New Roman" w:eastAsia="Times New Roman" w:hAnsi="Times New Roman" w:cs="Times New Roman"/>
            <w:bCs/>
          </w:rPr>
          <w:t xml:space="preserve"> </w:t>
        </w:r>
      </w:hyperlink>
      <w:hyperlink r:id="rId30">
        <w:r w:rsidRPr="00810DF1">
          <w:rPr>
            <w:rFonts w:ascii="Times New Roman" w:eastAsia="Times New Roman" w:hAnsi="Times New Roman" w:cs="Times New Roman"/>
            <w:bCs/>
            <w:u w:val="single"/>
          </w:rPr>
          <w:t>https://doi.org/10.1016/j.frl.2020.101578</w:t>
        </w:r>
      </w:hyperlink>
      <w:r w:rsidRPr="00810DF1">
        <w:rPr>
          <w:rFonts w:ascii="Times New Roman" w:eastAsia="Times New Roman" w:hAnsi="Times New Roman" w:cs="Times New Roman"/>
          <w:bCs/>
        </w:rPr>
        <w:t>.</w:t>
      </w:r>
    </w:p>
    <w:p w14:paraId="41EE7EFD" w14:textId="0A3BEE03" w:rsidR="00810DF1" w:rsidRPr="00810DF1" w:rsidRDefault="00810DF1" w:rsidP="00810DF1">
      <w:pPr>
        <w:spacing w:line="480" w:lineRule="auto"/>
        <w:ind w:left="880" w:hanging="440"/>
        <w:rPr>
          <w:rFonts w:ascii="Times New Roman" w:eastAsia="Times New Roman" w:hAnsi="Times New Roman" w:cs="Times New Roman"/>
          <w:bCs/>
        </w:rPr>
      </w:pPr>
      <w:r w:rsidRPr="00810DF1">
        <w:rPr>
          <w:rFonts w:ascii="Times New Roman" w:eastAsia="Times New Roman" w:hAnsi="Times New Roman" w:cs="Times New Roman"/>
          <w:bCs/>
        </w:rPr>
        <w:t xml:space="preserve">Ji, Xiuping, et al. “Stock Market Reaction to the COVID-19 Pandemic: An Event Study.” </w:t>
      </w:r>
      <w:r w:rsidRPr="00810DF1">
        <w:rPr>
          <w:rFonts w:ascii="Times New Roman" w:eastAsia="Times New Roman" w:hAnsi="Times New Roman" w:cs="Times New Roman"/>
          <w:bCs/>
          <w:i/>
        </w:rPr>
        <w:t>Portuguese Economic Journal</w:t>
      </w:r>
      <w:r w:rsidRPr="00810DF1">
        <w:rPr>
          <w:rFonts w:ascii="Times New Roman" w:eastAsia="Times New Roman" w:hAnsi="Times New Roman" w:cs="Times New Roman"/>
          <w:bCs/>
        </w:rPr>
        <w:t xml:space="preserve">, Nov. 2022, pp. 1–20. </w:t>
      </w:r>
      <w:r w:rsidRPr="00810DF1">
        <w:rPr>
          <w:rFonts w:ascii="Times New Roman" w:eastAsia="Times New Roman" w:hAnsi="Times New Roman" w:cs="Times New Roman"/>
          <w:bCs/>
          <w:i/>
        </w:rPr>
        <w:t>link.springer.com</w:t>
      </w:r>
      <w:r w:rsidRPr="00810DF1">
        <w:rPr>
          <w:rFonts w:ascii="Times New Roman" w:eastAsia="Times New Roman" w:hAnsi="Times New Roman" w:cs="Times New Roman"/>
          <w:bCs/>
        </w:rPr>
        <w:t>,</w:t>
      </w:r>
      <w:hyperlink r:id="rId31">
        <w:r w:rsidRPr="00810DF1">
          <w:rPr>
            <w:rFonts w:ascii="Times New Roman" w:eastAsia="Times New Roman" w:hAnsi="Times New Roman" w:cs="Times New Roman"/>
            <w:bCs/>
          </w:rPr>
          <w:t xml:space="preserve"> </w:t>
        </w:r>
      </w:hyperlink>
      <w:hyperlink r:id="rId32">
        <w:r w:rsidRPr="00810DF1">
          <w:rPr>
            <w:rFonts w:ascii="Times New Roman" w:eastAsia="Times New Roman" w:hAnsi="Times New Roman" w:cs="Times New Roman"/>
            <w:bCs/>
            <w:u w:val="single"/>
          </w:rPr>
          <w:t>https://doi.org/10.1007/s10258-022-00227-w</w:t>
        </w:r>
      </w:hyperlink>
      <w:r w:rsidRPr="00810DF1">
        <w:rPr>
          <w:rFonts w:ascii="Times New Roman" w:eastAsia="Times New Roman" w:hAnsi="Times New Roman" w:cs="Times New Roman"/>
          <w:bCs/>
        </w:rPr>
        <w:t>.</w:t>
      </w:r>
    </w:p>
    <w:p w14:paraId="257960C1" w14:textId="4BB53F1D" w:rsidR="00810DF1" w:rsidRPr="00810DF1" w:rsidRDefault="00810DF1" w:rsidP="00810DF1">
      <w:pPr>
        <w:spacing w:line="480" w:lineRule="auto"/>
        <w:ind w:left="880" w:hanging="440"/>
        <w:rPr>
          <w:rFonts w:ascii="Times New Roman" w:eastAsia="Times New Roman" w:hAnsi="Times New Roman" w:cs="Times New Roman"/>
          <w:bCs/>
        </w:rPr>
      </w:pPr>
      <w:r w:rsidRPr="00810DF1">
        <w:rPr>
          <w:rFonts w:ascii="Times New Roman" w:eastAsia="Times New Roman" w:hAnsi="Times New Roman" w:cs="Times New Roman"/>
          <w:bCs/>
        </w:rPr>
        <w:t xml:space="preserve">Koren, Miklós, and Rita Pető. “Business Disruptions from Social Distancing.” </w:t>
      </w:r>
      <w:r w:rsidRPr="00810DF1">
        <w:rPr>
          <w:rFonts w:ascii="Times New Roman" w:eastAsia="Times New Roman" w:hAnsi="Times New Roman" w:cs="Times New Roman"/>
          <w:bCs/>
          <w:i/>
        </w:rPr>
        <w:t>PloS One</w:t>
      </w:r>
      <w:r w:rsidRPr="00810DF1">
        <w:rPr>
          <w:rFonts w:ascii="Times New Roman" w:eastAsia="Times New Roman" w:hAnsi="Times New Roman" w:cs="Times New Roman"/>
          <w:bCs/>
        </w:rPr>
        <w:t xml:space="preserve">, vol. 15, no. 9, 2020, p. e0239113. </w:t>
      </w:r>
      <w:r w:rsidRPr="00810DF1">
        <w:rPr>
          <w:rFonts w:ascii="Times New Roman" w:eastAsia="Times New Roman" w:hAnsi="Times New Roman" w:cs="Times New Roman"/>
          <w:bCs/>
          <w:i/>
        </w:rPr>
        <w:t>PubMed</w:t>
      </w:r>
      <w:r w:rsidRPr="00810DF1">
        <w:rPr>
          <w:rFonts w:ascii="Times New Roman" w:eastAsia="Times New Roman" w:hAnsi="Times New Roman" w:cs="Times New Roman"/>
          <w:bCs/>
        </w:rPr>
        <w:t>,</w:t>
      </w:r>
      <w:hyperlink r:id="rId33">
        <w:r w:rsidRPr="00810DF1">
          <w:rPr>
            <w:rFonts w:ascii="Times New Roman" w:eastAsia="Times New Roman" w:hAnsi="Times New Roman" w:cs="Times New Roman"/>
            <w:bCs/>
          </w:rPr>
          <w:t xml:space="preserve"> </w:t>
        </w:r>
      </w:hyperlink>
      <w:hyperlink r:id="rId34">
        <w:r w:rsidRPr="00810DF1">
          <w:rPr>
            <w:rFonts w:ascii="Times New Roman" w:eastAsia="Times New Roman" w:hAnsi="Times New Roman" w:cs="Times New Roman"/>
            <w:bCs/>
            <w:u w:val="single"/>
          </w:rPr>
          <w:t>https://doi.org/10.1371/journal.pone.0239113</w:t>
        </w:r>
      </w:hyperlink>
      <w:r w:rsidRPr="00810DF1">
        <w:rPr>
          <w:rFonts w:ascii="Times New Roman" w:eastAsia="Times New Roman" w:hAnsi="Times New Roman" w:cs="Times New Roman"/>
          <w:bCs/>
        </w:rPr>
        <w:t>.</w:t>
      </w:r>
    </w:p>
    <w:p w14:paraId="0DC095D7" w14:textId="265A0620" w:rsidR="00810DF1" w:rsidRPr="00810DF1" w:rsidRDefault="00810DF1" w:rsidP="00810DF1">
      <w:pPr>
        <w:spacing w:line="480" w:lineRule="auto"/>
        <w:ind w:left="880" w:hanging="440"/>
        <w:rPr>
          <w:rFonts w:ascii="Times New Roman" w:eastAsia="Times New Roman" w:hAnsi="Times New Roman" w:cs="Times New Roman"/>
          <w:bCs/>
        </w:rPr>
      </w:pPr>
      <w:r w:rsidRPr="00810DF1">
        <w:rPr>
          <w:rFonts w:ascii="Times New Roman" w:eastAsia="Times New Roman" w:hAnsi="Times New Roman" w:cs="Times New Roman"/>
          <w:bCs/>
        </w:rPr>
        <w:t xml:space="preserve">Liu, HaiYue, et al. “The COVID-19 Outbreak and Affected Countries Stock Markets Response.” </w:t>
      </w:r>
      <w:r w:rsidRPr="00810DF1">
        <w:rPr>
          <w:rFonts w:ascii="Times New Roman" w:eastAsia="Times New Roman" w:hAnsi="Times New Roman" w:cs="Times New Roman"/>
          <w:bCs/>
          <w:i/>
        </w:rPr>
        <w:t>International Journal of Environmental Research and Public Health</w:t>
      </w:r>
      <w:r w:rsidRPr="00810DF1">
        <w:rPr>
          <w:rFonts w:ascii="Times New Roman" w:eastAsia="Times New Roman" w:hAnsi="Times New Roman" w:cs="Times New Roman"/>
          <w:bCs/>
        </w:rPr>
        <w:t xml:space="preserve">, vol. 17, no. 8, 8, Jan. 2020, p. 2800. </w:t>
      </w:r>
      <w:r w:rsidRPr="00810DF1">
        <w:rPr>
          <w:rFonts w:ascii="Times New Roman" w:eastAsia="Times New Roman" w:hAnsi="Times New Roman" w:cs="Times New Roman"/>
          <w:bCs/>
          <w:i/>
        </w:rPr>
        <w:t>www.mdpi.com</w:t>
      </w:r>
      <w:r w:rsidRPr="00810DF1">
        <w:rPr>
          <w:rFonts w:ascii="Times New Roman" w:eastAsia="Times New Roman" w:hAnsi="Times New Roman" w:cs="Times New Roman"/>
          <w:bCs/>
        </w:rPr>
        <w:t>,</w:t>
      </w:r>
      <w:hyperlink r:id="rId35">
        <w:r w:rsidRPr="00810DF1">
          <w:rPr>
            <w:rFonts w:ascii="Times New Roman" w:eastAsia="Times New Roman" w:hAnsi="Times New Roman" w:cs="Times New Roman"/>
            <w:bCs/>
          </w:rPr>
          <w:t xml:space="preserve"> </w:t>
        </w:r>
      </w:hyperlink>
      <w:hyperlink r:id="rId36">
        <w:r w:rsidRPr="00810DF1">
          <w:rPr>
            <w:rFonts w:ascii="Times New Roman" w:eastAsia="Times New Roman" w:hAnsi="Times New Roman" w:cs="Times New Roman"/>
            <w:bCs/>
            <w:u w:val="single"/>
          </w:rPr>
          <w:t>https://doi.org/10.3390/ijerph17082800</w:t>
        </w:r>
      </w:hyperlink>
      <w:r w:rsidRPr="00810DF1">
        <w:rPr>
          <w:rFonts w:ascii="Times New Roman" w:eastAsia="Times New Roman" w:hAnsi="Times New Roman" w:cs="Times New Roman"/>
          <w:bCs/>
        </w:rPr>
        <w:t>.</w:t>
      </w:r>
    </w:p>
    <w:p w14:paraId="65B2CEA6" w14:textId="66281DBE" w:rsidR="00810DF1" w:rsidRPr="00810DF1" w:rsidRDefault="00810DF1" w:rsidP="00810DF1">
      <w:pPr>
        <w:spacing w:line="480" w:lineRule="auto"/>
        <w:ind w:left="880" w:hanging="440"/>
        <w:rPr>
          <w:rFonts w:ascii="Times New Roman" w:eastAsia="Times New Roman" w:hAnsi="Times New Roman" w:cs="Times New Roman"/>
          <w:bCs/>
        </w:rPr>
      </w:pPr>
      <w:r w:rsidRPr="00810DF1">
        <w:rPr>
          <w:rFonts w:ascii="Times New Roman" w:eastAsia="Times New Roman" w:hAnsi="Times New Roman" w:cs="Times New Roman"/>
          <w:bCs/>
        </w:rPr>
        <w:t xml:space="preserve">MacKinlay, A. Craig. “Event Studies in Economics and Finance.” </w:t>
      </w:r>
      <w:r w:rsidRPr="00810DF1">
        <w:rPr>
          <w:rFonts w:ascii="Times New Roman" w:eastAsia="Times New Roman" w:hAnsi="Times New Roman" w:cs="Times New Roman"/>
          <w:bCs/>
          <w:i/>
        </w:rPr>
        <w:t>Journal of Economic Literature</w:t>
      </w:r>
      <w:r w:rsidRPr="00810DF1">
        <w:rPr>
          <w:rFonts w:ascii="Times New Roman" w:eastAsia="Times New Roman" w:hAnsi="Times New Roman" w:cs="Times New Roman"/>
          <w:bCs/>
        </w:rPr>
        <w:t>, vol. 35, no. 1, 1997, pp. 13–39.</w:t>
      </w:r>
    </w:p>
    <w:p w14:paraId="205E17C6" w14:textId="77777777" w:rsidR="00B202F0" w:rsidRPr="00810DF1" w:rsidRDefault="00C600BB">
      <w:pPr>
        <w:spacing w:line="480" w:lineRule="auto"/>
        <w:ind w:left="880" w:hanging="440"/>
        <w:rPr>
          <w:rFonts w:ascii="Times New Roman" w:eastAsia="Times New Roman" w:hAnsi="Times New Roman" w:cs="Times New Roman"/>
          <w:bCs/>
        </w:rPr>
      </w:pPr>
      <w:r w:rsidRPr="00810DF1">
        <w:rPr>
          <w:rFonts w:ascii="Times New Roman" w:eastAsia="Times New Roman" w:hAnsi="Times New Roman" w:cs="Times New Roman"/>
          <w:bCs/>
        </w:rPr>
        <w:t xml:space="preserve">Singh, Bhanwar, et al. “The Outbreak of COVID-19 and Stock Market Responses: An Event Study and Panel Data Analysis for G-20 Countries.” </w:t>
      </w:r>
      <w:r w:rsidRPr="00810DF1">
        <w:rPr>
          <w:rFonts w:ascii="Times New Roman" w:eastAsia="Times New Roman" w:hAnsi="Times New Roman" w:cs="Times New Roman"/>
          <w:bCs/>
          <w:i/>
        </w:rPr>
        <w:t>Global Business Review</w:t>
      </w:r>
      <w:r w:rsidRPr="00810DF1">
        <w:rPr>
          <w:rFonts w:ascii="Times New Roman" w:eastAsia="Times New Roman" w:hAnsi="Times New Roman" w:cs="Times New Roman"/>
          <w:bCs/>
        </w:rPr>
        <w:t xml:space="preserve">, Oct. 2020, p. 0972150920957274. </w:t>
      </w:r>
      <w:r w:rsidRPr="00810DF1">
        <w:rPr>
          <w:rFonts w:ascii="Times New Roman" w:eastAsia="Times New Roman" w:hAnsi="Times New Roman" w:cs="Times New Roman"/>
          <w:bCs/>
          <w:i/>
        </w:rPr>
        <w:t>SAGE Journals</w:t>
      </w:r>
      <w:r w:rsidRPr="00810DF1">
        <w:rPr>
          <w:rFonts w:ascii="Times New Roman" w:eastAsia="Times New Roman" w:hAnsi="Times New Roman" w:cs="Times New Roman"/>
          <w:bCs/>
        </w:rPr>
        <w:t>,</w:t>
      </w:r>
      <w:hyperlink r:id="rId37">
        <w:r w:rsidRPr="00810DF1">
          <w:rPr>
            <w:rFonts w:ascii="Times New Roman" w:eastAsia="Times New Roman" w:hAnsi="Times New Roman" w:cs="Times New Roman"/>
            <w:bCs/>
          </w:rPr>
          <w:t xml:space="preserve"> </w:t>
        </w:r>
      </w:hyperlink>
      <w:hyperlink r:id="rId38">
        <w:r w:rsidRPr="00810DF1">
          <w:rPr>
            <w:rFonts w:ascii="Times New Roman" w:eastAsia="Times New Roman" w:hAnsi="Times New Roman" w:cs="Times New Roman"/>
            <w:bCs/>
            <w:u w:val="single"/>
          </w:rPr>
          <w:t>https://doi.org/10.1177/0972150920957274</w:t>
        </w:r>
      </w:hyperlink>
      <w:r w:rsidRPr="00810DF1">
        <w:rPr>
          <w:rFonts w:ascii="Times New Roman" w:eastAsia="Times New Roman" w:hAnsi="Times New Roman" w:cs="Times New Roman"/>
          <w:bCs/>
        </w:rPr>
        <w:t>.</w:t>
      </w:r>
    </w:p>
    <w:p w14:paraId="2D5E49FB" w14:textId="5D4286E8" w:rsidR="00810DF1" w:rsidRPr="00810DF1" w:rsidRDefault="00810DF1" w:rsidP="00810DF1">
      <w:pPr>
        <w:spacing w:line="480" w:lineRule="auto"/>
        <w:ind w:left="880" w:hanging="440"/>
        <w:rPr>
          <w:rFonts w:ascii="Times New Roman" w:eastAsia="Times New Roman" w:hAnsi="Times New Roman" w:cs="Times New Roman"/>
          <w:bCs/>
          <w:lang w:val="en-US"/>
        </w:rPr>
      </w:pPr>
      <w:r w:rsidRPr="00810DF1">
        <w:rPr>
          <w:rFonts w:ascii="Times New Roman" w:eastAsia="Times New Roman" w:hAnsi="Times New Roman" w:cs="Times New Roman"/>
          <w:bCs/>
          <w:i/>
          <w:iCs/>
          <w:lang w:val="en-US"/>
        </w:rPr>
        <w:t>What Is the Efficient Market Hypothesis? – Forbes Advisor</w:t>
      </w:r>
      <w:r w:rsidRPr="00810DF1">
        <w:rPr>
          <w:rFonts w:ascii="Times New Roman" w:eastAsia="Times New Roman" w:hAnsi="Times New Roman" w:cs="Times New Roman"/>
          <w:bCs/>
          <w:lang w:val="en-US"/>
        </w:rPr>
        <w:t xml:space="preserve">. </w:t>
      </w:r>
      <w:hyperlink r:id="rId39" w:history="1">
        <w:r w:rsidRPr="00810DF1">
          <w:rPr>
            <w:rStyle w:val="Hyperlink"/>
            <w:rFonts w:ascii="Times New Roman" w:eastAsia="Times New Roman" w:hAnsi="Times New Roman" w:cs="Times New Roman"/>
            <w:bCs/>
            <w:color w:val="auto"/>
            <w:lang w:val="en-US"/>
          </w:rPr>
          <w:t>https://www.forbes.com/advisor/investing/efficient-market-hypothesis/</w:t>
        </w:r>
      </w:hyperlink>
      <w:r w:rsidRPr="00810DF1">
        <w:rPr>
          <w:rFonts w:ascii="Times New Roman" w:eastAsia="Times New Roman" w:hAnsi="Times New Roman" w:cs="Times New Roman"/>
          <w:bCs/>
          <w:lang w:val="en-US"/>
        </w:rPr>
        <w:t xml:space="preserve">. </w:t>
      </w:r>
      <w:r w:rsidR="00640095">
        <w:rPr>
          <w:rFonts w:ascii="Times New Roman" w:eastAsia="Times New Roman" w:hAnsi="Times New Roman" w:cs="Times New Roman"/>
          <w:bCs/>
          <w:lang w:val="en-US"/>
        </w:rPr>
        <w:t>11 May, 2022</w:t>
      </w:r>
      <w:r w:rsidRPr="00810DF1">
        <w:rPr>
          <w:rFonts w:ascii="Times New Roman" w:eastAsia="Times New Roman" w:hAnsi="Times New Roman" w:cs="Times New Roman"/>
          <w:bCs/>
          <w:lang w:val="en-US"/>
        </w:rPr>
        <w:t>.</w:t>
      </w:r>
    </w:p>
    <w:p w14:paraId="205E17C7" w14:textId="77777777" w:rsidR="00B202F0" w:rsidRPr="00810DF1" w:rsidRDefault="00C600BB">
      <w:pPr>
        <w:spacing w:line="480" w:lineRule="auto"/>
        <w:ind w:left="880" w:hanging="440"/>
        <w:rPr>
          <w:rFonts w:ascii="Times New Roman" w:eastAsia="Times New Roman" w:hAnsi="Times New Roman" w:cs="Times New Roman"/>
          <w:bCs/>
        </w:rPr>
      </w:pPr>
      <w:r w:rsidRPr="00810DF1">
        <w:rPr>
          <w:rFonts w:ascii="Times New Roman" w:eastAsia="Times New Roman" w:hAnsi="Times New Roman" w:cs="Times New Roman"/>
          <w:bCs/>
        </w:rPr>
        <w:t xml:space="preserve">Zoungrana, Tibi Didier, et al. “Covid‐19 Outbreak and Stocks Return on the West African Economic and Monetary Union’s Stock Market: An Empirical Analysis of the Relationship through the Event Study Approach.” </w:t>
      </w:r>
      <w:r w:rsidRPr="00810DF1">
        <w:rPr>
          <w:rFonts w:ascii="Times New Roman" w:eastAsia="Times New Roman" w:hAnsi="Times New Roman" w:cs="Times New Roman"/>
          <w:bCs/>
          <w:i/>
        </w:rPr>
        <w:t>International Journal of Finance &amp; Economics</w:t>
      </w:r>
      <w:r w:rsidRPr="00810DF1">
        <w:rPr>
          <w:rFonts w:ascii="Times New Roman" w:eastAsia="Times New Roman" w:hAnsi="Times New Roman" w:cs="Times New Roman"/>
          <w:bCs/>
        </w:rPr>
        <w:t xml:space="preserve">, Feb. 2021, p. 10.1002/ijfe.2484. </w:t>
      </w:r>
      <w:r w:rsidRPr="00810DF1">
        <w:rPr>
          <w:rFonts w:ascii="Times New Roman" w:eastAsia="Times New Roman" w:hAnsi="Times New Roman" w:cs="Times New Roman"/>
          <w:bCs/>
          <w:i/>
        </w:rPr>
        <w:t>PubMed Central</w:t>
      </w:r>
      <w:r w:rsidRPr="00810DF1">
        <w:rPr>
          <w:rFonts w:ascii="Times New Roman" w:eastAsia="Times New Roman" w:hAnsi="Times New Roman" w:cs="Times New Roman"/>
          <w:bCs/>
        </w:rPr>
        <w:t>,</w:t>
      </w:r>
      <w:hyperlink r:id="rId40">
        <w:r w:rsidRPr="00810DF1">
          <w:rPr>
            <w:rFonts w:ascii="Times New Roman" w:eastAsia="Times New Roman" w:hAnsi="Times New Roman" w:cs="Times New Roman"/>
            <w:bCs/>
          </w:rPr>
          <w:t xml:space="preserve"> </w:t>
        </w:r>
      </w:hyperlink>
      <w:hyperlink r:id="rId41">
        <w:r w:rsidRPr="00810DF1">
          <w:rPr>
            <w:rFonts w:ascii="Times New Roman" w:eastAsia="Times New Roman" w:hAnsi="Times New Roman" w:cs="Times New Roman"/>
            <w:bCs/>
            <w:u w:val="single"/>
          </w:rPr>
          <w:t>https://doi.org/10.1002/ijfe.2484</w:t>
        </w:r>
      </w:hyperlink>
      <w:r w:rsidRPr="00810DF1">
        <w:rPr>
          <w:rFonts w:ascii="Times New Roman" w:eastAsia="Times New Roman" w:hAnsi="Times New Roman" w:cs="Times New Roman"/>
          <w:bCs/>
        </w:rPr>
        <w:t>.</w:t>
      </w:r>
    </w:p>
    <w:p w14:paraId="0239E1BE" w14:textId="77777777" w:rsidR="000C73DB" w:rsidRPr="000C73DB" w:rsidRDefault="000C73DB" w:rsidP="000C73DB">
      <w:pPr>
        <w:spacing w:line="480" w:lineRule="auto"/>
        <w:ind w:left="880" w:hanging="440"/>
        <w:rPr>
          <w:rFonts w:ascii="Times New Roman" w:eastAsia="Times New Roman" w:hAnsi="Times New Roman" w:cs="Times New Roman"/>
          <w:bCs/>
          <w:lang w:val="en-US"/>
        </w:rPr>
      </w:pPr>
    </w:p>
    <w:p w14:paraId="4E448023" w14:textId="77777777" w:rsidR="000C73DB" w:rsidRPr="00262015" w:rsidRDefault="000C73DB">
      <w:pPr>
        <w:spacing w:line="480" w:lineRule="auto"/>
        <w:ind w:left="880" w:hanging="440"/>
        <w:rPr>
          <w:rFonts w:ascii="Times New Roman" w:eastAsia="Times New Roman" w:hAnsi="Times New Roman" w:cs="Times New Roman"/>
          <w:bCs/>
        </w:rPr>
      </w:pPr>
    </w:p>
    <w:p w14:paraId="205E17D4" w14:textId="77777777" w:rsidR="00B202F0" w:rsidRPr="00262015" w:rsidRDefault="00B202F0">
      <w:pPr>
        <w:spacing w:line="480" w:lineRule="auto"/>
        <w:ind w:left="880" w:hanging="440"/>
        <w:rPr>
          <w:rFonts w:ascii="Times New Roman" w:eastAsia="Times New Roman" w:hAnsi="Times New Roman" w:cs="Times New Roman"/>
          <w:bCs/>
        </w:rPr>
      </w:pPr>
    </w:p>
    <w:p w14:paraId="205E17D5" w14:textId="77777777" w:rsidR="00B202F0" w:rsidRPr="00262015" w:rsidRDefault="00B202F0">
      <w:pPr>
        <w:rPr>
          <w:rFonts w:ascii="Times New Roman" w:eastAsia="Times New Roman" w:hAnsi="Times New Roman" w:cs="Times New Roman"/>
          <w:bCs/>
        </w:rPr>
      </w:pPr>
    </w:p>
    <w:p w14:paraId="205E17D6" w14:textId="77777777" w:rsidR="00B202F0" w:rsidRPr="00262015" w:rsidRDefault="00B202F0">
      <w:pPr>
        <w:jc w:val="center"/>
        <w:rPr>
          <w:rFonts w:ascii="Times New Roman" w:eastAsia="Times New Roman" w:hAnsi="Times New Roman" w:cs="Times New Roman"/>
          <w:bCs/>
        </w:rPr>
      </w:pPr>
    </w:p>
    <w:p w14:paraId="4825C3FD" w14:textId="6740B718" w:rsidR="005A2410" w:rsidRPr="00810DF1" w:rsidRDefault="00952F55">
      <w:pPr>
        <w:rPr>
          <w:rFonts w:ascii="Times New Roman" w:eastAsia="Times New Roman" w:hAnsi="Times New Roman" w:cs="Times New Roman"/>
          <w:bCs/>
        </w:rPr>
      </w:pPr>
      <w:r w:rsidRPr="00810DF1">
        <w:rPr>
          <w:rFonts w:ascii="Times New Roman" w:eastAsia="Times New Roman" w:hAnsi="Times New Roman" w:cs="Times New Roman"/>
          <w:b/>
          <w:sz w:val="28"/>
          <w:szCs w:val="28"/>
        </w:rPr>
        <w:t xml:space="preserve">Appendix </w:t>
      </w:r>
    </w:p>
    <w:p w14:paraId="4C78507F" w14:textId="77777777" w:rsidR="00F2190E" w:rsidRPr="00262015" w:rsidRDefault="00F2190E">
      <w:pPr>
        <w:rPr>
          <w:rFonts w:ascii="Times New Roman" w:eastAsia="Times New Roman" w:hAnsi="Times New Roman" w:cs="Times New Roman"/>
          <w:bCs/>
          <w:sz w:val="24"/>
          <w:szCs w:val="24"/>
        </w:rPr>
      </w:pPr>
    </w:p>
    <w:p w14:paraId="728E1610" w14:textId="211D3F9B" w:rsidR="00F2190E" w:rsidRPr="00810DF1" w:rsidRDefault="00F2190E" w:rsidP="00F2190E">
      <w:pPr>
        <w:rPr>
          <w:rFonts w:ascii="Times New Roman" w:eastAsia="Times New Roman" w:hAnsi="Times New Roman" w:cs="Times New Roman"/>
          <w:b/>
          <w:sz w:val="24"/>
          <w:szCs w:val="24"/>
        </w:rPr>
      </w:pPr>
      <w:r w:rsidRPr="00810DF1">
        <w:rPr>
          <w:rFonts w:ascii="Times New Roman" w:eastAsia="Times New Roman" w:hAnsi="Times New Roman" w:cs="Times New Roman"/>
          <w:b/>
          <w:sz w:val="24"/>
          <w:szCs w:val="24"/>
        </w:rPr>
        <w:t xml:space="preserve">A. Sector Composition </w:t>
      </w:r>
    </w:p>
    <w:p w14:paraId="3CF57A4E" w14:textId="77777777" w:rsidR="00F2190E" w:rsidRPr="00262015" w:rsidRDefault="00F2190E" w:rsidP="00F2190E">
      <w:pPr>
        <w:rPr>
          <w:rFonts w:ascii="Times New Roman" w:eastAsia="Times New Roman" w:hAnsi="Times New Roman" w:cs="Times New Roman"/>
          <w:bCs/>
          <w:sz w:val="24"/>
          <w:szCs w:val="24"/>
        </w:rPr>
      </w:pPr>
    </w:p>
    <w:tbl>
      <w:tblPr>
        <w:tblW w:w="9236" w:type="dxa"/>
        <w:tblLook w:val="04A0" w:firstRow="1" w:lastRow="0" w:firstColumn="1" w:lastColumn="0" w:noHBand="0" w:noVBand="1"/>
      </w:tblPr>
      <w:tblGrid>
        <w:gridCol w:w="1196"/>
        <w:gridCol w:w="3130"/>
        <w:gridCol w:w="1376"/>
        <w:gridCol w:w="3610"/>
      </w:tblGrid>
      <w:tr w:rsidR="005A2410" w:rsidRPr="00262015" w14:paraId="6A46A9A4" w14:textId="77777777" w:rsidTr="00834D30">
        <w:trPr>
          <w:trHeight w:val="270"/>
        </w:trPr>
        <w:tc>
          <w:tcPr>
            <w:tcW w:w="9236" w:type="dxa"/>
            <w:gridSpan w:val="4"/>
            <w:tcBorders>
              <w:top w:val="nil"/>
              <w:left w:val="nil"/>
              <w:bottom w:val="nil"/>
              <w:right w:val="nil"/>
            </w:tcBorders>
            <w:shd w:val="clear" w:color="auto" w:fill="auto"/>
            <w:noWrap/>
            <w:vAlign w:val="center"/>
            <w:hideMark/>
          </w:tcPr>
          <w:p w14:paraId="408C87E8" w14:textId="3727EC5E"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 xml:space="preserve">Table A1 Brief composition in GICS sectors (Source: wikipedia.org and msci.com ) </w:t>
            </w:r>
          </w:p>
        </w:tc>
      </w:tr>
      <w:tr w:rsidR="005A2410" w:rsidRPr="00262015" w14:paraId="71D71F0C" w14:textId="77777777" w:rsidTr="00834D30">
        <w:trPr>
          <w:trHeight w:val="270"/>
        </w:trPr>
        <w:tc>
          <w:tcPr>
            <w:tcW w:w="1169" w:type="dxa"/>
            <w:tcBorders>
              <w:top w:val="single" w:sz="8" w:space="0" w:color="auto"/>
              <w:left w:val="nil"/>
              <w:bottom w:val="single" w:sz="8" w:space="0" w:color="auto"/>
              <w:right w:val="nil"/>
            </w:tcBorders>
            <w:shd w:val="clear" w:color="auto" w:fill="auto"/>
            <w:noWrap/>
            <w:vAlign w:val="center"/>
            <w:hideMark/>
          </w:tcPr>
          <w:p w14:paraId="33E6FB08"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 xml:space="preserve">Sector </w:t>
            </w:r>
          </w:p>
        </w:tc>
        <w:tc>
          <w:tcPr>
            <w:tcW w:w="3130" w:type="dxa"/>
            <w:tcBorders>
              <w:top w:val="single" w:sz="8" w:space="0" w:color="auto"/>
              <w:left w:val="nil"/>
              <w:bottom w:val="single" w:sz="8" w:space="0" w:color="auto"/>
              <w:right w:val="single" w:sz="12" w:space="0" w:color="auto"/>
            </w:tcBorders>
            <w:shd w:val="clear" w:color="auto" w:fill="auto"/>
            <w:noWrap/>
            <w:vAlign w:val="bottom"/>
            <w:hideMark/>
          </w:tcPr>
          <w:p w14:paraId="3F391E73"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 xml:space="preserve">Industries </w:t>
            </w:r>
          </w:p>
        </w:tc>
        <w:tc>
          <w:tcPr>
            <w:tcW w:w="1327" w:type="dxa"/>
            <w:tcBorders>
              <w:top w:val="single" w:sz="8" w:space="0" w:color="auto"/>
              <w:left w:val="nil"/>
              <w:bottom w:val="single" w:sz="8" w:space="0" w:color="auto"/>
              <w:right w:val="nil"/>
            </w:tcBorders>
            <w:shd w:val="clear" w:color="auto" w:fill="auto"/>
            <w:noWrap/>
            <w:vAlign w:val="bottom"/>
            <w:hideMark/>
          </w:tcPr>
          <w:p w14:paraId="0D51F2A1"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 xml:space="preserve">Sector </w:t>
            </w:r>
          </w:p>
        </w:tc>
        <w:tc>
          <w:tcPr>
            <w:tcW w:w="3610" w:type="dxa"/>
            <w:tcBorders>
              <w:top w:val="single" w:sz="8" w:space="0" w:color="auto"/>
              <w:left w:val="nil"/>
              <w:bottom w:val="single" w:sz="8" w:space="0" w:color="auto"/>
              <w:right w:val="nil"/>
            </w:tcBorders>
            <w:shd w:val="clear" w:color="auto" w:fill="auto"/>
            <w:noWrap/>
            <w:vAlign w:val="bottom"/>
            <w:hideMark/>
          </w:tcPr>
          <w:p w14:paraId="1BD5BD98"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Industries</w:t>
            </w:r>
          </w:p>
        </w:tc>
      </w:tr>
      <w:tr w:rsidR="005A2410" w:rsidRPr="00262015" w14:paraId="2BFC4456" w14:textId="77777777" w:rsidTr="00834D30">
        <w:trPr>
          <w:trHeight w:val="260"/>
        </w:trPr>
        <w:tc>
          <w:tcPr>
            <w:tcW w:w="1169" w:type="dxa"/>
            <w:vMerge w:val="restart"/>
            <w:tcBorders>
              <w:top w:val="nil"/>
              <w:left w:val="nil"/>
              <w:bottom w:val="nil"/>
              <w:right w:val="nil"/>
            </w:tcBorders>
            <w:shd w:val="clear" w:color="auto" w:fill="auto"/>
            <w:noWrap/>
            <w:hideMark/>
          </w:tcPr>
          <w:p w14:paraId="64CEFD5A" w14:textId="77777777" w:rsidR="005A2410" w:rsidRPr="00262015" w:rsidRDefault="005A2410" w:rsidP="00834D30">
            <w:pPr>
              <w:spacing w:line="240" w:lineRule="auto"/>
              <w:jc w:val="center"/>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 xml:space="preserve">Energy </w:t>
            </w:r>
          </w:p>
        </w:tc>
        <w:tc>
          <w:tcPr>
            <w:tcW w:w="3130" w:type="dxa"/>
            <w:tcBorders>
              <w:top w:val="nil"/>
              <w:left w:val="nil"/>
              <w:bottom w:val="nil"/>
              <w:right w:val="single" w:sz="12" w:space="0" w:color="auto"/>
            </w:tcBorders>
            <w:shd w:val="clear" w:color="auto" w:fill="auto"/>
            <w:noWrap/>
            <w:vAlign w:val="bottom"/>
            <w:hideMark/>
          </w:tcPr>
          <w:p w14:paraId="73DA5868" w14:textId="77777777" w:rsidR="005A2410" w:rsidRPr="00262015" w:rsidRDefault="005A2410" w:rsidP="00834D30">
            <w:pPr>
              <w:spacing w:line="240" w:lineRule="auto"/>
              <w:rPr>
                <w:rFonts w:ascii="Times New Roman" w:eastAsia="Times New Roman" w:hAnsi="Times New Roman" w:cs="Times New Roman"/>
                <w:bCs/>
                <w:color w:val="202122"/>
                <w:sz w:val="18"/>
                <w:szCs w:val="18"/>
                <w:lang w:val="en-US"/>
              </w:rPr>
            </w:pPr>
            <w:r w:rsidRPr="00262015">
              <w:rPr>
                <w:rFonts w:ascii="Times New Roman" w:eastAsia="Times New Roman" w:hAnsi="Times New Roman" w:cs="Times New Roman"/>
                <w:bCs/>
                <w:color w:val="202122"/>
                <w:sz w:val="18"/>
                <w:szCs w:val="18"/>
                <w:lang w:val="en-US"/>
              </w:rPr>
              <w:t>Energy Equipment &amp; Services</w:t>
            </w:r>
          </w:p>
        </w:tc>
        <w:tc>
          <w:tcPr>
            <w:tcW w:w="1327" w:type="dxa"/>
            <w:vMerge w:val="restart"/>
            <w:tcBorders>
              <w:top w:val="nil"/>
              <w:left w:val="nil"/>
              <w:bottom w:val="nil"/>
              <w:right w:val="nil"/>
            </w:tcBorders>
            <w:shd w:val="clear" w:color="auto" w:fill="auto"/>
            <w:noWrap/>
            <w:hideMark/>
          </w:tcPr>
          <w:p w14:paraId="1A7E9182" w14:textId="77777777" w:rsidR="005A2410" w:rsidRPr="00262015" w:rsidRDefault="005A2410" w:rsidP="00834D30">
            <w:pPr>
              <w:spacing w:line="240" w:lineRule="auto"/>
              <w:jc w:val="center"/>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Health Care</w:t>
            </w:r>
          </w:p>
        </w:tc>
        <w:tc>
          <w:tcPr>
            <w:tcW w:w="3610" w:type="dxa"/>
            <w:tcBorders>
              <w:top w:val="nil"/>
              <w:left w:val="nil"/>
              <w:bottom w:val="nil"/>
              <w:right w:val="nil"/>
            </w:tcBorders>
            <w:shd w:val="clear" w:color="auto" w:fill="auto"/>
            <w:noWrap/>
            <w:vAlign w:val="bottom"/>
            <w:hideMark/>
          </w:tcPr>
          <w:p w14:paraId="04A0E84B"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Health Care Equipment &amp; Supplies</w:t>
            </w:r>
          </w:p>
        </w:tc>
      </w:tr>
      <w:tr w:rsidR="005A2410" w:rsidRPr="00262015" w14:paraId="2C2CD6C6" w14:textId="77777777" w:rsidTr="00834D30">
        <w:trPr>
          <w:trHeight w:val="260"/>
        </w:trPr>
        <w:tc>
          <w:tcPr>
            <w:tcW w:w="1169" w:type="dxa"/>
            <w:vMerge/>
            <w:tcBorders>
              <w:top w:val="nil"/>
              <w:left w:val="nil"/>
              <w:bottom w:val="nil"/>
              <w:right w:val="nil"/>
            </w:tcBorders>
            <w:vAlign w:val="center"/>
            <w:hideMark/>
          </w:tcPr>
          <w:p w14:paraId="07D66ED6"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4866C82E"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Oil, Gas &amp; Consumable Fuels</w:t>
            </w:r>
          </w:p>
        </w:tc>
        <w:tc>
          <w:tcPr>
            <w:tcW w:w="1327" w:type="dxa"/>
            <w:vMerge/>
            <w:tcBorders>
              <w:top w:val="nil"/>
              <w:left w:val="nil"/>
              <w:bottom w:val="nil"/>
              <w:right w:val="nil"/>
            </w:tcBorders>
            <w:vAlign w:val="center"/>
            <w:hideMark/>
          </w:tcPr>
          <w:p w14:paraId="2A1A6EA5"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531372ED"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Health Care Providers &amp; Services</w:t>
            </w:r>
          </w:p>
        </w:tc>
      </w:tr>
      <w:tr w:rsidR="005A2410" w:rsidRPr="00262015" w14:paraId="79DD0DAA" w14:textId="77777777" w:rsidTr="00834D30">
        <w:trPr>
          <w:trHeight w:val="260"/>
        </w:trPr>
        <w:tc>
          <w:tcPr>
            <w:tcW w:w="1169" w:type="dxa"/>
            <w:vMerge w:val="restart"/>
            <w:tcBorders>
              <w:top w:val="nil"/>
              <w:left w:val="nil"/>
              <w:bottom w:val="nil"/>
              <w:right w:val="nil"/>
            </w:tcBorders>
            <w:shd w:val="clear" w:color="auto" w:fill="auto"/>
            <w:noWrap/>
            <w:hideMark/>
          </w:tcPr>
          <w:p w14:paraId="4F383A41" w14:textId="77777777" w:rsidR="005A2410" w:rsidRPr="00262015" w:rsidRDefault="005A2410" w:rsidP="00834D30">
            <w:pPr>
              <w:spacing w:line="240" w:lineRule="auto"/>
              <w:jc w:val="center"/>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Materials</w:t>
            </w:r>
          </w:p>
        </w:tc>
        <w:tc>
          <w:tcPr>
            <w:tcW w:w="3130" w:type="dxa"/>
            <w:tcBorders>
              <w:top w:val="nil"/>
              <w:left w:val="nil"/>
              <w:bottom w:val="nil"/>
              <w:right w:val="single" w:sz="12" w:space="0" w:color="auto"/>
            </w:tcBorders>
            <w:shd w:val="clear" w:color="auto" w:fill="auto"/>
            <w:noWrap/>
            <w:vAlign w:val="bottom"/>
            <w:hideMark/>
          </w:tcPr>
          <w:p w14:paraId="3B1F9EAA"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Chemicals</w:t>
            </w:r>
          </w:p>
        </w:tc>
        <w:tc>
          <w:tcPr>
            <w:tcW w:w="1327" w:type="dxa"/>
            <w:vMerge/>
            <w:tcBorders>
              <w:top w:val="nil"/>
              <w:left w:val="nil"/>
              <w:bottom w:val="nil"/>
              <w:right w:val="nil"/>
            </w:tcBorders>
            <w:vAlign w:val="center"/>
            <w:hideMark/>
          </w:tcPr>
          <w:p w14:paraId="4716AB6F"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4BBBACB2"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Health Care Technology</w:t>
            </w:r>
          </w:p>
        </w:tc>
      </w:tr>
      <w:tr w:rsidR="005A2410" w:rsidRPr="00262015" w14:paraId="184D43B2" w14:textId="77777777" w:rsidTr="00834D30">
        <w:trPr>
          <w:trHeight w:val="260"/>
        </w:trPr>
        <w:tc>
          <w:tcPr>
            <w:tcW w:w="1169" w:type="dxa"/>
            <w:vMerge/>
            <w:tcBorders>
              <w:top w:val="nil"/>
              <w:left w:val="nil"/>
              <w:bottom w:val="nil"/>
              <w:right w:val="nil"/>
            </w:tcBorders>
            <w:vAlign w:val="center"/>
            <w:hideMark/>
          </w:tcPr>
          <w:p w14:paraId="30622D44"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416F62F1"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Construction Materials</w:t>
            </w:r>
          </w:p>
        </w:tc>
        <w:tc>
          <w:tcPr>
            <w:tcW w:w="1327" w:type="dxa"/>
            <w:vMerge/>
            <w:tcBorders>
              <w:top w:val="nil"/>
              <w:left w:val="nil"/>
              <w:bottom w:val="nil"/>
              <w:right w:val="nil"/>
            </w:tcBorders>
            <w:vAlign w:val="center"/>
            <w:hideMark/>
          </w:tcPr>
          <w:p w14:paraId="69339E33"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7C4904E2"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Pharmaceuticals</w:t>
            </w:r>
          </w:p>
        </w:tc>
      </w:tr>
      <w:tr w:rsidR="005A2410" w:rsidRPr="00262015" w14:paraId="3E845855" w14:textId="77777777" w:rsidTr="00834D30">
        <w:trPr>
          <w:trHeight w:val="260"/>
        </w:trPr>
        <w:tc>
          <w:tcPr>
            <w:tcW w:w="1169" w:type="dxa"/>
            <w:vMerge/>
            <w:tcBorders>
              <w:top w:val="nil"/>
              <w:left w:val="nil"/>
              <w:bottom w:val="nil"/>
              <w:right w:val="nil"/>
            </w:tcBorders>
            <w:vAlign w:val="center"/>
            <w:hideMark/>
          </w:tcPr>
          <w:p w14:paraId="672AC539"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6EDD196F"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Containers &amp; Packaging</w:t>
            </w:r>
          </w:p>
        </w:tc>
        <w:tc>
          <w:tcPr>
            <w:tcW w:w="1327" w:type="dxa"/>
            <w:vMerge/>
            <w:tcBorders>
              <w:top w:val="nil"/>
              <w:left w:val="nil"/>
              <w:bottom w:val="nil"/>
              <w:right w:val="nil"/>
            </w:tcBorders>
            <w:vAlign w:val="center"/>
            <w:hideMark/>
          </w:tcPr>
          <w:p w14:paraId="3325AF96"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47CDD580"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Life Sciences Tools &amp; Services</w:t>
            </w:r>
          </w:p>
        </w:tc>
      </w:tr>
      <w:tr w:rsidR="005A2410" w:rsidRPr="00262015" w14:paraId="554EDEB7" w14:textId="77777777" w:rsidTr="00834D30">
        <w:trPr>
          <w:trHeight w:val="260"/>
        </w:trPr>
        <w:tc>
          <w:tcPr>
            <w:tcW w:w="1169" w:type="dxa"/>
            <w:vMerge/>
            <w:tcBorders>
              <w:top w:val="nil"/>
              <w:left w:val="nil"/>
              <w:bottom w:val="nil"/>
              <w:right w:val="nil"/>
            </w:tcBorders>
            <w:vAlign w:val="center"/>
            <w:hideMark/>
          </w:tcPr>
          <w:p w14:paraId="763D7DA2"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30099801"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Metals &amp; Mining</w:t>
            </w:r>
          </w:p>
        </w:tc>
        <w:tc>
          <w:tcPr>
            <w:tcW w:w="1327" w:type="dxa"/>
            <w:vMerge w:val="restart"/>
            <w:tcBorders>
              <w:top w:val="nil"/>
              <w:left w:val="nil"/>
              <w:bottom w:val="nil"/>
              <w:right w:val="nil"/>
            </w:tcBorders>
            <w:shd w:val="clear" w:color="auto" w:fill="auto"/>
            <w:noWrap/>
            <w:hideMark/>
          </w:tcPr>
          <w:p w14:paraId="7B19246B" w14:textId="77777777" w:rsidR="005A2410" w:rsidRPr="00262015" w:rsidRDefault="005A2410" w:rsidP="00834D30">
            <w:pPr>
              <w:spacing w:line="240" w:lineRule="auto"/>
              <w:jc w:val="center"/>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Financials</w:t>
            </w:r>
          </w:p>
        </w:tc>
        <w:tc>
          <w:tcPr>
            <w:tcW w:w="3610" w:type="dxa"/>
            <w:tcBorders>
              <w:top w:val="nil"/>
              <w:left w:val="nil"/>
              <w:bottom w:val="nil"/>
              <w:right w:val="nil"/>
            </w:tcBorders>
            <w:shd w:val="clear" w:color="auto" w:fill="auto"/>
            <w:noWrap/>
            <w:vAlign w:val="bottom"/>
            <w:hideMark/>
          </w:tcPr>
          <w:p w14:paraId="0E9716B5"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Financial Services</w:t>
            </w:r>
          </w:p>
        </w:tc>
      </w:tr>
      <w:tr w:rsidR="005A2410" w:rsidRPr="00262015" w14:paraId="51FC07C9" w14:textId="77777777" w:rsidTr="00834D30">
        <w:trPr>
          <w:trHeight w:val="260"/>
        </w:trPr>
        <w:tc>
          <w:tcPr>
            <w:tcW w:w="1169" w:type="dxa"/>
            <w:vMerge/>
            <w:tcBorders>
              <w:top w:val="nil"/>
              <w:left w:val="nil"/>
              <w:bottom w:val="nil"/>
              <w:right w:val="nil"/>
            </w:tcBorders>
            <w:vAlign w:val="center"/>
            <w:hideMark/>
          </w:tcPr>
          <w:p w14:paraId="4DC2FED4"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4CB6D784"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Paper &amp; Forest Products</w:t>
            </w:r>
          </w:p>
        </w:tc>
        <w:tc>
          <w:tcPr>
            <w:tcW w:w="1327" w:type="dxa"/>
            <w:vMerge/>
            <w:tcBorders>
              <w:top w:val="nil"/>
              <w:left w:val="nil"/>
              <w:bottom w:val="nil"/>
              <w:right w:val="nil"/>
            </w:tcBorders>
            <w:vAlign w:val="center"/>
            <w:hideMark/>
          </w:tcPr>
          <w:p w14:paraId="1D76CE41"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71D34B48"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Consumer Finance</w:t>
            </w:r>
          </w:p>
        </w:tc>
      </w:tr>
      <w:tr w:rsidR="005A2410" w:rsidRPr="00262015" w14:paraId="2FF660E1" w14:textId="77777777" w:rsidTr="00834D30">
        <w:trPr>
          <w:trHeight w:val="260"/>
        </w:trPr>
        <w:tc>
          <w:tcPr>
            <w:tcW w:w="1169" w:type="dxa"/>
            <w:vMerge w:val="restart"/>
            <w:tcBorders>
              <w:top w:val="nil"/>
              <w:left w:val="nil"/>
              <w:bottom w:val="nil"/>
              <w:right w:val="nil"/>
            </w:tcBorders>
            <w:shd w:val="clear" w:color="auto" w:fill="auto"/>
            <w:noWrap/>
            <w:hideMark/>
          </w:tcPr>
          <w:p w14:paraId="4CC382F5" w14:textId="77777777" w:rsidR="005A2410" w:rsidRPr="00262015" w:rsidRDefault="005A2410" w:rsidP="00834D30">
            <w:pPr>
              <w:spacing w:line="240" w:lineRule="auto"/>
              <w:jc w:val="center"/>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Industrials</w:t>
            </w:r>
          </w:p>
        </w:tc>
        <w:tc>
          <w:tcPr>
            <w:tcW w:w="3130" w:type="dxa"/>
            <w:tcBorders>
              <w:top w:val="nil"/>
              <w:left w:val="nil"/>
              <w:bottom w:val="nil"/>
              <w:right w:val="single" w:sz="12" w:space="0" w:color="auto"/>
            </w:tcBorders>
            <w:shd w:val="clear" w:color="auto" w:fill="auto"/>
            <w:noWrap/>
            <w:vAlign w:val="bottom"/>
            <w:hideMark/>
          </w:tcPr>
          <w:p w14:paraId="0383E226"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Aerospace &amp; Defense</w:t>
            </w:r>
          </w:p>
        </w:tc>
        <w:tc>
          <w:tcPr>
            <w:tcW w:w="1327" w:type="dxa"/>
            <w:vMerge/>
            <w:tcBorders>
              <w:top w:val="nil"/>
              <w:left w:val="nil"/>
              <w:bottom w:val="nil"/>
              <w:right w:val="nil"/>
            </w:tcBorders>
            <w:vAlign w:val="center"/>
            <w:hideMark/>
          </w:tcPr>
          <w:p w14:paraId="758789EB"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6BC2EC76"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Capital Markets</w:t>
            </w:r>
          </w:p>
        </w:tc>
      </w:tr>
      <w:tr w:rsidR="005A2410" w:rsidRPr="00262015" w14:paraId="23A798C4" w14:textId="77777777" w:rsidTr="00834D30">
        <w:trPr>
          <w:trHeight w:val="260"/>
        </w:trPr>
        <w:tc>
          <w:tcPr>
            <w:tcW w:w="1169" w:type="dxa"/>
            <w:vMerge/>
            <w:tcBorders>
              <w:top w:val="nil"/>
              <w:left w:val="nil"/>
              <w:bottom w:val="nil"/>
              <w:right w:val="nil"/>
            </w:tcBorders>
            <w:vAlign w:val="center"/>
            <w:hideMark/>
          </w:tcPr>
          <w:p w14:paraId="19EF74E0"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126386C0"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Building Products</w:t>
            </w:r>
          </w:p>
        </w:tc>
        <w:tc>
          <w:tcPr>
            <w:tcW w:w="1327" w:type="dxa"/>
            <w:vMerge/>
            <w:tcBorders>
              <w:top w:val="nil"/>
              <w:left w:val="nil"/>
              <w:bottom w:val="nil"/>
              <w:right w:val="nil"/>
            </w:tcBorders>
            <w:vAlign w:val="center"/>
            <w:hideMark/>
          </w:tcPr>
          <w:p w14:paraId="0F353145"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06AFDC6B"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Insurance</w:t>
            </w:r>
          </w:p>
        </w:tc>
      </w:tr>
      <w:tr w:rsidR="005A2410" w:rsidRPr="00262015" w14:paraId="1FE238C1" w14:textId="77777777" w:rsidTr="00834D30">
        <w:trPr>
          <w:trHeight w:val="260"/>
        </w:trPr>
        <w:tc>
          <w:tcPr>
            <w:tcW w:w="1169" w:type="dxa"/>
            <w:vMerge/>
            <w:tcBorders>
              <w:top w:val="nil"/>
              <w:left w:val="nil"/>
              <w:bottom w:val="nil"/>
              <w:right w:val="nil"/>
            </w:tcBorders>
            <w:vAlign w:val="center"/>
            <w:hideMark/>
          </w:tcPr>
          <w:p w14:paraId="6F9C4AE7"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59F2667E"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Professional Services</w:t>
            </w:r>
          </w:p>
        </w:tc>
        <w:tc>
          <w:tcPr>
            <w:tcW w:w="1327" w:type="dxa"/>
            <w:vMerge w:val="restart"/>
            <w:tcBorders>
              <w:top w:val="nil"/>
              <w:left w:val="nil"/>
              <w:bottom w:val="nil"/>
              <w:right w:val="nil"/>
            </w:tcBorders>
            <w:shd w:val="clear" w:color="auto" w:fill="auto"/>
            <w:hideMark/>
          </w:tcPr>
          <w:p w14:paraId="4352E33D" w14:textId="77777777" w:rsidR="005A2410" w:rsidRPr="00262015" w:rsidRDefault="005A2410" w:rsidP="00834D30">
            <w:pPr>
              <w:spacing w:line="240" w:lineRule="auto"/>
              <w:jc w:val="center"/>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 xml:space="preserve">Information </w:t>
            </w:r>
            <w:r w:rsidRPr="00262015">
              <w:rPr>
                <w:rFonts w:ascii="Times New Roman" w:eastAsia="Times New Roman" w:hAnsi="Times New Roman" w:cs="Times New Roman"/>
                <w:bCs/>
                <w:color w:val="000000"/>
                <w:sz w:val="18"/>
                <w:szCs w:val="18"/>
                <w:lang w:val="en-US"/>
              </w:rPr>
              <w:br/>
              <w:t>Technology</w:t>
            </w:r>
          </w:p>
        </w:tc>
        <w:tc>
          <w:tcPr>
            <w:tcW w:w="3610" w:type="dxa"/>
            <w:tcBorders>
              <w:top w:val="nil"/>
              <w:left w:val="nil"/>
              <w:bottom w:val="nil"/>
              <w:right w:val="nil"/>
            </w:tcBorders>
            <w:shd w:val="clear" w:color="auto" w:fill="auto"/>
            <w:noWrap/>
            <w:vAlign w:val="bottom"/>
            <w:hideMark/>
          </w:tcPr>
          <w:p w14:paraId="5DE4717A"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Communications Equipment</w:t>
            </w:r>
          </w:p>
        </w:tc>
      </w:tr>
      <w:tr w:rsidR="005A2410" w:rsidRPr="00262015" w14:paraId="26632DFD" w14:textId="77777777" w:rsidTr="00834D30">
        <w:trPr>
          <w:trHeight w:val="260"/>
        </w:trPr>
        <w:tc>
          <w:tcPr>
            <w:tcW w:w="1169" w:type="dxa"/>
            <w:vMerge/>
            <w:tcBorders>
              <w:top w:val="nil"/>
              <w:left w:val="nil"/>
              <w:bottom w:val="nil"/>
              <w:right w:val="nil"/>
            </w:tcBorders>
            <w:vAlign w:val="center"/>
            <w:hideMark/>
          </w:tcPr>
          <w:p w14:paraId="44A7F903"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7B08CB11"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Air Freight &amp; Logistics</w:t>
            </w:r>
          </w:p>
        </w:tc>
        <w:tc>
          <w:tcPr>
            <w:tcW w:w="1327" w:type="dxa"/>
            <w:vMerge/>
            <w:tcBorders>
              <w:top w:val="nil"/>
              <w:left w:val="nil"/>
              <w:bottom w:val="nil"/>
              <w:right w:val="nil"/>
            </w:tcBorders>
            <w:vAlign w:val="center"/>
            <w:hideMark/>
          </w:tcPr>
          <w:p w14:paraId="1B63495C"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4B01FD67"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Technology Hardware, Storage &amp; Peripherals</w:t>
            </w:r>
          </w:p>
        </w:tc>
      </w:tr>
      <w:tr w:rsidR="005A2410" w:rsidRPr="00262015" w14:paraId="0C33EE50" w14:textId="77777777" w:rsidTr="00834D30">
        <w:trPr>
          <w:trHeight w:val="260"/>
        </w:trPr>
        <w:tc>
          <w:tcPr>
            <w:tcW w:w="1169" w:type="dxa"/>
            <w:vMerge/>
            <w:tcBorders>
              <w:top w:val="nil"/>
              <w:left w:val="nil"/>
              <w:bottom w:val="nil"/>
              <w:right w:val="nil"/>
            </w:tcBorders>
            <w:vAlign w:val="center"/>
            <w:hideMark/>
          </w:tcPr>
          <w:p w14:paraId="45E80705"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716228EC"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Passenger Airlines</w:t>
            </w:r>
          </w:p>
        </w:tc>
        <w:tc>
          <w:tcPr>
            <w:tcW w:w="1327" w:type="dxa"/>
            <w:vMerge/>
            <w:tcBorders>
              <w:top w:val="nil"/>
              <w:left w:val="nil"/>
              <w:bottom w:val="nil"/>
              <w:right w:val="nil"/>
            </w:tcBorders>
            <w:vAlign w:val="center"/>
            <w:hideMark/>
          </w:tcPr>
          <w:p w14:paraId="5DC8EB54"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7FF8F09F"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Semiconductors &amp; Semiconductor Equipment</w:t>
            </w:r>
          </w:p>
        </w:tc>
      </w:tr>
      <w:tr w:rsidR="005A2410" w:rsidRPr="00262015" w14:paraId="171F2B74" w14:textId="77777777" w:rsidTr="00834D30">
        <w:trPr>
          <w:trHeight w:val="260"/>
        </w:trPr>
        <w:tc>
          <w:tcPr>
            <w:tcW w:w="1169" w:type="dxa"/>
            <w:vMerge/>
            <w:tcBorders>
              <w:top w:val="nil"/>
              <w:left w:val="nil"/>
              <w:bottom w:val="nil"/>
              <w:right w:val="nil"/>
            </w:tcBorders>
            <w:vAlign w:val="center"/>
            <w:hideMark/>
          </w:tcPr>
          <w:p w14:paraId="3F4A31ED"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1C6A3A26"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Marine Transportation</w:t>
            </w:r>
          </w:p>
        </w:tc>
        <w:tc>
          <w:tcPr>
            <w:tcW w:w="1327" w:type="dxa"/>
            <w:vMerge w:val="restart"/>
            <w:tcBorders>
              <w:top w:val="nil"/>
              <w:left w:val="nil"/>
              <w:bottom w:val="nil"/>
              <w:right w:val="nil"/>
            </w:tcBorders>
            <w:shd w:val="clear" w:color="auto" w:fill="auto"/>
            <w:hideMark/>
          </w:tcPr>
          <w:p w14:paraId="3245909B" w14:textId="77777777" w:rsidR="005A2410" w:rsidRPr="00262015" w:rsidRDefault="005A2410" w:rsidP="00834D30">
            <w:pPr>
              <w:spacing w:line="240" w:lineRule="auto"/>
              <w:jc w:val="center"/>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 xml:space="preserve">Communication </w:t>
            </w:r>
            <w:r w:rsidRPr="00262015">
              <w:rPr>
                <w:rFonts w:ascii="Times New Roman" w:eastAsia="Times New Roman" w:hAnsi="Times New Roman" w:cs="Times New Roman"/>
                <w:bCs/>
                <w:color w:val="000000"/>
                <w:sz w:val="18"/>
                <w:szCs w:val="18"/>
                <w:lang w:val="en-US"/>
              </w:rPr>
              <w:br/>
              <w:t>Services</w:t>
            </w:r>
          </w:p>
        </w:tc>
        <w:tc>
          <w:tcPr>
            <w:tcW w:w="3610" w:type="dxa"/>
            <w:tcBorders>
              <w:top w:val="nil"/>
              <w:left w:val="nil"/>
              <w:bottom w:val="nil"/>
              <w:right w:val="nil"/>
            </w:tcBorders>
            <w:shd w:val="clear" w:color="auto" w:fill="auto"/>
            <w:noWrap/>
            <w:vAlign w:val="bottom"/>
            <w:hideMark/>
          </w:tcPr>
          <w:p w14:paraId="31C96B1E"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Diversified Telecommunication Services</w:t>
            </w:r>
          </w:p>
        </w:tc>
      </w:tr>
      <w:tr w:rsidR="005A2410" w:rsidRPr="00262015" w14:paraId="30247E53" w14:textId="77777777" w:rsidTr="00834D30">
        <w:trPr>
          <w:trHeight w:val="260"/>
        </w:trPr>
        <w:tc>
          <w:tcPr>
            <w:tcW w:w="1169" w:type="dxa"/>
            <w:vMerge/>
            <w:tcBorders>
              <w:top w:val="nil"/>
              <w:left w:val="nil"/>
              <w:bottom w:val="nil"/>
              <w:right w:val="nil"/>
            </w:tcBorders>
            <w:vAlign w:val="center"/>
            <w:hideMark/>
          </w:tcPr>
          <w:p w14:paraId="21D2B48B"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2B650334"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Ground Transportation</w:t>
            </w:r>
          </w:p>
        </w:tc>
        <w:tc>
          <w:tcPr>
            <w:tcW w:w="1327" w:type="dxa"/>
            <w:vMerge/>
            <w:tcBorders>
              <w:top w:val="nil"/>
              <w:left w:val="nil"/>
              <w:bottom w:val="nil"/>
              <w:right w:val="nil"/>
            </w:tcBorders>
            <w:vAlign w:val="center"/>
            <w:hideMark/>
          </w:tcPr>
          <w:p w14:paraId="5D389909"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5F53E27B"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Wireless Telecommunication Services</w:t>
            </w:r>
          </w:p>
        </w:tc>
      </w:tr>
      <w:tr w:rsidR="005A2410" w:rsidRPr="00262015" w14:paraId="141F01B9" w14:textId="77777777" w:rsidTr="00834D30">
        <w:trPr>
          <w:trHeight w:val="260"/>
        </w:trPr>
        <w:tc>
          <w:tcPr>
            <w:tcW w:w="1169" w:type="dxa"/>
            <w:vMerge w:val="restart"/>
            <w:tcBorders>
              <w:top w:val="nil"/>
              <w:left w:val="nil"/>
              <w:bottom w:val="nil"/>
              <w:right w:val="nil"/>
            </w:tcBorders>
            <w:shd w:val="clear" w:color="auto" w:fill="auto"/>
            <w:hideMark/>
          </w:tcPr>
          <w:p w14:paraId="030EF060" w14:textId="77777777" w:rsidR="005A2410" w:rsidRPr="00262015" w:rsidRDefault="005A2410" w:rsidP="00834D30">
            <w:pPr>
              <w:spacing w:line="240" w:lineRule="auto"/>
              <w:jc w:val="center"/>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Consumer</w:t>
            </w:r>
            <w:r w:rsidRPr="00262015">
              <w:rPr>
                <w:rFonts w:ascii="Times New Roman" w:eastAsia="Times New Roman" w:hAnsi="Times New Roman" w:cs="Times New Roman"/>
                <w:bCs/>
                <w:color w:val="000000"/>
                <w:sz w:val="18"/>
                <w:szCs w:val="18"/>
                <w:lang w:val="en-US"/>
              </w:rPr>
              <w:br/>
              <w:t>Discretionary</w:t>
            </w:r>
          </w:p>
        </w:tc>
        <w:tc>
          <w:tcPr>
            <w:tcW w:w="3130" w:type="dxa"/>
            <w:tcBorders>
              <w:top w:val="nil"/>
              <w:left w:val="nil"/>
              <w:bottom w:val="nil"/>
              <w:right w:val="single" w:sz="12" w:space="0" w:color="auto"/>
            </w:tcBorders>
            <w:shd w:val="clear" w:color="auto" w:fill="auto"/>
            <w:noWrap/>
            <w:vAlign w:val="bottom"/>
            <w:hideMark/>
          </w:tcPr>
          <w:p w14:paraId="6F284B85"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Automobile Components</w:t>
            </w:r>
          </w:p>
        </w:tc>
        <w:tc>
          <w:tcPr>
            <w:tcW w:w="1327" w:type="dxa"/>
            <w:vMerge/>
            <w:tcBorders>
              <w:top w:val="nil"/>
              <w:left w:val="nil"/>
              <w:bottom w:val="nil"/>
              <w:right w:val="nil"/>
            </w:tcBorders>
            <w:vAlign w:val="center"/>
            <w:hideMark/>
          </w:tcPr>
          <w:p w14:paraId="77E61371"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5084DCFF"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Media</w:t>
            </w:r>
          </w:p>
        </w:tc>
      </w:tr>
      <w:tr w:rsidR="005A2410" w:rsidRPr="00262015" w14:paraId="205D5525" w14:textId="77777777" w:rsidTr="00834D30">
        <w:trPr>
          <w:trHeight w:val="260"/>
        </w:trPr>
        <w:tc>
          <w:tcPr>
            <w:tcW w:w="1169" w:type="dxa"/>
            <w:vMerge/>
            <w:tcBorders>
              <w:top w:val="nil"/>
              <w:left w:val="nil"/>
              <w:bottom w:val="nil"/>
              <w:right w:val="nil"/>
            </w:tcBorders>
            <w:vAlign w:val="center"/>
            <w:hideMark/>
          </w:tcPr>
          <w:p w14:paraId="0491DCF1"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6AD5CF02"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Automobiles</w:t>
            </w:r>
          </w:p>
        </w:tc>
        <w:tc>
          <w:tcPr>
            <w:tcW w:w="1327" w:type="dxa"/>
            <w:vMerge/>
            <w:tcBorders>
              <w:top w:val="nil"/>
              <w:left w:val="nil"/>
              <w:bottom w:val="nil"/>
              <w:right w:val="nil"/>
            </w:tcBorders>
            <w:vAlign w:val="center"/>
            <w:hideMark/>
          </w:tcPr>
          <w:p w14:paraId="2773682E"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11706848"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Entertainment</w:t>
            </w:r>
          </w:p>
        </w:tc>
      </w:tr>
      <w:tr w:rsidR="005A2410" w:rsidRPr="00262015" w14:paraId="53A47DC3" w14:textId="77777777" w:rsidTr="00834D30">
        <w:trPr>
          <w:trHeight w:val="260"/>
        </w:trPr>
        <w:tc>
          <w:tcPr>
            <w:tcW w:w="1169" w:type="dxa"/>
            <w:vMerge/>
            <w:tcBorders>
              <w:top w:val="nil"/>
              <w:left w:val="nil"/>
              <w:bottom w:val="nil"/>
              <w:right w:val="nil"/>
            </w:tcBorders>
            <w:vAlign w:val="center"/>
            <w:hideMark/>
          </w:tcPr>
          <w:p w14:paraId="37982EC1"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6446726F"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Distributors</w:t>
            </w:r>
          </w:p>
        </w:tc>
        <w:tc>
          <w:tcPr>
            <w:tcW w:w="1327" w:type="dxa"/>
            <w:vMerge/>
            <w:tcBorders>
              <w:top w:val="nil"/>
              <w:left w:val="nil"/>
              <w:bottom w:val="nil"/>
              <w:right w:val="nil"/>
            </w:tcBorders>
            <w:vAlign w:val="center"/>
            <w:hideMark/>
          </w:tcPr>
          <w:p w14:paraId="7DA101BC"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24CC7B57"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Interactive Media &amp; Services</w:t>
            </w:r>
          </w:p>
        </w:tc>
      </w:tr>
      <w:tr w:rsidR="005A2410" w:rsidRPr="00262015" w14:paraId="157F1E5E" w14:textId="77777777" w:rsidTr="00834D30">
        <w:trPr>
          <w:trHeight w:val="260"/>
        </w:trPr>
        <w:tc>
          <w:tcPr>
            <w:tcW w:w="1169" w:type="dxa"/>
            <w:vMerge/>
            <w:tcBorders>
              <w:top w:val="nil"/>
              <w:left w:val="nil"/>
              <w:bottom w:val="nil"/>
              <w:right w:val="nil"/>
            </w:tcBorders>
            <w:vAlign w:val="center"/>
            <w:hideMark/>
          </w:tcPr>
          <w:p w14:paraId="687994C7"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1B4D8890"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Broadline Retail</w:t>
            </w:r>
          </w:p>
        </w:tc>
        <w:tc>
          <w:tcPr>
            <w:tcW w:w="1327" w:type="dxa"/>
            <w:vMerge w:val="restart"/>
            <w:tcBorders>
              <w:top w:val="nil"/>
              <w:left w:val="nil"/>
              <w:bottom w:val="nil"/>
              <w:right w:val="nil"/>
            </w:tcBorders>
            <w:shd w:val="clear" w:color="auto" w:fill="auto"/>
            <w:noWrap/>
            <w:hideMark/>
          </w:tcPr>
          <w:p w14:paraId="087CAFDE" w14:textId="77777777" w:rsidR="005A2410" w:rsidRPr="00262015" w:rsidRDefault="005A2410" w:rsidP="00834D30">
            <w:pPr>
              <w:spacing w:line="240" w:lineRule="auto"/>
              <w:jc w:val="center"/>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Utilities</w:t>
            </w:r>
          </w:p>
        </w:tc>
        <w:tc>
          <w:tcPr>
            <w:tcW w:w="3610" w:type="dxa"/>
            <w:tcBorders>
              <w:top w:val="nil"/>
              <w:left w:val="nil"/>
              <w:bottom w:val="nil"/>
              <w:right w:val="nil"/>
            </w:tcBorders>
            <w:shd w:val="clear" w:color="auto" w:fill="auto"/>
            <w:noWrap/>
            <w:vAlign w:val="bottom"/>
            <w:hideMark/>
          </w:tcPr>
          <w:p w14:paraId="327389ED"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Electric Utilities</w:t>
            </w:r>
          </w:p>
        </w:tc>
      </w:tr>
      <w:tr w:rsidR="005A2410" w:rsidRPr="00262015" w14:paraId="10799BE7" w14:textId="77777777" w:rsidTr="00834D30">
        <w:trPr>
          <w:trHeight w:val="260"/>
        </w:trPr>
        <w:tc>
          <w:tcPr>
            <w:tcW w:w="1169" w:type="dxa"/>
            <w:vMerge/>
            <w:tcBorders>
              <w:top w:val="nil"/>
              <w:left w:val="nil"/>
              <w:bottom w:val="nil"/>
              <w:right w:val="nil"/>
            </w:tcBorders>
            <w:vAlign w:val="center"/>
            <w:hideMark/>
          </w:tcPr>
          <w:p w14:paraId="48BCCABF"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0DBAEFFC"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Specialty Retail</w:t>
            </w:r>
          </w:p>
        </w:tc>
        <w:tc>
          <w:tcPr>
            <w:tcW w:w="1327" w:type="dxa"/>
            <w:vMerge/>
            <w:tcBorders>
              <w:top w:val="nil"/>
              <w:left w:val="nil"/>
              <w:bottom w:val="nil"/>
              <w:right w:val="nil"/>
            </w:tcBorders>
            <w:vAlign w:val="center"/>
            <w:hideMark/>
          </w:tcPr>
          <w:p w14:paraId="57954DEB"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15DB1321" w14:textId="77777777" w:rsidR="005A2410" w:rsidRPr="00262015" w:rsidRDefault="005A2410" w:rsidP="00834D30">
            <w:pPr>
              <w:spacing w:line="240" w:lineRule="auto"/>
              <w:rPr>
                <w:rFonts w:ascii="Times New Roman" w:eastAsia="Times New Roman" w:hAnsi="Times New Roman" w:cs="Times New Roman"/>
                <w:bCs/>
                <w:color w:val="202122"/>
                <w:sz w:val="18"/>
                <w:szCs w:val="18"/>
                <w:lang w:val="en-US"/>
              </w:rPr>
            </w:pPr>
            <w:r w:rsidRPr="00262015">
              <w:rPr>
                <w:rFonts w:ascii="Times New Roman" w:eastAsia="Times New Roman" w:hAnsi="Times New Roman" w:cs="Times New Roman"/>
                <w:bCs/>
                <w:color w:val="202122"/>
                <w:sz w:val="18"/>
                <w:szCs w:val="18"/>
                <w:lang w:val="en-US"/>
              </w:rPr>
              <w:t>Gas Utilities</w:t>
            </w:r>
          </w:p>
        </w:tc>
      </w:tr>
      <w:tr w:rsidR="005A2410" w:rsidRPr="00262015" w14:paraId="533639E6" w14:textId="77777777" w:rsidTr="00834D30">
        <w:trPr>
          <w:trHeight w:val="260"/>
        </w:trPr>
        <w:tc>
          <w:tcPr>
            <w:tcW w:w="1169" w:type="dxa"/>
            <w:vMerge w:val="restart"/>
            <w:tcBorders>
              <w:top w:val="nil"/>
              <w:left w:val="nil"/>
              <w:bottom w:val="single" w:sz="8" w:space="0" w:color="000000"/>
              <w:right w:val="nil"/>
            </w:tcBorders>
            <w:shd w:val="clear" w:color="auto" w:fill="auto"/>
            <w:hideMark/>
          </w:tcPr>
          <w:p w14:paraId="245EA843" w14:textId="77777777" w:rsidR="005A2410" w:rsidRPr="00262015" w:rsidRDefault="005A2410" w:rsidP="00834D30">
            <w:pPr>
              <w:spacing w:line="240" w:lineRule="auto"/>
              <w:jc w:val="center"/>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 xml:space="preserve">Consumer </w:t>
            </w:r>
            <w:r w:rsidRPr="00262015">
              <w:rPr>
                <w:rFonts w:ascii="Times New Roman" w:eastAsia="Times New Roman" w:hAnsi="Times New Roman" w:cs="Times New Roman"/>
                <w:bCs/>
                <w:color w:val="000000"/>
                <w:sz w:val="18"/>
                <w:szCs w:val="18"/>
                <w:lang w:val="en-US"/>
              </w:rPr>
              <w:br/>
              <w:t>Staples</w:t>
            </w:r>
          </w:p>
        </w:tc>
        <w:tc>
          <w:tcPr>
            <w:tcW w:w="3130" w:type="dxa"/>
            <w:tcBorders>
              <w:top w:val="nil"/>
              <w:left w:val="nil"/>
              <w:bottom w:val="nil"/>
              <w:right w:val="single" w:sz="12" w:space="0" w:color="auto"/>
            </w:tcBorders>
            <w:shd w:val="clear" w:color="auto" w:fill="auto"/>
            <w:noWrap/>
            <w:vAlign w:val="bottom"/>
            <w:hideMark/>
          </w:tcPr>
          <w:p w14:paraId="5E69E6C8"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Consumer Staples Distribution &amp; Retail</w:t>
            </w:r>
          </w:p>
        </w:tc>
        <w:tc>
          <w:tcPr>
            <w:tcW w:w="1327" w:type="dxa"/>
            <w:vMerge/>
            <w:tcBorders>
              <w:top w:val="nil"/>
              <w:left w:val="nil"/>
              <w:bottom w:val="nil"/>
              <w:right w:val="nil"/>
            </w:tcBorders>
            <w:vAlign w:val="center"/>
            <w:hideMark/>
          </w:tcPr>
          <w:p w14:paraId="1FC77BB2"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42E12ADD"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Water Utilities</w:t>
            </w:r>
          </w:p>
        </w:tc>
      </w:tr>
      <w:tr w:rsidR="005A2410" w:rsidRPr="00262015" w14:paraId="01CC7BEA" w14:textId="77777777" w:rsidTr="00834D30">
        <w:trPr>
          <w:trHeight w:val="260"/>
        </w:trPr>
        <w:tc>
          <w:tcPr>
            <w:tcW w:w="1169" w:type="dxa"/>
            <w:vMerge/>
            <w:tcBorders>
              <w:top w:val="nil"/>
              <w:left w:val="nil"/>
              <w:bottom w:val="single" w:sz="8" w:space="0" w:color="000000"/>
              <w:right w:val="nil"/>
            </w:tcBorders>
            <w:vAlign w:val="center"/>
            <w:hideMark/>
          </w:tcPr>
          <w:p w14:paraId="62580FAF"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675E9253"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Beverages</w:t>
            </w:r>
          </w:p>
        </w:tc>
        <w:tc>
          <w:tcPr>
            <w:tcW w:w="1327" w:type="dxa"/>
            <w:vMerge/>
            <w:tcBorders>
              <w:top w:val="nil"/>
              <w:left w:val="nil"/>
              <w:bottom w:val="nil"/>
              <w:right w:val="nil"/>
            </w:tcBorders>
            <w:vAlign w:val="center"/>
            <w:hideMark/>
          </w:tcPr>
          <w:p w14:paraId="32206D9E"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211A1CB8"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Independent Power and Renewable Electricity</w:t>
            </w:r>
          </w:p>
        </w:tc>
      </w:tr>
      <w:tr w:rsidR="005A2410" w:rsidRPr="00262015" w14:paraId="22E47361" w14:textId="77777777" w:rsidTr="00834D30">
        <w:trPr>
          <w:trHeight w:val="260"/>
        </w:trPr>
        <w:tc>
          <w:tcPr>
            <w:tcW w:w="1169" w:type="dxa"/>
            <w:vMerge/>
            <w:tcBorders>
              <w:top w:val="nil"/>
              <w:left w:val="nil"/>
              <w:bottom w:val="single" w:sz="8" w:space="0" w:color="000000"/>
              <w:right w:val="nil"/>
            </w:tcBorders>
            <w:vAlign w:val="center"/>
            <w:hideMark/>
          </w:tcPr>
          <w:p w14:paraId="1CBA74E9"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3823CB44"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Food Products</w:t>
            </w:r>
          </w:p>
        </w:tc>
        <w:tc>
          <w:tcPr>
            <w:tcW w:w="1327" w:type="dxa"/>
            <w:vMerge w:val="restart"/>
            <w:tcBorders>
              <w:top w:val="nil"/>
              <w:left w:val="nil"/>
              <w:bottom w:val="single" w:sz="8" w:space="0" w:color="000000"/>
              <w:right w:val="nil"/>
            </w:tcBorders>
            <w:shd w:val="clear" w:color="auto" w:fill="auto"/>
            <w:noWrap/>
            <w:hideMark/>
          </w:tcPr>
          <w:p w14:paraId="5039B828" w14:textId="77777777" w:rsidR="005A2410" w:rsidRPr="00262015" w:rsidRDefault="005A2410" w:rsidP="00834D30">
            <w:pPr>
              <w:spacing w:line="240" w:lineRule="auto"/>
              <w:jc w:val="center"/>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Real Estate</w:t>
            </w:r>
          </w:p>
        </w:tc>
        <w:tc>
          <w:tcPr>
            <w:tcW w:w="3610" w:type="dxa"/>
            <w:tcBorders>
              <w:top w:val="nil"/>
              <w:left w:val="nil"/>
              <w:bottom w:val="nil"/>
              <w:right w:val="nil"/>
            </w:tcBorders>
            <w:shd w:val="clear" w:color="auto" w:fill="auto"/>
            <w:noWrap/>
            <w:vAlign w:val="bottom"/>
            <w:hideMark/>
          </w:tcPr>
          <w:p w14:paraId="515AC92C"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Diversified REITs</w:t>
            </w:r>
          </w:p>
        </w:tc>
      </w:tr>
      <w:tr w:rsidR="005A2410" w:rsidRPr="00262015" w14:paraId="462AE4A6" w14:textId="77777777" w:rsidTr="00834D30">
        <w:trPr>
          <w:trHeight w:val="260"/>
        </w:trPr>
        <w:tc>
          <w:tcPr>
            <w:tcW w:w="1169" w:type="dxa"/>
            <w:vMerge/>
            <w:tcBorders>
              <w:top w:val="nil"/>
              <w:left w:val="nil"/>
              <w:bottom w:val="single" w:sz="8" w:space="0" w:color="000000"/>
              <w:right w:val="nil"/>
            </w:tcBorders>
            <w:vAlign w:val="center"/>
            <w:hideMark/>
          </w:tcPr>
          <w:p w14:paraId="312B1446"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5CB59892"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Tobacco</w:t>
            </w:r>
          </w:p>
        </w:tc>
        <w:tc>
          <w:tcPr>
            <w:tcW w:w="1327" w:type="dxa"/>
            <w:vMerge/>
            <w:tcBorders>
              <w:top w:val="nil"/>
              <w:left w:val="nil"/>
              <w:bottom w:val="single" w:sz="8" w:space="0" w:color="000000"/>
              <w:right w:val="nil"/>
            </w:tcBorders>
            <w:vAlign w:val="center"/>
            <w:hideMark/>
          </w:tcPr>
          <w:p w14:paraId="3DAAFC65"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63A182FC"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Hotel &amp; Resort REITs</w:t>
            </w:r>
          </w:p>
        </w:tc>
      </w:tr>
      <w:tr w:rsidR="005A2410" w:rsidRPr="00262015" w14:paraId="3CC005C0" w14:textId="77777777" w:rsidTr="00834D30">
        <w:trPr>
          <w:trHeight w:val="260"/>
        </w:trPr>
        <w:tc>
          <w:tcPr>
            <w:tcW w:w="1169" w:type="dxa"/>
            <w:vMerge/>
            <w:tcBorders>
              <w:top w:val="nil"/>
              <w:left w:val="nil"/>
              <w:bottom w:val="single" w:sz="8" w:space="0" w:color="000000"/>
              <w:right w:val="nil"/>
            </w:tcBorders>
            <w:vAlign w:val="center"/>
            <w:hideMark/>
          </w:tcPr>
          <w:p w14:paraId="76928BBE"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6F07F740"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Household Products</w:t>
            </w:r>
          </w:p>
        </w:tc>
        <w:tc>
          <w:tcPr>
            <w:tcW w:w="1327" w:type="dxa"/>
            <w:vMerge/>
            <w:tcBorders>
              <w:top w:val="nil"/>
              <w:left w:val="nil"/>
              <w:bottom w:val="single" w:sz="8" w:space="0" w:color="000000"/>
              <w:right w:val="nil"/>
            </w:tcBorders>
            <w:vAlign w:val="center"/>
            <w:hideMark/>
          </w:tcPr>
          <w:p w14:paraId="1FA53C93"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2111A3A7"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Office REITs</w:t>
            </w:r>
          </w:p>
        </w:tc>
      </w:tr>
      <w:tr w:rsidR="005A2410" w:rsidRPr="00262015" w14:paraId="22253F89" w14:textId="77777777" w:rsidTr="00834D30">
        <w:trPr>
          <w:trHeight w:val="270"/>
        </w:trPr>
        <w:tc>
          <w:tcPr>
            <w:tcW w:w="1169" w:type="dxa"/>
            <w:vMerge/>
            <w:tcBorders>
              <w:top w:val="nil"/>
              <w:left w:val="nil"/>
              <w:bottom w:val="single" w:sz="8" w:space="0" w:color="000000"/>
              <w:right w:val="nil"/>
            </w:tcBorders>
            <w:vAlign w:val="center"/>
            <w:hideMark/>
          </w:tcPr>
          <w:p w14:paraId="2DA9668D"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single" w:sz="8" w:space="0" w:color="auto"/>
              <w:right w:val="single" w:sz="12" w:space="0" w:color="auto"/>
            </w:tcBorders>
            <w:shd w:val="clear" w:color="auto" w:fill="auto"/>
            <w:noWrap/>
            <w:vAlign w:val="bottom"/>
            <w:hideMark/>
          </w:tcPr>
          <w:p w14:paraId="56CFF3DB"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Personal Care Products</w:t>
            </w:r>
          </w:p>
        </w:tc>
        <w:tc>
          <w:tcPr>
            <w:tcW w:w="1327" w:type="dxa"/>
            <w:vMerge/>
            <w:tcBorders>
              <w:top w:val="nil"/>
              <w:left w:val="nil"/>
              <w:bottom w:val="single" w:sz="8" w:space="0" w:color="000000"/>
              <w:right w:val="nil"/>
            </w:tcBorders>
            <w:vAlign w:val="center"/>
            <w:hideMark/>
          </w:tcPr>
          <w:p w14:paraId="02CB0116"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single" w:sz="8" w:space="0" w:color="auto"/>
              <w:right w:val="nil"/>
            </w:tcBorders>
            <w:shd w:val="clear" w:color="auto" w:fill="auto"/>
            <w:noWrap/>
            <w:vAlign w:val="bottom"/>
            <w:hideMark/>
          </w:tcPr>
          <w:p w14:paraId="40F56B61"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Specialized REITs</w:t>
            </w:r>
          </w:p>
        </w:tc>
      </w:tr>
    </w:tbl>
    <w:p w14:paraId="1A9A8D2B" w14:textId="3DF5B7AD" w:rsidR="00961675" w:rsidRDefault="00952F55">
      <w:pPr>
        <w:rPr>
          <w:rFonts w:ascii="Times New Roman" w:eastAsia="Times New Roman" w:hAnsi="Times New Roman" w:cs="Times New Roman"/>
          <w:b/>
          <w:sz w:val="24"/>
          <w:szCs w:val="24"/>
        </w:rPr>
      </w:pPr>
      <w:r w:rsidRPr="00262015">
        <w:rPr>
          <w:rFonts w:ascii="Times New Roman" w:eastAsia="Times New Roman" w:hAnsi="Times New Roman" w:cs="Times New Roman"/>
          <w:bCs/>
          <w:sz w:val="24"/>
          <w:szCs w:val="24"/>
        </w:rPr>
        <w:br/>
      </w:r>
    </w:p>
    <w:p w14:paraId="3C809C67" w14:textId="77777777" w:rsidR="00961675" w:rsidRDefault="0096167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37FEEB6" w14:textId="06588991" w:rsidR="00810DF1" w:rsidRDefault="0096167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 Abnormal Return Calculation</w:t>
      </w:r>
    </w:p>
    <w:p w14:paraId="2046CB39" w14:textId="77777777" w:rsidR="00961675" w:rsidRDefault="00961675">
      <w:pPr>
        <w:rPr>
          <w:rFonts w:ascii="Times New Roman" w:eastAsia="Times New Roman" w:hAnsi="Times New Roman" w:cs="Times New Roman"/>
          <w:b/>
          <w:sz w:val="24"/>
          <w:szCs w:val="24"/>
        </w:rPr>
      </w:pPr>
    </w:p>
    <w:p w14:paraId="42801403" w14:textId="4A348CA1" w:rsidR="00961675" w:rsidRDefault="00961675" w:rsidP="00961675">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219341B" wp14:editId="7BF0CD3E">
            <wp:extent cx="4781444" cy="3474720"/>
            <wp:effectExtent l="0" t="0" r="635" b="0"/>
            <wp:docPr id="1377122164" name="Picture 19" descr="A graph of energy and a linear predi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22164" name="Picture 19" descr="A graph of energy and a linear predic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781444" cy="3474720"/>
                    </a:xfrm>
                    <a:prstGeom prst="rect">
                      <a:avLst/>
                    </a:prstGeom>
                  </pic:spPr>
                </pic:pic>
              </a:graphicData>
            </a:graphic>
          </wp:inline>
        </w:drawing>
      </w:r>
    </w:p>
    <w:p w14:paraId="2EA3CA00" w14:textId="48740745" w:rsidR="00961675" w:rsidRDefault="00961675" w:rsidP="0096167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B1</w:t>
      </w:r>
    </w:p>
    <w:p w14:paraId="468C9BA5" w14:textId="77777777" w:rsidR="00961675" w:rsidRDefault="00961675" w:rsidP="00961675">
      <w:pPr>
        <w:jc w:val="center"/>
        <w:rPr>
          <w:rFonts w:ascii="Times New Roman" w:eastAsia="Times New Roman" w:hAnsi="Times New Roman" w:cs="Times New Roman"/>
          <w:b/>
          <w:sz w:val="24"/>
          <w:szCs w:val="24"/>
        </w:rPr>
      </w:pPr>
    </w:p>
    <w:p w14:paraId="1B3BD9A4" w14:textId="77777777" w:rsidR="00961675" w:rsidRDefault="00961675" w:rsidP="00961675">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FFEB0C4" wp14:editId="48D0491C">
            <wp:extent cx="4781444" cy="3474720"/>
            <wp:effectExtent l="0" t="0" r="635" b="0"/>
            <wp:docPr id="570423395" name="Picture 20" descr="A graph of a graph showing a number of days and a few day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23395" name="Picture 20" descr="A graph of a graph showing a number of days and a few days&#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4781444" cy="3474720"/>
                    </a:xfrm>
                    <a:prstGeom prst="rect">
                      <a:avLst/>
                    </a:prstGeom>
                  </pic:spPr>
                </pic:pic>
              </a:graphicData>
            </a:graphic>
          </wp:inline>
        </w:drawing>
      </w:r>
    </w:p>
    <w:p w14:paraId="790BB5B7" w14:textId="4ABBBB4F" w:rsidR="008B139D" w:rsidRDefault="00961675" w:rsidP="0096167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B2</w:t>
      </w:r>
    </w:p>
    <w:p w14:paraId="4DF06D18" w14:textId="1E46A026" w:rsidR="008B139D" w:rsidRDefault="008B139D" w:rsidP="008B139D">
      <w:pPr>
        <w:jc w:val="center"/>
        <w:rPr>
          <w:rFonts w:ascii="Times New Roman" w:eastAsia="Times New Roman" w:hAnsi="Times New Roman" w:cs="Times New Roman"/>
          <w:b/>
          <w:sz w:val="24"/>
          <w:szCs w:val="24"/>
        </w:rPr>
      </w:pPr>
    </w:p>
    <w:p w14:paraId="03F2124A" w14:textId="4AB1AC94" w:rsidR="00961675" w:rsidRDefault="00961675" w:rsidP="0096167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w:t>
      </w:r>
      <w:r w:rsidR="00F2190E" w:rsidRPr="00810DF1">
        <w:rPr>
          <w:rFonts w:ascii="Times New Roman" w:eastAsia="Times New Roman" w:hAnsi="Times New Roman" w:cs="Times New Roman"/>
          <w:b/>
          <w:sz w:val="24"/>
          <w:szCs w:val="24"/>
        </w:rPr>
        <w:t xml:space="preserve">. Abnormal Return Figures </w:t>
      </w:r>
    </w:p>
    <w:p w14:paraId="15EEB5CA" w14:textId="4F571541" w:rsidR="00B202F0" w:rsidRPr="00810DF1" w:rsidRDefault="00B202F0" w:rsidP="00961675">
      <w:pPr>
        <w:rPr>
          <w:rFonts w:ascii="Times New Roman" w:eastAsia="Times New Roman" w:hAnsi="Times New Roman" w:cs="Times New Roman"/>
          <w:b/>
          <w:sz w:val="24"/>
          <w:szCs w:val="24"/>
        </w:rPr>
      </w:pPr>
    </w:p>
    <w:p w14:paraId="4884A2BB" w14:textId="75405845" w:rsidR="00952F55" w:rsidRPr="00262015" w:rsidRDefault="00271053" w:rsidP="00952F55">
      <w:pPr>
        <w:keepNext/>
        <w:jc w:val="center"/>
        <w:rPr>
          <w:bCs/>
        </w:rPr>
      </w:pPr>
      <w:r w:rsidRPr="00262015">
        <w:rPr>
          <w:bCs/>
          <w:noProof/>
        </w:rPr>
        <w:drawing>
          <wp:inline distT="0" distB="0" distL="0" distR="0" wp14:anchorId="408741A2" wp14:editId="4FD2723D">
            <wp:extent cx="4781444" cy="3474720"/>
            <wp:effectExtent l="0" t="0" r="635" b="0"/>
            <wp:docPr id="1497806582" name="Picture 7" descr="A graph of a graph showing a number of da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06582" name="Picture 7" descr="A graph of a graph showing a number of day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781444" cy="3474720"/>
                    </a:xfrm>
                    <a:prstGeom prst="rect">
                      <a:avLst/>
                    </a:prstGeom>
                  </pic:spPr>
                </pic:pic>
              </a:graphicData>
            </a:graphic>
          </wp:inline>
        </w:drawing>
      </w:r>
    </w:p>
    <w:p w14:paraId="42A72071" w14:textId="048A02C1" w:rsidR="00952F55" w:rsidRPr="00810DF1" w:rsidRDefault="00952F55" w:rsidP="00952F55">
      <w:pPr>
        <w:pStyle w:val="Caption"/>
        <w:jc w:val="center"/>
        <w:rPr>
          <w:rFonts w:ascii="Times New Roman" w:eastAsia="Times New Roman" w:hAnsi="Times New Roman" w:cs="Times New Roman"/>
          <w:bCs/>
          <w:i w:val="0"/>
          <w:iCs w:val="0"/>
          <w:color w:val="auto"/>
          <w:sz w:val="24"/>
          <w:szCs w:val="24"/>
        </w:rPr>
      </w:pPr>
      <w:r w:rsidRPr="00961675">
        <w:rPr>
          <w:rFonts w:ascii="Times New Roman" w:hAnsi="Times New Roman" w:cs="Times New Roman"/>
          <w:b/>
          <w:i w:val="0"/>
          <w:iCs w:val="0"/>
          <w:color w:val="auto"/>
          <w:sz w:val="24"/>
          <w:szCs w:val="24"/>
        </w:rPr>
        <w:t>Figure</w:t>
      </w:r>
      <w:r w:rsidR="00961675" w:rsidRPr="00961675">
        <w:rPr>
          <w:rFonts w:ascii="Times New Roman" w:hAnsi="Times New Roman" w:cs="Times New Roman"/>
          <w:b/>
          <w:i w:val="0"/>
          <w:iCs w:val="0"/>
          <w:color w:val="auto"/>
          <w:sz w:val="24"/>
          <w:szCs w:val="24"/>
        </w:rPr>
        <w:t xml:space="preserve"> C</w:t>
      </w:r>
      <w:r w:rsidRPr="00961675">
        <w:rPr>
          <w:rFonts w:ascii="Times New Roman" w:hAnsi="Times New Roman" w:cs="Times New Roman"/>
          <w:b/>
          <w:i w:val="0"/>
          <w:iCs w:val="0"/>
          <w:color w:val="auto"/>
          <w:sz w:val="24"/>
          <w:szCs w:val="24"/>
        </w:rPr>
        <w:fldChar w:fldCharType="begin"/>
      </w:r>
      <w:r w:rsidRPr="00961675">
        <w:rPr>
          <w:rFonts w:ascii="Times New Roman" w:hAnsi="Times New Roman" w:cs="Times New Roman"/>
          <w:b/>
          <w:i w:val="0"/>
          <w:iCs w:val="0"/>
          <w:color w:val="auto"/>
          <w:sz w:val="24"/>
          <w:szCs w:val="24"/>
        </w:rPr>
        <w:instrText xml:space="preserve"> SEQ Figure \* ARABIC </w:instrText>
      </w:r>
      <w:r w:rsidRPr="00961675">
        <w:rPr>
          <w:rFonts w:ascii="Times New Roman" w:hAnsi="Times New Roman" w:cs="Times New Roman"/>
          <w:b/>
          <w:i w:val="0"/>
          <w:iCs w:val="0"/>
          <w:color w:val="auto"/>
          <w:sz w:val="24"/>
          <w:szCs w:val="24"/>
        </w:rPr>
        <w:fldChar w:fldCharType="separate"/>
      </w:r>
      <w:r w:rsidRPr="00961675">
        <w:rPr>
          <w:rFonts w:ascii="Times New Roman" w:hAnsi="Times New Roman" w:cs="Times New Roman"/>
          <w:b/>
          <w:i w:val="0"/>
          <w:iCs w:val="0"/>
          <w:noProof/>
          <w:color w:val="auto"/>
          <w:sz w:val="24"/>
          <w:szCs w:val="24"/>
        </w:rPr>
        <w:t>1</w:t>
      </w:r>
      <w:r w:rsidRPr="00961675">
        <w:rPr>
          <w:rFonts w:ascii="Times New Roman" w:hAnsi="Times New Roman" w:cs="Times New Roman"/>
          <w:b/>
          <w:i w:val="0"/>
          <w:iCs w:val="0"/>
          <w:color w:val="auto"/>
          <w:sz w:val="24"/>
          <w:szCs w:val="24"/>
        </w:rPr>
        <w:fldChar w:fldCharType="end"/>
      </w:r>
      <w:r w:rsidRPr="00810DF1">
        <w:rPr>
          <w:rFonts w:ascii="Times New Roman" w:hAnsi="Times New Roman" w:cs="Times New Roman"/>
          <w:bCs/>
          <w:i w:val="0"/>
          <w:iCs w:val="0"/>
          <w:color w:val="auto"/>
          <w:sz w:val="24"/>
          <w:szCs w:val="24"/>
        </w:rPr>
        <w:t xml:space="preserve"> ARs on Energy, Materials, and Industrials</w:t>
      </w:r>
    </w:p>
    <w:p w14:paraId="20945509" w14:textId="25828376" w:rsidR="00952F55" w:rsidRPr="00262015" w:rsidRDefault="00271053" w:rsidP="00952F55">
      <w:pPr>
        <w:keepNext/>
        <w:jc w:val="center"/>
        <w:rPr>
          <w:bCs/>
        </w:rPr>
      </w:pPr>
      <w:r w:rsidRPr="00262015">
        <w:rPr>
          <w:bCs/>
          <w:noProof/>
        </w:rPr>
        <w:drawing>
          <wp:inline distT="0" distB="0" distL="0" distR="0" wp14:anchorId="1AFA0BDA" wp14:editId="2AF398EA">
            <wp:extent cx="4781444" cy="3474720"/>
            <wp:effectExtent l="0" t="0" r="635" b="0"/>
            <wp:docPr id="131721056" name="Picture 8" descr="A graph of a graph showing a number of da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1056" name="Picture 8" descr="A graph of a graph showing a number of day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781444" cy="3474720"/>
                    </a:xfrm>
                    <a:prstGeom prst="rect">
                      <a:avLst/>
                    </a:prstGeom>
                  </pic:spPr>
                </pic:pic>
              </a:graphicData>
            </a:graphic>
          </wp:inline>
        </w:drawing>
      </w:r>
    </w:p>
    <w:p w14:paraId="758F06C5" w14:textId="1B1EAB98" w:rsidR="00952F55" w:rsidRPr="00810DF1" w:rsidRDefault="00952F55" w:rsidP="00952F55">
      <w:pPr>
        <w:pStyle w:val="Caption"/>
        <w:jc w:val="center"/>
        <w:rPr>
          <w:rFonts w:ascii="Times New Roman" w:hAnsi="Times New Roman" w:cs="Times New Roman"/>
          <w:bCs/>
          <w:i w:val="0"/>
          <w:iCs w:val="0"/>
          <w:sz w:val="24"/>
          <w:szCs w:val="24"/>
        </w:rPr>
      </w:pPr>
      <w:r w:rsidRPr="00961675">
        <w:rPr>
          <w:rFonts w:ascii="Times New Roman" w:hAnsi="Times New Roman" w:cs="Times New Roman"/>
          <w:b/>
          <w:i w:val="0"/>
          <w:iCs w:val="0"/>
          <w:color w:val="auto"/>
          <w:sz w:val="24"/>
          <w:szCs w:val="24"/>
        </w:rPr>
        <w:t xml:space="preserve">Figure </w:t>
      </w:r>
      <w:r w:rsidR="00961675" w:rsidRPr="00961675">
        <w:rPr>
          <w:rFonts w:ascii="Times New Roman" w:hAnsi="Times New Roman" w:cs="Times New Roman"/>
          <w:b/>
          <w:i w:val="0"/>
          <w:iCs w:val="0"/>
          <w:color w:val="auto"/>
          <w:sz w:val="24"/>
          <w:szCs w:val="24"/>
        </w:rPr>
        <w:t>C</w:t>
      </w:r>
      <w:r w:rsidRPr="00961675">
        <w:rPr>
          <w:rFonts w:ascii="Times New Roman" w:hAnsi="Times New Roman" w:cs="Times New Roman"/>
          <w:b/>
          <w:i w:val="0"/>
          <w:iCs w:val="0"/>
          <w:color w:val="auto"/>
          <w:sz w:val="24"/>
          <w:szCs w:val="24"/>
        </w:rPr>
        <w:fldChar w:fldCharType="begin"/>
      </w:r>
      <w:r w:rsidRPr="00961675">
        <w:rPr>
          <w:rFonts w:ascii="Times New Roman" w:hAnsi="Times New Roman" w:cs="Times New Roman"/>
          <w:b/>
          <w:i w:val="0"/>
          <w:iCs w:val="0"/>
          <w:color w:val="auto"/>
          <w:sz w:val="24"/>
          <w:szCs w:val="24"/>
        </w:rPr>
        <w:instrText xml:space="preserve"> SEQ Figure \* ARABIC </w:instrText>
      </w:r>
      <w:r w:rsidRPr="00961675">
        <w:rPr>
          <w:rFonts w:ascii="Times New Roman" w:hAnsi="Times New Roman" w:cs="Times New Roman"/>
          <w:b/>
          <w:i w:val="0"/>
          <w:iCs w:val="0"/>
          <w:color w:val="auto"/>
          <w:sz w:val="24"/>
          <w:szCs w:val="24"/>
        </w:rPr>
        <w:fldChar w:fldCharType="separate"/>
      </w:r>
      <w:r w:rsidRPr="00961675">
        <w:rPr>
          <w:rFonts w:ascii="Times New Roman" w:hAnsi="Times New Roman" w:cs="Times New Roman"/>
          <w:b/>
          <w:i w:val="0"/>
          <w:iCs w:val="0"/>
          <w:noProof/>
          <w:color w:val="auto"/>
          <w:sz w:val="24"/>
          <w:szCs w:val="24"/>
        </w:rPr>
        <w:t>2</w:t>
      </w:r>
      <w:r w:rsidRPr="00961675">
        <w:rPr>
          <w:rFonts w:ascii="Times New Roman" w:hAnsi="Times New Roman" w:cs="Times New Roman"/>
          <w:b/>
          <w:i w:val="0"/>
          <w:iCs w:val="0"/>
          <w:color w:val="auto"/>
          <w:sz w:val="24"/>
          <w:szCs w:val="24"/>
        </w:rPr>
        <w:fldChar w:fldCharType="end"/>
      </w:r>
      <w:r w:rsidRPr="00810DF1">
        <w:rPr>
          <w:rFonts w:ascii="Times New Roman" w:hAnsi="Times New Roman" w:cs="Times New Roman"/>
          <w:bCs/>
          <w:i w:val="0"/>
          <w:iCs w:val="0"/>
          <w:color w:val="auto"/>
          <w:sz w:val="24"/>
          <w:szCs w:val="24"/>
        </w:rPr>
        <w:t xml:space="preserve"> ARs on Consumer Discretionary, Consumer Staple, and Health Care</w:t>
      </w:r>
      <w:r w:rsidRPr="00810DF1">
        <w:rPr>
          <w:rFonts w:ascii="Times New Roman" w:hAnsi="Times New Roman" w:cs="Times New Roman"/>
          <w:bCs/>
          <w:i w:val="0"/>
          <w:iCs w:val="0"/>
          <w:sz w:val="24"/>
          <w:szCs w:val="24"/>
        </w:rPr>
        <w:br/>
      </w:r>
    </w:p>
    <w:p w14:paraId="0B039EDE" w14:textId="4110756A" w:rsidR="00952F55" w:rsidRPr="00262015" w:rsidRDefault="00271053" w:rsidP="00952F55">
      <w:pPr>
        <w:keepNext/>
        <w:jc w:val="center"/>
        <w:rPr>
          <w:bCs/>
        </w:rPr>
      </w:pPr>
      <w:r w:rsidRPr="00262015">
        <w:rPr>
          <w:bCs/>
          <w:noProof/>
        </w:rPr>
        <w:lastRenderedPageBreak/>
        <w:drawing>
          <wp:inline distT="0" distB="0" distL="0" distR="0" wp14:anchorId="2F752D3D" wp14:editId="07BF6559">
            <wp:extent cx="4781444" cy="3474720"/>
            <wp:effectExtent l="0" t="0" r="635" b="0"/>
            <wp:docPr id="1048556301" name="Picture 9" descr="A graph of a graph showing a number of ev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56301" name="Picture 9" descr="A graph of a graph showing a number of events&#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4781444" cy="3474720"/>
                    </a:xfrm>
                    <a:prstGeom prst="rect">
                      <a:avLst/>
                    </a:prstGeom>
                  </pic:spPr>
                </pic:pic>
              </a:graphicData>
            </a:graphic>
          </wp:inline>
        </w:drawing>
      </w:r>
    </w:p>
    <w:p w14:paraId="24F26252" w14:textId="43FD9F59" w:rsidR="00952F55" w:rsidRPr="00810DF1" w:rsidRDefault="00952F55" w:rsidP="00952F55">
      <w:pPr>
        <w:pStyle w:val="Caption"/>
        <w:jc w:val="center"/>
        <w:rPr>
          <w:rFonts w:ascii="Times New Roman" w:eastAsia="Times New Roman" w:hAnsi="Times New Roman" w:cs="Times New Roman"/>
          <w:bCs/>
          <w:i w:val="0"/>
          <w:iCs w:val="0"/>
          <w:sz w:val="24"/>
          <w:szCs w:val="24"/>
        </w:rPr>
      </w:pPr>
      <w:r w:rsidRPr="00961675">
        <w:rPr>
          <w:rFonts w:ascii="Times New Roman" w:hAnsi="Times New Roman" w:cs="Times New Roman"/>
          <w:b/>
          <w:i w:val="0"/>
          <w:iCs w:val="0"/>
          <w:color w:val="auto"/>
          <w:sz w:val="24"/>
          <w:szCs w:val="24"/>
        </w:rPr>
        <w:t xml:space="preserve">Figure </w:t>
      </w:r>
      <w:r w:rsidR="00961675" w:rsidRPr="00961675">
        <w:rPr>
          <w:rFonts w:ascii="Times New Roman" w:hAnsi="Times New Roman" w:cs="Times New Roman"/>
          <w:b/>
          <w:i w:val="0"/>
          <w:iCs w:val="0"/>
          <w:color w:val="auto"/>
          <w:sz w:val="24"/>
          <w:szCs w:val="24"/>
        </w:rPr>
        <w:t>C</w:t>
      </w:r>
      <w:r w:rsidRPr="00961675">
        <w:rPr>
          <w:rFonts w:ascii="Times New Roman" w:hAnsi="Times New Roman" w:cs="Times New Roman"/>
          <w:b/>
          <w:i w:val="0"/>
          <w:iCs w:val="0"/>
          <w:color w:val="auto"/>
          <w:sz w:val="24"/>
          <w:szCs w:val="24"/>
        </w:rPr>
        <w:fldChar w:fldCharType="begin"/>
      </w:r>
      <w:r w:rsidRPr="00961675">
        <w:rPr>
          <w:rFonts w:ascii="Times New Roman" w:hAnsi="Times New Roman" w:cs="Times New Roman"/>
          <w:b/>
          <w:i w:val="0"/>
          <w:iCs w:val="0"/>
          <w:color w:val="auto"/>
          <w:sz w:val="24"/>
          <w:szCs w:val="24"/>
        </w:rPr>
        <w:instrText xml:space="preserve"> SEQ Figure \* ARABIC </w:instrText>
      </w:r>
      <w:r w:rsidRPr="00961675">
        <w:rPr>
          <w:rFonts w:ascii="Times New Roman" w:hAnsi="Times New Roman" w:cs="Times New Roman"/>
          <w:b/>
          <w:i w:val="0"/>
          <w:iCs w:val="0"/>
          <w:color w:val="auto"/>
          <w:sz w:val="24"/>
          <w:szCs w:val="24"/>
        </w:rPr>
        <w:fldChar w:fldCharType="separate"/>
      </w:r>
      <w:r w:rsidRPr="00961675">
        <w:rPr>
          <w:rFonts w:ascii="Times New Roman" w:hAnsi="Times New Roman" w:cs="Times New Roman"/>
          <w:b/>
          <w:i w:val="0"/>
          <w:iCs w:val="0"/>
          <w:noProof/>
          <w:color w:val="auto"/>
          <w:sz w:val="24"/>
          <w:szCs w:val="24"/>
        </w:rPr>
        <w:t>3</w:t>
      </w:r>
      <w:r w:rsidRPr="00961675">
        <w:rPr>
          <w:rFonts w:ascii="Times New Roman" w:hAnsi="Times New Roman" w:cs="Times New Roman"/>
          <w:b/>
          <w:i w:val="0"/>
          <w:iCs w:val="0"/>
          <w:color w:val="auto"/>
          <w:sz w:val="24"/>
          <w:szCs w:val="24"/>
        </w:rPr>
        <w:fldChar w:fldCharType="end"/>
      </w:r>
      <w:r w:rsidRPr="00810DF1">
        <w:rPr>
          <w:rFonts w:ascii="Times New Roman" w:hAnsi="Times New Roman" w:cs="Times New Roman"/>
          <w:bCs/>
          <w:i w:val="0"/>
          <w:iCs w:val="0"/>
          <w:color w:val="auto"/>
          <w:sz w:val="24"/>
          <w:szCs w:val="24"/>
        </w:rPr>
        <w:t xml:space="preserve"> ARs on Financials, Information Technology, and Communication Services</w:t>
      </w:r>
    </w:p>
    <w:p w14:paraId="01B2BC0F" w14:textId="77777777" w:rsidR="00952F55" w:rsidRPr="00262015" w:rsidRDefault="00952F55" w:rsidP="00952F55">
      <w:pPr>
        <w:rPr>
          <w:rFonts w:ascii="Times New Roman" w:eastAsia="Times New Roman" w:hAnsi="Times New Roman" w:cs="Times New Roman"/>
          <w:bCs/>
        </w:rPr>
      </w:pPr>
    </w:p>
    <w:p w14:paraId="58205BF9" w14:textId="12E519F7" w:rsidR="001F4702" w:rsidRPr="00262015" w:rsidRDefault="00271053" w:rsidP="001F4702">
      <w:pPr>
        <w:keepNext/>
        <w:jc w:val="center"/>
        <w:rPr>
          <w:bCs/>
        </w:rPr>
      </w:pPr>
      <w:r w:rsidRPr="00262015">
        <w:rPr>
          <w:bCs/>
          <w:noProof/>
        </w:rPr>
        <w:drawing>
          <wp:inline distT="0" distB="0" distL="0" distR="0" wp14:anchorId="038CBA17" wp14:editId="147907B9">
            <wp:extent cx="4781444" cy="3474720"/>
            <wp:effectExtent l="0" t="0" r="635" b="0"/>
            <wp:docPr id="730564890" name="Picture 10"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64890" name="Picture 10" descr="A graph of a graph&#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4781444" cy="3474720"/>
                    </a:xfrm>
                    <a:prstGeom prst="rect">
                      <a:avLst/>
                    </a:prstGeom>
                  </pic:spPr>
                </pic:pic>
              </a:graphicData>
            </a:graphic>
          </wp:inline>
        </w:drawing>
      </w:r>
    </w:p>
    <w:p w14:paraId="35839D95" w14:textId="171C5498" w:rsidR="00952F55" w:rsidRPr="00810DF1" w:rsidRDefault="00952F55" w:rsidP="00952F55">
      <w:pPr>
        <w:pStyle w:val="Caption"/>
        <w:jc w:val="center"/>
        <w:rPr>
          <w:rFonts w:ascii="Times New Roman" w:hAnsi="Times New Roman" w:cs="Times New Roman"/>
          <w:bCs/>
          <w:i w:val="0"/>
          <w:iCs w:val="0"/>
          <w:color w:val="auto"/>
          <w:sz w:val="24"/>
          <w:szCs w:val="24"/>
        </w:rPr>
      </w:pPr>
      <w:r w:rsidRPr="00961675">
        <w:rPr>
          <w:rFonts w:ascii="Times New Roman" w:hAnsi="Times New Roman" w:cs="Times New Roman"/>
          <w:b/>
          <w:i w:val="0"/>
          <w:iCs w:val="0"/>
          <w:color w:val="auto"/>
          <w:sz w:val="24"/>
          <w:szCs w:val="24"/>
        </w:rPr>
        <w:t xml:space="preserve">Figure </w:t>
      </w:r>
      <w:r w:rsidR="00961675" w:rsidRPr="00961675">
        <w:rPr>
          <w:rFonts w:ascii="Times New Roman" w:hAnsi="Times New Roman" w:cs="Times New Roman"/>
          <w:b/>
          <w:i w:val="0"/>
          <w:iCs w:val="0"/>
          <w:color w:val="auto"/>
          <w:sz w:val="24"/>
          <w:szCs w:val="24"/>
        </w:rPr>
        <w:t>C</w:t>
      </w:r>
      <w:r w:rsidRPr="00961675">
        <w:rPr>
          <w:rFonts w:ascii="Times New Roman" w:hAnsi="Times New Roman" w:cs="Times New Roman"/>
          <w:b/>
          <w:i w:val="0"/>
          <w:iCs w:val="0"/>
          <w:color w:val="auto"/>
          <w:sz w:val="24"/>
          <w:szCs w:val="24"/>
        </w:rPr>
        <w:fldChar w:fldCharType="begin"/>
      </w:r>
      <w:r w:rsidRPr="00961675">
        <w:rPr>
          <w:rFonts w:ascii="Times New Roman" w:hAnsi="Times New Roman" w:cs="Times New Roman"/>
          <w:b/>
          <w:i w:val="0"/>
          <w:iCs w:val="0"/>
          <w:color w:val="auto"/>
          <w:sz w:val="24"/>
          <w:szCs w:val="24"/>
        </w:rPr>
        <w:instrText xml:space="preserve"> SEQ Figure \* ARABIC </w:instrText>
      </w:r>
      <w:r w:rsidRPr="00961675">
        <w:rPr>
          <w:rFonts w:ascii="Times New Roman" w:hAnsi="Times New Roman" w:cs="Times New Roman"/>
          <w:b/>
          <w:i w:val="0"/>
          <w:iCs w:val="0"/>
          <w:color w:val="auto"/>
          <w:sz w:val="24"/>
          <w:szCs w:val="24"/>
        </w:rPr>
        <w:fldChar w:fldCharType="separate"/>
      </w:r>
      <w:r w:rsidRPr="00961675">
        <w:rPr>
          <w:rFonts w:ascii="Times New Roman" w:hAnsi="Times New Roman" w:cs="Times New Roman"/>
          <w:b/>
          <w:i w:val="0"/>
          <w:iCs w:val="0"/>
          <w:noProof/>
          <w:color w:val="auto"/>
          <w:sz w:val="24"/>
          <w:szCs w:val="24"/>
        </w:rPr>
        <w:t>4</w:t>
      </w:r>
      <w:r w:rsidRPr="00961675">
        <w:rPr>
          <w:rFonts w:ascii="Times New Roman" w:hAnsi="Times New Roman" w:cs="Times New Roman"/>
          <w:b/>
          <w:i w:val="0"/>
          <w:iCs w:val="0"/>
          <w:color w:val="auto"/>
          <w:sz w:val="24"/>
          <w:szCs w:val="24"/>
        </w:rPr>
        <w:fldChar w:fldCharType="end"/>
      </w:r>
      <w:r w:rsidRPr="00810DF1">
        <w:rPr>
          <w:rFonts w:ascii="Times New Roman" w:hAnsi="Times New Roman" w:cs="Times New Roman"/>
          <w:bCs/>
          <w:i w:val="0"/>
          <w:iCs w:val="0"/>
          <w:color w:val="auto"/>
          <w:sz w:val="24"/>
          <w:szCs w:val="24"/>
        </w:rPr>
        <w:t xml:space="preserve"> ARs on Utilities and Real Estate</w:t>
      </w:r>
    </w:p>
    <w:p w14:paraId="7D75E0FE" w14:textId="77777777" w:rsidR="001F4702" w:rsidRPr="00262015" w:rsidRDefault="001F4702" w:rsidP="001F4702">
      <w:pPr>
        <w:rPr>
          <w:bCs/>
        </w:rPr>
      </w:pPr>
    </w:p>
    <w:p w14:paraId="02851BD1" w14:textId="65D48708" w:rsidR="001F4702" w:rsidRPr="00262015" w:rsidRDefault="001F4702" w:rsidP="001F4702">
      <w:pPr>
        <w:rPr>
          <w:bCs/>
        </w:rPr>
      </w:pPr>
      <w:r w:rsidRPr="00262015">
        <w:rPr>
          <w:bCs/>
        </w:rPr>
        <w:br w:type="page"/>
      </w:r>
    </w:p>
    <w:p w14:paraId="6697241B" w14:textId="0E4CE3ED" w:rsidR="001F4702" w:rsidRDefault="00961675" w:rsidP="001F4702">
      <w:pPr>
        <w:rPr>
          <w:rFonts w:ascii="Times New Roman" w:hAnsi="Times New Roman" w:cs="Times New Roman"/>
          <w:b/>
          <w:sz w:val="24"/>
          <w:szCs w:val="24"/>
        </w:rPr>
      </w:pPr>
      <w:r>
        <w:rPr>
          <w:rFonts w:ascii="Times New Roman" w:hAnsi="Times New Roman" w:cs="Times New Roman"/>
          <w:b/>
          <w:sz w:val="24"/>
          <w:szCs w:val="24"/>
        </w:rPr>
        <w:lastRenderedPageBreak/>
        <w:t>D</w:t>
      </w:r>
      <w:r w:rsidR="00810DF1" w:rsidRPr="00810DF1">
        <w:rPr>
          <w:rFonts w:ascii="Times New Roman" w:hAnsi="Times New Roman" w:cs="Times New Roman"/>
          <w:b/>
          <w:sz w:val="24"/>
          <w:szCs w:val="24"/>
        </w:rPr>
        <w:t xml:space="preserve">. Energy Sector Consumption </w:t>
      </w:r>
    </w:p>
    <w:p w14:paraId="3B3AF600" w14:textId="77777777" w:rsidR="00810DF1" w:rsidRPr="00810DF1" w:rsidRDefault="00810DF1" w:rsidP="001F4702">
      <w:pPr>
        <w:rPr>
          <w:rFonts w:ascii="Times New Roman" w:hAnsi="Times New Roman" w:cs="Times New Roman"/>
          <w:b/>
          <w:sz w:val="24"/>
          <w:szCs w:val="24"/>
        </w:rPr>
      </w:pPr>
    </w:p>
    <w:p w14:paraId="701DC9DD" w14:textId="4788CFC2" w:rsidR="001F4702" w:rsidRPr="00262015" w:rsidRDefault="001F4702" w:rsidP="001F4702">
      <w:pPr>
        <w:rPr>
          <w:bCs/>
        </w:rPr>
      </w:pPr>
      <w:r w:rsidRPr="00262015">
        <w:rPr>
          <w:bCs/>
          <w:noProof/>
        </w:rPr>
        <w:drawing>
          <wp:inline distT="0" distB="0" distL="0" distR="0" wp14:anchorId="521099F8" wp14:editId="3E4F6B91">
            <wp:extent cx="5600700" cy="2628900"/>
            <wp:effectExtent l="0" t="0" r="0" b="0"/>
            <wp:docPr id="990170273"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70273" name="Graphic 990170273"/>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600700" cy="2628900"/>
                    </a:xfrm>
                    <a:prstGeom prst="rect">
                      <a:avLst/>
                    </a:prstGeom>
                  </pic:spPr>
                </pic:pic>
              </a:graphicData>
            </a:graphic>
          </wp:inline>
        </w:drawing>
      </w:r>
    </w:p>
    <w:p w14:paraId="2EE83FF6" w14:textId="77777777" w:rsidR="001F4702" w:rsidRPr="00262015" w:rsidRDefault="001F4702" w:rsidP="001F4702">
      <w:pPr>
        <w:spacing w:line="240" w:lineRule="auto"/>
        <w:textAlignment w:val="baseline"/>
        <w:rPr>
          <w:rFonts w:ascii="inherit" w:eastAsia="Times New Roman" w:hAnsi="inherit"/>
          <w:bCs/>
          <w:color w:val="999999"/>
          <w:sz w:val="17"/>
          <w:szCs w:val="17"/>
          <w:bdr w:val="none" w:sz="0" w:space="0" w:color="auto" w:frame="1"/>
          <w:lang w:val="en-US"/>
        </w:rPr>
      </w:pPr>
      <w:r w:rsidRPr="001F4702">
        <w:rPr>
          <w:rFonts w:ascii="inherit" w:eastAsia="Times New Roman" w:hAnsi="inherit"/>
          <w:bCs/>
          <w:color w:val="999999"/>
          <w:sz w:val="17"/>
          <w:szCs w:val="17"/>
          <w:bdr w:val="none" w:sz="0" w:space="0" w:color="auto" w:frame="1"/>
          <w:lang w:val="en-US"/>
        </w:rPr>
        <w:t>Source: U.S. Energy Information Administration, </w:t>
      </w:r>
      <w:hyperlink r:id="rId50" w:history="1">
        <w:r w:rsidRPr="001F4702">
          <w:rPr>
            <w:rFonts w:ascii="inherit" w:eastAsia="Times New Roman" w:hAnsi="inherit"/>
            <w:bCs/>
            <w:i/>
            <w:iCs/>
            <w:color w:val="007EB5"/>
            <w:sz w:val="17"/>
            <w:szCs w:val="17"/>
            <w:bdr w:val="none" w:sz="0" w:space="0" w:color="auto" w:frame="1"/>
            <w:lang w:val="en-US"/>
          </w:rPr>
          <w:t>Monthly Energy Review</w:t>
        </w:r>
      </w:hyperlink>
    </w:p>
    <w:p w14:paraId="6BEBAF25" w14:textId="77777777" w:rsidR="001F4702" w:rsidRPr="00262015" w:rsidRDefault="001F4702" w:rsidP="001F4702">
      <w:pPr>
        <w:spacing w:line="240" w:lineRule="auto"/>
        <w:textAlignment w:val="baseline"/>
        <w:rPr>
          <w:rFonts w:ascii="inherit" w:eastAsia="Times New Roman" w:hAnsi="inherit"/>
          <w:bCs/>
          <w:color w:val="999999"/>
          <w:sz w:val="17"/>
          <w:szCs w:val="17"/>
          <w:bdr w:val="none" w:sz="0" w:space="0" w:color="auto" w:frame="1"/>
          <w:lang w:val="en-US"/>
        </w:rPr>
      </w:pPr>
    </w:p>
    <w:p w14:paraId="665F7CA0" w14:textId="798CE3F2" w:rsidR="001F4702" w:rsidRPr="001F4702" w:rsidRDefault="001F4702" w:rsidP="001F4702">
      <w:pPr>
        <w:spacing w:line="240" w:lineRule="auto"/>
        <w:textAlignment w:val="baseline"/>
        <w:rPr>
          <w:rFonts w:eastAsia="Times New Roman"/>
          <w:bCs/>
          <w:color w:val="999999"/>
          <w:sz w:val="17"/>
          <w:szCs w:val="17"/>
          <w:lang w:val="en-US"/>
        </w:rPr>
      </w:pPr>
    </w:p>
    <w:p w14:paraId="2EC7F812" w14:textId="77777777" w:rsidR="00952F55" w:rsidRPr="00262015" w:rsidRDefault="00952F55">
      <w:pPr>
        <w:rPr>
          <w:rFonts w:ascii="Times New Roman" w:eastAsia="Times New Roman" w:hAnsi="Times New Roman" w:cs="Times New Roman"/>
          <w:bCs/>
        </w:rPr>
      </w:pPr>
    </w:p>
    <w:sectPr w:rsidR="00952F55" w:rsidRPr="00262015" w:rsidSect="00212403">
      <w:headerReference w:type="default" r:id="rId51"/>
      <w:footerReference w:type="default" r:id="rId5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7F4C7" w14:textId="77777777" w:rsidR="006837CB" w:rsidRDefault="006837CB">
      <w:pPr>
        <w:spacing w:line="240" w:lineRule="auto"/>
      </w:pPr>
      <w:r>
        <w:separator/>
      </w:r>
    </w:p>
  </w:endnote>
  <w:endnote w:type="continuationSeparator" w:id="0">
    <w:p w14:paraId="279D80F5" w14:textId="77777777" w:rsidR="006837CB" w:rsidRDefault="006837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E17E1" w14:textId="304ECB8E" w:rsidR="00B202F0" w:rsidRDefault="00C600B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C92B88">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D7334" w14:textId="77777777" w:rsidR="006837CB" w:rsidRDefault="006837CB">
      <w:pPr>
        <w:spacing w:line="240" w:lineRule="auto"/>
      </w:pPr>
      <w:r>
        <w:separator/>
      </w:r>
    </w:p>
  </w:footnote>
  <w:footnote w:type="continuationSeparator" w:id="0">
    <w:p w14:paraId="6B6C86E6" w14:textId="77777777" w:rsidR="006837CB" w:rsidRDefault="006837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E17E0" w14:textId="77777777" w:rsidR="00B202F0" w:rsidRDefault="00B202F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251D"/>
    <w:multiLevelType w:val="hybridMultilevel"/>
    <w:tmpl w:val="1BA4E0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9701C5"/>
    <w:multiLevelType w:val="hybridMultilevel"/>
    <w:tmpl w:val="B762D13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752207"/>
    <w:multiLevelType w:val="hybridMultilevel"/>
    <w:tmpl w:val="B762D130"/>
    <w:lvl w:ilvl="0" w:tplc="BA668D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3F0C90"/>
    <w:multiLevelType w:val="hybridMultilevel"/>
    <w:tmpl w:val="E46EE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732B93"/>
    <w:multiLevelType w:val="hybridMultilevel"/>
    <w:tmpl w:val="B762D13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D3E3244"/>
    <w:multiLevelType w:val="hybridMultilevel"/>
    <w:tmpl w:val="23DAD6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4656A9"/>
    <w:multiLevelType w:val="hybridMultilevel"/>
    <w:tmpl w:val="18BC5764"/>
    <w:lvl w:ilvl="0" w:tplc="6CA20D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0E07A32"/>
    <w:multiLevelType w:val="hybridMultilevel"/>
    <w:tmpl w:val="74AA280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1F263C"/>
    <w:multiLevelType w:val="hybridMultilevel"/>
    <w:tmpl w:val="B762D13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5AF7E30"/>
    <w:multiLevelType w:val="hybridMultilevel"/>
    <w:tmpl w:val="4434F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7545702">
    <w:abstractNumId w:val="2"/>
  </w:num>
  <w:num w:numId="2" w16cid:durableId="426578060">
    <w:abstractNumId w:val="1"/>
  </w:num>
  <w:num w:numId="3" w16cid:durableId="2097046669">
    <w:abstractNumId w:val="8"/>
  </w:num>
  <w:num w:numId="4" w16cid:durableId="1671131045">
    <w:abstractNumId w:val="4"/>
  </w:num>
  <w:num w:numId="5" w16cid:durableId="18355074">
    <w:abstractNumId w:val="9"/>
  </w:num>
  <w:num w:numId="6" w16cid:durableId="580408620">
    <w:abstractNumId w:val="6"/>
  </w:num>
  <w:num w:numId="7" w16cid:durableId="2022777834">
    <w:abstractNumId w:val="0"/>
  </w:num>
  <w:num w:numId="8" w16cid:durableId="687752634">
    <w:abstractNumId w:val="7"/>
  </w:num>
  <w:num w:numId="9" w16cid:durableId="313219798">
    <w:abstractNumId w:val="5"/>
  </w:num>
  <w:num w:numId="10" w16cid:durableId="342412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02F0"/>
    <w:rsid w:val="000022FE"/>
    <w:rsid w:val="000438B0"/>
    <w:rsid w:val="00050181"/>
    <w:rsid w:val="00067B6E"/>
    <w:rsid w:val="00085423"/>
    <w:rsid w:val="000C54BB"/>
    <w:rsid w:val="000C73DB"/>
    <w:rsid w:val="000C752E"/>
    <w:rsid w:val="000F0B3F"/>
    <w:rsid w:val="000F3AF9"/>
    <w:rsid w:val="00181B53"/>
    <w:rsid w:val="001F4702"/>
    <w:rsid w:val="00212403"/>
    <w:rsid w:val="00227892"/>
    <w:rsid w:val="00230263"/>
    <w:rsid w:val="00236770"/>
    <w:rsid w:val="00236A72"/>
    <w:rsid w:val="00246BD5"/>
    <w:rsid w:val="00255C78"/>
    <w:rsid w:val="002576A4"/>
    <w:rsid w:val="00262015"/>
    <w:rsid w:val="00271053"/>
    <w:rsid w:val="00271287"/>
    <w:rsid w:val="002758C6"/>
    <w:rsid w:val="00275E1B"/>
    <w:rsid w:val="00277A16"/>
    <w:rsid w:val="002840B2"/>
    <w:rsid w:val="00296E63"/>
    <w:rsid w:val="002B2BB4"/>
    <w:rsid w:val="002B2E88"/>
    <w:rsid w:val="002D437B"/>
    <w:rsid w:val="002E2264"/>
    <w:rsid w:val="00325750"/>
    <w:rsid w:val="003261DF"/>
    <w:rsid w:val="00384F78"/>
    <w:rsid w:val="0038563D"/>
    <w:rsid w:val="003A4DD2"/>
    <w:rsid w:val="003B52A3"/>
    <w:rsid w:val="003D5006"/>
    <w:rsid w:val="003E1E54"/>
    <w:rsid w:val="003E5483"/>
    <w:rsid w:val="003E67EC"/>
    <w:rsid w:val="0040242C"/>
    <w:rsid w:val="004116CF"/>
    <w:rsid w:val="0047544A"/>
    <w:rsid w:val="004A5933"/>
    <w:rsid w:val="004B28E5"/>
    <w:rsid w:val="004E56FA"/>
    <w:rsid w:val="004F7679"/>
    <w:rsid w:val="00501C52"/>
    <w:rsid w:val="00520B3F"/>
    <w:rsid w:val="005358F5"/>
    <w:rsid w:val="00536FD3"/>
    <w:rsid w:val="00541FD6"/>
    <w:rsid w:val="00574D4A"/>
    <w:rsid w:val="005766AF"/>
    <w:rsid w:val="00582F39"/>
    <w:rsid w:val="005A2410"/>
    <w:rsid w:val="006206E9"/>
    <w:rsid w:val="00640095"/>
    <w:rsid w:val="006639C2"/>
    <w:rsid w:val="00682A02"/>
    <w:rsid w:val="006837CB"/>
    <w:rsid w:val="00687B14"/>
    <w:rsid w:val="006C091B"/>
    <w:rsid w:val="00727A44"/>
    <w:rsid w:val="00747C7F"/>
    <w:rsid w:val="00762643"/>
    <w:rsid w:val="00762960"/>
    <w:rsid w:val="007A17D0"/>
    <w:rsid w:val="008040B7"/>
    <w:rsid w:val="00810DF1"/>
    <w:rsid w:val="00833962"/>
    <w:rsid w:val="00850C0C"/>
    <w:rsid w:val="00854D70"/>
    <w:rsid w:val="00872CE5"/>
    <w:rsid w:val="00892C10"/>
    <w:rsid w:val="008A253E"/>
    <w:rsid w:val="008B139D"/>
    <w:rsid w:val="008B195A"/>
    <w:rsid w:val="00931280"/>
    <w:rsid w:val="00947B62"/>
    <w:rsid w:val="0095247C"/>
    <w:rsid w:val="0095294D"/>
    <w:rsid w:val="00952F55"/>
    <w:rsid w:val="00961675"/>
    <w:rsid w:val="009B31FB"/>
    <w:rsid w:val="009C1FD4"/>
    <w:rsid w:val="009C5143"/>
    <w:rsid w:val="009F2D4F"/>
    <w:rsid w:val="00A13F0C"/>
    <w:rsid w:val="00A515D0"/>
    <w:rsid w:val="00A6263F"/>
    <w:rsid w:val="00A862BD"/>
    <w:rsid w:val="00AB1FDF"/>
    <w:rsid w:val="00AC77ED"/>
    <w:rsid w:val="00AF3330"/>
    <w:rsid w:val="00B202F0"/>
    <w:rsid w:val="00B43BC5"/>
    <w:rsid w:val="00B64C4D"/>
    <w:rsid w:val="00B814F4"/>
    <w:rsid w:val="00BD2C4C"/>
    <w:rsid w:val="00BE3679"/>
    <w:rsid w:val="00C02A3C"/>
    <w:rsid w:val="00C24195"/>
    <w:rsid w:val="00C369E4"/>
    <w:rsid w:val="00C53D39"/>
    <w:rsid w:val="00C600BB"/>
    <w:rsid w:val="00C92B88"/>
    <w:rsid w:val="00CD6A26"/>
    <w:rsid w:val="00D10842"/>
    <w:rsid w:val="00D2102A"/>
    <w:rsid w:val="00D36062"/>
    <w:rsid w:val="00D51CFC"/>
    <w:rsid w:val="00D75250"/>
    <w:rsid w:val="00D76EAF"/>
    <w:rsid w:val="00D87C60"/>
    <w:rsid w:val="00D9138F"/>
    <w:rsid w:val="00DA6FA1"/>
    <w:rsid w:val="00DB1631"/>
    <w:rsid w:val="00DB78DF"/>
    <w:rsid w:val="00DD1A71"/>
    <w:rsid w:val="00E17790"/>
    <w:rsid w:val="00E34969"/>
    <w:rsid w:val="00E461BF"/>
    <w:rsid w:val="00E528E6"/>
    <w:rsid w:val="00E71DA7"/>
    <w:rsid w:val="00E74282"/>
    <w:rsid w:val="00EA5691"/>
    <w:rsid w:val="00EF4DC8"/>
    <w:rsid w:val="00F2190E"/>
    <w:rsid w:val="00F4550B"/>
    <w:rsid w:val="00F46B34"/>
    <w:rsid w:val="00F54819"/>
    <w:rsid w:val="00F6176E"/>
    <w:rsid w:val="00F75E01"/>
    <w:rsid w:val="00F80F03"/>
    <w:rsid w:val="00FA5D71"/>
    <w:rsid w:val="00FD34E0"/>
    <w:rsid w:val="00FE6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E1760"/>
  <w15:docId w15:val="{44BD0863-688D-481B-B4D8-40895EE46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B64C4D"/>
    <w:pPr>
      <w:ind w:left="720"/>
      <w:contextualSpacing/>
    </w:pPr>
  </w:style>
  <w:style w:type="paragraph" w:styleId="Caption">
    <w:name w:val="caption"/>
    <w:basedOn w:val="Normal"/>
    <w:next w:val="Normal"/>
    <w:uiPriority w:val="35"/>
    <w:unhideWhenUsed/>
    <w:qFormat/>
    <w:rsid w:val="00D87C60"/>
    <w:pPr>
      <w:spacing w:after="200" w:line="240" w:lineRule="auto"/>
    </w:pPr>
    <w:rPr>
      <w:i/>
      <w:iCs/>
      <w:color w:val="1F497D" w:themeColor="text2"/>
      <w:sz w:val="18"/>
      <w:szCs w:val="18"/>
    </w:rPr>
  </w:style>
  <w:style w:type="character" w:styleId="Strong">
    <w:name w:val="Strong"/>
    <w:basedOn w:val="DefaultParagraphFont"/>
    <w:uiPriority w:val="22"/>
    <w:qFormat/>
    <w:rsid w:val="001F4702"/>
    <w:rPr>
      <w:b/>
      <w:bCs/>
    </w:rPr>
  </w:style>
  <w:style w:type="character" w:styleId="Emphasis">
    <w:name w:val="Emphasis"/>
    <w:basedOn w:val="DefaultParagraphFont"/>
    <w:uiPriority w:val="20"/>
    <w:qFormat/>
    <w:rsid w:val="001F4702"/>
    <w:rPr>
      <w:i/>
      <w:iCs/>
    </w:rPr>
  </w:style>
  <w:style w:type="paragraph" w:styleId="CommentSubject">
    <w:name w:val="annotation subject"/>
    <w:basedOn w:val="CommentText"/>
    <w:next w:val="CommentText"/>
    <w:link w:val="CommentSubjectChar"/>
    <w:uiPriority w:val="99"/>
    <w:semiHidden/>
    <w:unhideWhenUsed/>
    <w:rsid w:val="00D51CFC"/>
    <w:rPr>
      <w:b/>
      <w:bCs/>
    </w:rPr>
  </w:style>
  <w:style w:type="character" w:customStyle="1" w:styleId="CommentSubjectChar">
    <w:name w:val="Comment Subject Char"/>
    <w:basedOn w:val="CommentTextChar"/>
    <w:link w:val="CommentSubject"/>
    <w:uiPriority w:val="99"/>
    <w:semiHidden/>
    <w:rsid w:val="00D51CFC"/>
    <w:rPr>
      <w:b/>
      <w:bCs/>
      <w:sz w:val="20"/>
      <w:szCs w:val="20"/>
    </w:rPr>
  </w:style>
  <w:style w:type="character" w:styleId="PlaceholderText">
    <w:name w:val="Placeholder Text"/>
    <w:basedOn w:val="DefaultParagraphFont"/>
    <w:uiPriority w:val="99"/>
    <w:semiHidden/>
    <w:rsid w:val="00227892"/>
    <w:rPr>
      <w:color w:val="808080"/>
    </w:rPr>
  </w:style>
  <w:style w:type="character" w:styleId="Hyperlink">
    <w:name w:val="Hyperlink"/>
    <w:basedOn w:val="DefaultParagraphFont"/>
    <w:uiPriority w:val="99"/>
    <w:unhideWhenUsed/>
    <w:rsid w:val="000C73DB"/>
    <w:rPr>
      <w:color w:val="0000FF" w:themeColor="hyperlink"/>
      <w:u w:val="single"/>
    </w:rPr>
  </w:style>
  <w:style w:type="character" w:styleId="UnresolvedMention">
    <w:name w:val="Unresolved Mention"/>
    <w:basedOn w:val="DefaultParagraphFont"/>
    <w:uiPriority w:val="99"/>
    <w:semiHidden/>
    <w:unhideWhenUsed/>
    <w:rsid w:val="000C73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467808">
      <w:bodyDiv w:val="1"/>
      <w:marLeft w:val="0"/>
      <w:marRight w:val="0"/>
      <w:marTop w:val="0"/>
      <w:marBottom w:val="0"/>
      <w:divBdr>
        <w:top w:val="none" w:sz="0" w:space="0" w:color="auto"/>
        <w:left w:val="none" w:sz="0" w:space="0" w:color="auto"/>
        <w:bottom w:val="none" w:sz="0" w:space="0" w:color="auto"/>
        <w:right w:val="none" w:sz="0" w:space="0" w:color="auto"/>
      </w:divBdr>
    </w:div>
    <w:div w:id="215624773">
      <w:bodyDiv w:val="1"/>
      <w:marLeft w:val="0"/>
      <w:marRight w:val="0"/>
      <w:marTop w:val="0"/>
      <w:marBottom w:val="0"/>
      <w:divBdr>
        <w:top w:val="none" w:sz="0" w:space="0" w:color="auto"/>
        <w:left w:val="none" w:sz="0" w:space="0" w:color="auto"/>
        <w:bottom w:val="none" w:sz="0" w:space="0" w:color="auto"/>
        <w:right w:val="none" w:sz="0" w:space="0" w:color="auto"/>
      </w:divBdr>
    </w:div>
    <w:div w:id="224990899">
      <w:bodyDiv w:val="1"/>
      <w:marLeft w:val="0"/>
      <w:marRight w:val="0"/>
      <w:marTop w:val="0"/>
      <w:marBottom w:val="0"/>
      <w:divBdr>
        <w:top w:val="none" w:sz="0" w:space="0" w:color="auto"/>
        <w:left w:val="none" w:sz="0" w:space="0" w:color="auto"/>
        <w:bottom w:val="none" w:sz="0" w:space="0" w:color="auto"/>
        <w:right w:val="none" w:sz="0" w:space="0" w:color="auto"/>
      </w:divBdr>
    </w:div>
    <w:div w:id="277836890">
      <w:bodyDiv w:val="1"/>
      <w:marLeft w:val="0"/>
      <w:marRight w:val="0"/>
      <w:marTop w:val="0"/>
      <w:marBottom w:val="0"/>
      <w:divBdr>
        <w:top w:val="none" w:sz="0" w:space="0" w:color="auto"/>
        <w:left w:val="none" w:sz="0" w:space="0" w:color="auto"/>
        <w:bottom w:val="none" w:sz="0" w:space="0" w:color="auto"/>
        <w:right w:val="none" w:sz="0" w:space="0" w:color="auto"/>
      </w:divBdr>
    </w:div>
    <w:div w:id="304745833">
      <w:bodyDiv w:val="1"/>
      <w:marLeft w:val="0"/>
      <w:marRight w:val="0"/>
      <w:marTop w:val="0"/>
      <w:marBottom w:val="0"/>
      <w:divBdr>
        <w:top w:val="none" w:sz="0" w:space="0" w:color="auto"/>
        <w:left w:val="none" w:sz="0" w:space="0" w:color="auto"/>
        <w:bottom w:val="none" w:sz="0" w:space="0" w:color="auto"/>
        <w:right w:val="none" w:sz="0" w:space="0" w:color="auto"/>
      </w:divBdr>
    </w:div>
    <w:div w:id="314997267">
      <w:bodyDiv w:val="1"/>
      <w:marLeft w:val="0"/>
      <w:marRight w:val="0"/>
      <w:marTop w:val="0"/>
      <w:marBottom w:val="0"/>
      <w:divBdr>
        <w:top w:val="none" w:sz="0" w:space="0" w:color="auto"/>
        <w:left w:val="none" w:sz="0" w:space="0" w:color="auto"/>
        <w:bottom w:val="none" w:sz="0" w:space="0" w:color="auto"/>
        <w:right w:val="none" w:sz="0" w:space="0" w:color="auto"/>
      </w:divBdr>
    </w:div>
    <w:div w:id="326440714">
      <w:bodyDiv w:val="1"/>
      <w:marLeft w:val="0"/>
      <w:marRight w:val="0"/>
      <w:marTop w:val="0"/>
      <w:marBottom w:val="0"/>
      <w:divBdr>
        <w:top w:val="none" w:sz="0" w:space="0" w:color="auto"/>
        <w:left w:val="none" w:sz="0" w:space="0" w:color="auto"/>
        <w:bottom w:val="none" w:sz="0" w:space="0" w:color="auto"/>
        <w:right w:val="none" w:sz="0" w:space="0" w:color="auto"/>
      </w:divBdr>
    </w:div>
    <w:div w:id="375200126">
      <w:bodyDiv w:val="1"/>
      <w:marLeft w:val="0"/>
      <w:marRight w:val="0"/>
      <w:marTop w:val="0"/>
      <w:marBottom w:val="0"/>
      <w:divBdr>
        <w:top w:val="none" w:sz="0" w:space="0" w:color="auto"/>
        <w:left w:val="none" w:sz="0" w:space="0" w:color="auto"/>
        <w:bottom w:val="none" w:sz="0" w:space="0" w:color="auto"/>
        <w:right w:val="none" w:sz="0" w:space="0" w:color="auto"/>
      </w:divBdr>
    </w:div>
    <w:div w:id="472017163">
      <w:bodyDiv w:val="1"/>
      <w:marLeft w:val="0"/>
      <w:marRight w:val="0"/>
      <w:marTop w:val="0"/>
      <w:marBottom w:val="0"/>
      <w:divBdr>
        <w:top w:val="none" w:sz="0" w:space="0" w:color="auto"/>
        <w:left w:val="none" w:sz="0" w:space="0" w:color="auto"/>
        <w:bottom w:val="none" w:sz="0" w:space="0" w:color="auto"/>
        <w:right w:val="none" w:sz="0" w:space="0" w:color="auto"/>
      </w:divBdr>
    </w:div>
    <w:div w:id="476338990">
      <w:bodyDiv w:val="1"/>
      <w:marLeft w:val="0"/>
      <w:marRight w:val="0"/>
      <w:marTop w:val="0"/>
      <w:marBottom w:val="0"/>
      <w:divBdr>
        <w:top w:val="none" w:sz="0" w:space="0" w:color="auto"/>
        <w:left w:val="none" w:sz="0" w:space="0" w:color="auto"/>
        <w:bottom w:val="none" w:sz="0" w:space="0" w:color="auto"/>
        <w:right w:val="none" w:sz="0" w:space="0" w:color="auto"/>
      </w:divBdr>
    </w:div>
    <w:div w:id="600572172">
      <w:bodyDiv w:val="1"/>
      <w:marLeft w:val="0"/>
      <w:marRight w:val="0"/>
      <w:marTop w:val="0"/>
      <w:marBottom w:val="0"/>
      <w:divBdr>
        <w:top w:val="none" w:sz="0" w:space="0" w:color="auto"/>
        <w:left w:val="none" w:sz="0" w:space="0" w:color="auto"/>
        <w:bottom w:val="none" w:sz="0" w:space="0" w:color="auto"/>
        <w:right w:val="none" w:sz="0" w:space="0" w:color="auto"/>
      </w:divBdr>
    </w:div>
    <w:div w:id="823854298">
      <w:bodyDiv w:val="1"/>
      <w:marLeft w:val="0"/>
      <w:marRight w:val="0"/>
      <w:marTop w:val="0"/>
      <w:marBottom w:val="0"/>
      <w:divBdr>
        <w:top w:val="none" w:sz="0" w:space="0" w:color="auto"/>
        <w:left w:val="none" w:sz="0" w:space="0" w:color="auto"/>
        <w:bottom w:val="none" w:sz="0" w:space="0" w:color="auto"/>
        <w:right w:val="none" w:sz="0" w:space="0" w:color="auto"/>
      </w:divBdr>
    </w:div>
    <w:div w:id="838497327">
      <w:bodyDiv w:val="1"/>
      <w:marLeft w:val="0"/>
      <w:marRight w:val="0"/>
      <w:marTop w:val="0"/>
      <w:marBottom w:val="0"/>
      <w:divBdr>
        <w:top w:val="none" w:sz="0" w:space="0" w:color="auto"/>
        <w:left w:val="none" w:sz="0" w:space="0" w:color="auto"/>
        <w:bottom w:val="none" w:sz="0" w:space="0" w:color="auto"/>
        <w:right w:val="none" w:sz="0" w:space="0" w:color="auto"/>
      </w:divBdr>
    </w:div>
    <w:div w:id="1010958557">
      <w:bodyDiv w:val="1"/>
      <w:marLeft w:val="0"/>
      <w:marRight w:val="0"/>
      <w:marTop w:val="0"/>
      <w:marBottom w:val="0"/>
      <w:divBdr>
        <w:top w:val="none" w:sz="0" w:space="0" w:color="auto"/>
        <w:left w:val="none" w:sz="0" w:space="0" w:color="auto"/>
        <w:bottom w:val="none" w:sz="0" w:space="0" w:color="auto"/>
        <w:right w:val="none" w:sz="0" w:space="0" w:color="auto"/>
      </w:divBdr>
    </w:div>
    <w:div w:id="1049568442">
      <w:bodyDiv w:val="1"/>
      <w:marLeft w:val="0"/>
      <w:marRight w:val="0"/>
      <w:marTop w:val="0"/>
      <w:marBottom w:val="0"/>
      <w:divBdr>
        <w:top w:val="none" w:sz="0" w:space="0" w:color="auto"/>
        <w:left w:val="none" w:sz="0" w:space="0" w:color="auto"/>
        <w:bottom w:val="none" w:sz="0" w:space="0" w:color="auto"/>
        <w:right w:val="none" w:sz="0" w:space="0" w:color="auto"/>
      </w:divBdr>
    </w:div>
    <w:div w:id="1054355149">
      <w:bodyDiv w:val="1"/>
      <w:marLeft w:val="0"/>
      <w:marRight w:val="0"/>
      <w:marTop w:val="0"/>
      <w:marBottom w:val="0"/>
      <w:divBdr>
        <w:top w:val="none" w:sz="0" w:space="0" w:color="auto"/>
        <w:left w:val="none" w:sz="0" w:space="0" w:color="auto"/>
        <w:bottom w:val="none" w:sz="0" w:space="0" w:color="auto"/>
        <w:right w:val="none" w:sz="0" w:space="0" w:color="auto"/>
      </w:divBdr>
    </w:div>
    <w:div w:id="1119228867">
      <w:bodyDiv w:val="1"/>
      <w:marLeft w:val="0"/>
      <w:marRight w:val="0"/>
      <w:marTop w:val="0"/>
      <w:marBottom w:val="0"/>
      <w:divBdr>
        <w:top w:val="none" w:sz="0" w:space="0" w:color="auto"/>
        <w:left w:val="none" w:sz="0" w:space="0" w:color="auto"/>
        <w:bottom w:val="none" w:sz="0" w:space="0" w:color="auto"/>
        <w:right w:val="none" w:sz="0" w:space="0" w:color="auto"/>
      </w:divBdr>
    </w:div>
    <w:div w:id="1171137449">
      <w:bodyDiv w:val="1"/>
      <w:marLeft w:val="0"/>
      <w:marRight w:val="0"/>
      <w:marTop w:val="0"/>
      <w:marBottom w:val="0"/>
      <w:divBdr>
        <w:top w:val="none" w:sz="0" w:space="0" w:color="auto"/>
        <w:left w:val="none" w:sz="0" w:space="0" w:color="auto"/>
        <w:bottom w:val="none" w:sz="0" w:space="0" w:color="auto"/>
        <w:right w:val="none" w:sz="0" w:space="0" w:color="auto"/>
      </w:divBdr>
    </w:div>
    <w:div w:id="1191913849">
      <w:bodyDiv w:val="1"/>
      <w:marLeft w:val="0"/>
      <w:marRight w:val="0"/>
      <w:marTop w:val="0"/>
      <w:marBottom w:val="0"/>
      <w:divBdr>
        <w:top w:val="none" w:sz="0" w:space="0" w:color="auto"/>
        <w:left w:val="none" w:sz="0" w:space="0" w:color="auto"/>
        <w:bottom w:val="none" w:sz="0" w:space="0" w:color="auto"/>
        <w:right w:val="none" w:sz="0" w:space="0" w:color="auto"/>
      </w:divBdr>
    </w:div>
    <w:div w:id="1222399010">
      <w:bodyDiv w:val="1"/>
      <w:marLeft w:val="0"/>
      <w:marRight w:val="0"/>
      <w:marTop w:val="0"/>
      <w:marBottom w:val="0"/>
      <w:divBdr>
        <w:top w:val="none" w:sz="0" w:space="0" w:color="auto"/>
        <w:left w:val="none" w:sz="0" w:space="0" w:color="auto"/>
        <w:bottom w:val="none" w:sz="0" w:space="0" w:color="auto"/>
        <w:right w:val="none" w:sz="0" w:space="0" w:color="auto"/>
      </w:divBdr>
    </w:div>
    <w:div w:id="1266302528">
      <w:bodyDiv w:val="1"/>
      <w:marLeft w:val="0"/>
      <w:marRight w:val="0"/>
      <w:marTop w:val="0"/>
      <w:marBottom w:val="0"/>
      <w:divBdr>
        <w:top w:val="none" w:sz="0" w:space="0" w:color="auto"/>
        <w:left w:val="none" w:sz="0" w:space="0" w:color="auto"/>
        <w:bottom w:val="none" w:sz="0" w:space="0" w:color="auto"/>
        <w:right w:val="none" w:sz="0" w:space="0" w:color="auto"/>
      </w:divBdr>
      <w:divsChild>
        <w:div w:id="1228036598">
          <w:marLeft w:val="0"/>
          <w:marRight w:val="0"/>
          <w:marTop w:val="0"/>
          <w:marBottom w:val="0"/>
          <w:divBdr>
            <w:top w:val="none" w:sz="0" w:space="0" w:color="auto"/>
            <w:left w:val="none" w:sz="0" w:space="0" w:color="auto"/>
            <w:bottom w:val="none" w:sz="0" w:space="0" w:color="auto"/>
            <w:right w:val="none" w:sz="0" w:space="0" w:color="auto"/>
          </w:divBdr>
        </w:div>
      </w:divsChild>
    </w:div>
    <w:div w:id="1267736234">
      <w:bodyDiv w:val="1"/>
      <w:marLeft w:val="0"/>
      <w:marRight w:val="0"/>
      <w:marTop w:val="0"/>
      <w:marBottom w:val="0"/>
      <w:divBdr>
        <w:top w:val="none" w:sz="0" w:space="0" w:color="auto"/>
        <w:left w:val="none" w:sz="0" w:space="0" w:color="auto"/>
        <w:bottom w:val="none" w:sz="0" w:space="0" w:color="auto"/>
        <w:right w:val="none" w:sz="0" w:space="0" w:color="auto"/>
      </w:divBdr>
    </w:div>
    <w:div w:id="1291091778">
      <w:bodyDiv w:val="1"/>
      <w:marLeft w:val="0"/>
      <w:marRight w:val="0"/>
      <w:marTop w:val="0"/>
      <w:marBottom w:val="0"/>
      <w:divBdr>
        <w:top w:val="none" w:sz="0" w:space="0" w:color="auto"/>
        <w:left w:val="none" w:sz="0" w:space="0" w:color="auto"/>
        <w:bottom w:val="none" w:sz="0" w:space="0" w:color="auto"/>
        <w:right w:val="none" w:sz="0" w:space="0" w:color="auto"/>
      </w:divBdr>
    </w:div>
    <w:div w:id="1325208310">
      <w:bodyDiv w:val="1"/>
      <w:marLeft w:val="0"/>
      <w:marRight w:val="0"/>
      <w:marTop w:val="0"/>
      <w:marBottom w:val="0"/>
      <w:divBdr>
        <w:top w:val="none" w:sz="0" w:space="0" w:color="auto"/>
        <w:left w:val="none" w:sz="0" w:space="0" w:color="auto"/>
        <w:bottom w:val="none" w:sz="0" w:space="0" w:color="auto"/>
        <w:right w:val="none" w:sz="0" w:space="0" w:color="auto"/>
      </w:divBdr>
    </w:div>
    <w:div w:id="1387337789">
      <w:bodyDiv w:val="1"/>
      <w:marLeft w:val="0"/>
      <w:marRight w:val="0"/>
      <w:marTop w:val="0"/>
      <w:marBottom w:val="0"/>
      <w:divBdr>
        <w:top w:val="none" w:sz="0" w:space="0" w:color="auto"/>
        <w:left w:val="none" w:sz="0" w:space="0" w:color="auto"/>
        <w:bottom w:val="none" w:sz="0" w:space="0" w:color="auto"/>
        <w:right w:val="none" w:sz="0" w:space="0" w:color="auto"/>
      </w:divBdr>
    </w:div>
    <w:div w:id="1469319646">
      <w:bodyDiv w:val="1"/>
      <w:marLeft w:val="0"/>
      <w:marRight w:val="0"/>
      <w:marTop w:val="0"/>
      <w:marBottom w:val="0"/>
      <w:divBdr>
        <w:top w:val="none" w:sz="0" w:space="0" w:color="auto"/>
        <w:left w:val="none" w:sz="0" w:space="0" w:color="auto"/>
        <w:bottom w:val="none" w:sz="0" w:space="0" w:color="auto"/>
        <w:right w:val="none" w:sz="0" w:space="0" w:color="auto"/>
      </w:divBdr>
    </w:div>
    <w:div w:id="1648590846">
      <w:bodyDiv w:val="1"/>
      <w:marLeft w:val="0"/>
      <w:marRight w:val="0"/>
      <w:marTop w:val="0"/>
      <w:marBottom w:val="0"/>
      <w:divBdr>
        <w:top w:val="none" w:sz="0" w:space="0" w:color="auto"/>
        <w:left w:val="none" w:sz="0" w:space="0" w:color="auto"/>
        <w:bottom w:val="none" w:sz="0" w:space="0" w:color="auto"/>
        <w:right w:val="none" w:sz="0" w:space="0" w:color="auto"/>
      </w:divBdr>
      <w:divsChild>
        <w:div w:id="1505315267">
          <w:marLeft w:val="480"/>
          <w:marRight w:val="0"/>
          <w:marTop w:val="0"/>
          <w:marBottom w:val="0"/>
          <w:divBdr>
            <w:top w:val="none" w:sz="0" w:space="0" w:color="auto"/>
            <w:left w:val="none" w:sz="0" w:space="0" w:color="auto"/>
            <w:bottom w:val="none" w:sz="0" w:space="0" w:color="auto"/>
            <w:right w:val="none" w:sz="0" w:space="0" w:color="auto"/>
          </w:divBdr>
          <w:divsChild>
            <w:div w:id="16197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86360">
      <w:bodyDiv w:val="1"/>
      <w:marLeft w:val="0"/>
      <w:marRight w:val="0"/>
      <w:marTop w:val="0"/>
      <w:marBottom w:val="0"/>
      <w:divBdr>
        <w:top w:val="none" w:sz="0" w:space="0" w:color="auto"/>
        <w:left w:val="none" w:sz="0" w:space="0" w:color="auto"/>
        <w:bottom w:val="none" w:sz="0" w:space="0" w:color="auto"/>
        <w:right w:val="none" w:sz="0" w:space="0" w:color="auto"/>
      </w:divBdr>
    </w:div>
    <w:div w:id="1698965441">
      <w:bodyDiv w:val="1"/>
      <w:marLeft w:val="0"/>
      <w:marRight w:val="0"/>
      <w:marTop w:val="0"/>
      <w:marBottom w:val="0"/>
      <w:divBdr>
        <w:top w:val="none" w:sz="0" w:space="0" w:color="auto"/>
        <w:left w:val="none" w:sz="0" w:space="0" w:color="auto"/>
        <w:bottom w:val="none" w:sz="0" w:space="0" w:color="auto"/>
        <w:right w:val="none" w:sz="0" w:space="0" w:color="auto"/>
      </w:divBdr>
      <w:divsChild>
        <w:div w:id="1084298724">
          <w:marLeft w:val="480"/>
          <w:marRight w:val="0"/>
          <w:marTop w:val="0"/>
          <w:marBottom w:val="0"/>
          <w:divBdr>
            <w:top w:val="none" w:sz="0" w:space="0" w:color="auto"/>
            <w:left w:val="none" w:sz="0" w:space="0" w:color="auto"/>
            <w:bottom w:val="none" w:sz="0" w:space="0" w:color="auto"/>
            <w:right w:val="none" w:sz="0" w:space="0" w:color="auto"/>
          </w:divBdr>
          <w:divsChild>
            <w:div w:id="1749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73651">
      <w:bodyDiv w:val="1"/>
      <w:marLeft w:val="0"/>
      <w:marRight w:val="0"/>
      <w:marTop w:val="0"/>
      <w:marBottom w:val="0"/>
      <w:divBdr>
        <w:top w:val="none" w:sz="0" w:space="0" w:color="auto"/>
        <w:left w:val="none" w:sz="0" w:space="0" w:color="auto"/>
        <w:bottom w:val="none" w:sz="0" w:space="0" w:color="auto"/>
        <w:right w:val="none" w:sz="0" w:space="0" w:color="auto"/>
      </w:divBdr>
    </w:div>
    <w:div w:id="1819302509">
      <w:bodyDiv w:val="1"/>
      <w:marLeft w:val="0"/>
      <w:marRight w:val="0"/>
      <w:marTop w:val="0"/>
      <w:marBottom w:val="0"/>
      <w:divBdr>
        <w:top w:val="none" w:sz="0" w:space="0" w:color="auto"/>
        <w:left w:val="none" w:sz="0" w:space="0" w:color="auto"/>
        <w:bottom w:val="none" w:sz="0" w:space="0" w:color="auto"/>
        <w:right w:val="none" w:sz="0" w:space="0" w:color="auto"/>
      </w:divBdr>
    </w:div>
    <w:div w:id="1858304439">
      <w:bodyDiv w:val="1"/>
      <w:marLeft w:val="0"/>
      <w:marRight w:val="0"/>
      <w:marTop w:val="0"/>
      <w:marBottom w:val="0"/>
      <w:divBdr>
        <w:top w:val="none" w:sz="0" w:space="0" w:color="auto"/>
        <w:left w:val="none" w:sz="0" w:space="0" w:color="auto"/>
        <w:bottom w:val="none" w:sz="0" w:space="0" w:color="auto"/>
        <w:right w:val="none" w:sz="0" w:space="0" w:color="auto"/>
      </w:divBdr>
    </w:div>
    <w:div w:id="1868714183">
      <w:bodyDiv w:val="1"/>
      <w:marLeft w:val="0"/>
      <w:marRight w:val="0"/>
      <w:marTop w:val="0"/>
      <w:marBottom w:val="0"/>
      <w:divBdr>
        <w:top w:val="none" w:sz="0" w:space="0" w:color="auto"/>
        <w:left w:val="none" w:sz="0" w:space="0" w:color="auto"/>
        <w:bottom w:val="none" w:sz="0" w:space="0" w:color="auto"/>
        <w:right w:val="none" w:sz="0" w:space="0" w:color="auto"/>
      </w:divBdr>
      <w:divsChild>
        <w:div w:id="1922248880">
          <w:marLeft w:val="480"/>
          <w:marRight w:val="0"/>
          <w:marTop w:val="0"/>
          <w:marBottom w:val="0"/>
          <w:divBdr>
            <w:top w:val="none" w:sz="0" w:space="0" w:color="auto"/>
            <w:left w:val="none" w:sz="0" w:space="0" w:color="auto"/>
            <w:bottom w:val="none" w:sz="0" w:space="0" w:color="auto"/>
            <w:right w:val="none" w:sz="0" w:space="0" w:color="auto"/>
          </w:divBdr>
          <w:divsChild>
            <w:div w:id="128739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40678">
      <w:bodyDiv w:val="1"/>
      <w:marLeft w:val="0"/>
      <w:marRight w:val="0"/>
      <w:marTop w:val="0"/>
      <w:marBottom w:val="0"/>
      <w:divBdr>
        <w:top w:val="none" w:sz="0" w:space="0" w:color="auto"/>
        <w:left w:val="none" w:sz="0" w:space="0" w:color="auto"/>
        <w:bottom w:val="none" w:sz="0" w:space="0" w:color="auto"/>
        <w:right w:val="none" w:sz="0" w:space="0" w:color="auto"/>
      </w:divBdr>
    </w:div>
    <w:div w:id="2028602889">
      <w:bodyDiv w:val="1"/>
      <w:marLeft w:val="0"/>
      <w:marRight w:val="0"/>
      <w:marTop w:val="0"/>
      <w:marBottom w:val="0"/>
      <w:divBdr>
        <w:top w:val="none" w:sz="0" w:space="0" w:color="auto"/>
        <w:left w:val="none" w:sz="0" w:space="0" w:color="auto"/>
        <w:bottom w:val="none" w:sz="0" w:space="0" w:color="auto"/>
        <w:right w:val="none" w:sz="0" w:space="0" w:color="auto"/>
      </w:divBdr>
    </w:div>
    <w:div w:id="2078550614">
      <w:bodyDiv w:val="1"/>
      <w:marLeft w:val="0"/>
      <w:marRight w:val="0"/>
      <w:marTop w:val="0"/>
      <w:marBottom w:val="0"/>
      <w:divBdr>
        <w:top w:val="none" w:sz="0" w:space="0" w:color="auto"/>
        <w:left w:val="none" w:sz="0" w:space="0" w:color="auto"/>
        <w:bottom w:val="none" w:sz="0" w:space="0" w:color="auto"/>
        <w:right w:val="none" w:sz="0" w:space="0" w:color="auto"/>
      </w:divBdr>
      <w:divsChild>
        <w:div w:id="244656017">
          <w:marLeft w:val="480"/>
          <w:marRight w:val="0"/>
          <w:marTop w:val="0"/>
          <w:marBottom w:val="0"/>
          <w:divBdr>
            <w:top w:val="none" w:sz="0" w:space="0" w:color="auto"/>
            <w:left w:val="none" w:sz="0" w:space="0" w:color="auto"/>
            <w:bottom w:val="none" w:sz="0" w:space="0" w:color="auto"/>
            <w:right w:val="none" w:sz="0" w:space="0" w:color="auto"/>
          </w:divBdr>
          <w:divsChild>
            <w:div w:id="141108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i.org/10.1016/j.frl.2020.101748" TargetMode="External"/><Relationship Id="rId26" Type="http://schemas.openxmlformats.org/officeDocument/2006/relationships/hyperlink" Target="https://www.who.int/health-topics/coronavirus" TargetMode="External"/><Relationship Id="rId39" Type="http://schemas.openxmlformats.org/officeDocument/2006/relationships/hyperlink" Target="https://www.forbes.com/advisor/investing/efficient-market-hypothesis/" TargetMode="External"/><Relationship Id="rId21" Type="http://schemas.openxmlformats.org/officeDocument/2006/relationships/hyperlink" Target="https://doi.org/10.3386/w26945" TargetMode="External"/><Relationship Id="rId34" Type="http://schemas.openxmlformats.org/officeDocument/2006/relationships/hyperlink" Target="https://doi.org/10.1371/journal.pone.0239113"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hyperlink" Target="https://www.eia.gov/totalenergy/data/monthl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j.frl.2021.102639" TargetMode="External"/><Relationship Id="rId29" Type="http://schemas.openxmlformats.org/officeDocument/2006/relationships/hyperlink" Target="https://doi.org/10.1016/j.frl.2020.101578" TargetMode="External"/><Relationship Id="rId11" Type="http://schemas.openxmlformats.org/officeDocument/2006/relationships/image" Target="media/image1.png"/><Relationship Id="rId24" Type="http://schemas.openxmlformats.org/officeDocument/2006/relationships/hyperlink" Target="https://www.who.int/publications-detail-redirect/who-2019-ncov-adjusting-ph-measures-2023.1" TargetMode="External"/><Relationship Id="rId32" Type="http://schemas.openxmlformats.org/officeDocument/2006/relationships/hyperlink" Target="https://doi.org/10.1007/s10258-022-00227-w" TargetMode="External"/><Relationship Id="rId37" Type="http://schemas.openxmlformats.org/officeDocument/2006/relationships/hyperlink" Target="https://doi.org/10.1177/0972150920957274" TargetMode="External"/><Relationship Id="rId40" Type="http://schemas.openxmlformats.org/officeDocument/2006/relationships/hyperlink" Target="https://doi.org/10.1002/ijfe.2484" TargetMode="External"/><Relationship Id="rId45" Type="http://schemas.openxmlformats.org/officeDocument/2006/relationships/image" Target="media/image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ncbi.nlm.nih.gov/pmc/articles/PMC9167991/" TargetMode="External"/><Relationship Id="rId19" Type="http://schemas.openxmlformats.org/officeDocument/2006/relationships/hyperlink" Target="https://doi.org/10.1016/j.frl.2020.101748" TargetMode="External"/><Relationship Id="rId31" Type="http://schemas.openxmlformats.org/officeDocument/2006/relationships/hyperlink" Target="https://doi.org/10.1007/s10258-022-00227-w" TargetMode="External"/><Relationship Id="rId44" Type="http://schemas.openxmlformats.org/officeDocument/2006/relationships/image" Target="media/image8.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ncbi.nlm.nih.gov/pmc/articles/PMC9167991/" TargetMode="External"/><Relationship Id="rId14" Type="http://schemas.openxmlformats.org/officeDocument/2006/relationships/image" Target="media/image4.png"/><Relationship Id="rId22" Type="http://schemas.openxmlformats.org/officeDocument/2006/relationships/hyperlink" Target="https://doi.org/10.3386/w26866" TargetMode="External"/><Relationship Id="rId27" Type="http://schemas.openxmlformats.org/officeDocument/2006/relationships/hyperlink" Target="https://www.who.int/health-topics/coronavirus" TargetMode="External"/><Relationship Id="rId30" Type="http://schemas.openxmlformats.org/officeDocument/2006/relationships/hyperlink" Target="https://doi.org/10.1016/j.frl.2020.101578" TargetMode="External"/><Relationship Id="rId35" Type="http://schemas.openxmlformats.org/officeDocument/2006/relationships/hyperlink" Target="https://doi.org/10.3390/ijerph17082800" TargetMode="External"/><Relationship Id="rId43" Type="http://schemas.openxmlformats.org/officeDocument/2006/relationships/image" Target="media/image7.png"/><Relationship Id="rId48" Type="http://schemas.openxmlformats.org/officeDocument/2006/relationships/image" Target="media/image12.png"/><Relationship Id="rId8" Type="http://schemas.openxmlformats.org/officeDocument/2006/relationships/hyperlink" Target="https://www.ncbi.nlm.nih.gov/pmc/articles/PMC9167991/"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doi.org/10.1016/j.frl.2021.102639" TargetMode="External"/><Relationship Id="rId25" Type="http://schemas.openxmlformats.org/officeDocument/2006/relationships/hyperlink" Target="https://www.who.int/publications-detail-redirect/who-2019-ncov-adjusting-ph-measures-2023.1" TargetMode="External"/><Relationship Id="rId33" Type="http://schemas.openxmlformats.org/officeDocument/2006/relationships/hyperlink" Target="https://doi.org/10.1371/journal.pone.0239113" TargetMode="External"/><Relationship Id="rId38" Type="http://schemas.openxmlformats.org/officeDocument/2006/relationships/hyperlink" Target="https://doi.org/10.1177/0972150920957274" TargetMode="External"/><Relationship Id="rId46" Type="http://schemas.openxmlformats.org/officeDocument/2006/relationships/image" Target="media/image10.png"/><Relationship Id="rId20" Type="http://schemas.openxmlformats.org/officeDocument/2006/relationships/hyperlink" Target="https://doi.org/10.3386/w26945" TargetMode="External"/><Relationship Id="rId41" Type="http://schemas.openxmlformats.org/officeDocument/2006/relationships/hyperlink" Target="https://doi.org/10.1002/ijfe.2484"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i.org/10.3386/w26866" TargetMode="External"/><Relationship Id="rId28" Type="http://schemas.openxmlformats.org/officeDocument/2006/relationships/hyperlink" Target="https://en.wikipedia.org/w/index.php?title=Global_Industry_Classification_Standard&amp;oldid=1165218317" TargetMode="External"/><Relationship Id="rId36" Type="http://schemas.openxmlformats.org/officeDocument/2006/relationships/hyperlink" Target="https://doi.org/10.3390/ijerph17082800" TargetMode="External"/><Relationship Id="rId49" Type="http://schemas.openxmlformats.org/officeDocument/2006/relationships/image" Target="media/image13.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D719F-028F-424B-8119-9DCBAAFE2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TotalTime>
  <Pages>22</Pages>
  <Words>5257</Words>
  <Characters>29967</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avi rajbhandari</dc:creator>
  <cp:lastModifiedBy>avi rajbhandari</cp:lastModifiedBy>
  <cp:revision>39</cp:revision>
  <dcterms:created xsi:type="dcterms:W3CDTF">2023-09-08T16:50:00Z</dcterms:created>
  <dcterms:modified xsi:type="dcterms:W3CDTF">2023-10-03T23:41:00Z</dcterms:modified>
</cp:coreProperties>
</file>