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C89A2E"/>
          <w:sz w:val="56"/>
          <w:szCs w:val="56"/>
        </w:rPr>
        <w:t xml:space="preserve">Zillit</w:t>
      </w:r>
    </w:p>
    <w:p>
      <w:pPr>
        <w:spacing w:after="80" w:before="0"/>
      </w:pPr>
      <w:r>
        <w:rPr>
          <w:rFonts w:ascii="Arial" w:cs="Arial" w:eastAsia="Arial" w:hAnsi="Arial"/>
          <w:b/>
          <w:bCs/>
          <w:color w:val="070810"/>
          <w:sz w:val="40"/>
          <w:szCs w:val="40"/>
        </w:rPr>
        <w:t xml:space="preserve">Global Production Rates Bible</w:t>
      </w:r>
    </w:p>
    <w:p>
      <w:pPr>
        <w:pBdr>
          <w:bottom w:val="single" w:color="C89A2E" w:sz="8" w:space="1"/>
        </w:pBdr>
        <w:spacing w:after="320" w:before="0"/>
      </w:pPr>
      <w:r>
        <w:rPr>
          <w:rFonts w:ascii="Arial" w:cs="Arial" w:eastAsia="Arial" w:hAnsi="Arial"/>
          <w:color w:val="464D68"/>
          <w:sz w:val="26"/>
          <w:szCs w:val="26"/>
        </w:rPr>
        <w:t xml:space="preserve">Developer Walkthrough — Video Narration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tcPr>
          <w:p>
            <w:r>
              <w:rPr>
                <w:rFonts w:ascii="Arial" w:cs="Arial" w:eastAsia="Arial" w:hAnsi="Arial"/>
                <w:b/>
                <w:bCs/>
                <w:color w:val="464D68"/>
                <w:sz w:val="20"/>
                <w:szCs w:val="20"/>
              </w:rPr>
              <w:t xml:space="preserve">Module</w:t>
            </w:r>
          </w:p>
        </w:tc>
        <w:tc>
          <w:tcPr>
            <w:tcW w:type="dxa" w:w="7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070810"/>
                <w:sz w:val="20"/>
                <w:szCs w:val="20"/>
              </w:rPr>
              <w:t xml:space="preserve">Global Production Rates Bible (Platform-level)</w:t>
            </w:r>
          </w:p>
        </w:tc>
      </w:tr>
      <w:tr>
        <w:tc>
          <w:tcPr>
            <w:tcW w:type="dxa" w:w="200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tcPr>
          <w:p>
            <w:r>
              <w:rPr>
                <w:rFonts w:ascii="Arial" w:cs="Arial" w:eastAsia="Arial" w:hAnsi="Arial"/>
                <w:b/>
                <w:bCs/>
                <w:color w:val="464D68"/>
                <w:sz w:val="20"/>
                <w:szCs w:val="20"/>
              </w:rPr>
              <w:t xml:space="preserve">Prototype file</w:t>
            </w:r>
          </w:p>
        </w:tc>
        <w:tc>
          <w:tcPr>
            <w:tcW w:type="dxa" w:w="7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070810"/>
                <w:sz w:val="20"/>
                <w:szCs w:val="20"/>
              </w:rPr>
              <w:t xml:space="preserve">zillit-global-rates-bible-v10.html</w:t>
            </w:r>
          </w:p>
        </w:tc>
      </w:tr>
      <w:tr>
        <w:tc>
          <w:tcPr>
            <w:tcW w:type="dxa" w:w="200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tcPr>
          <w:p>
            <w:r>
              <w:rPr>
                <w:rFonts w:ascii="Arial" w:cs="Arial" w:eastAsia="Arial" w:hAnsi="Arial"/>
                <w:b/>
                <w:bCs/>
                <w:color w:val="464D68"/>
                <w:sz w:val="20"/>
                <w:szCs w:val="20"/>
              </w:rPr>
              <w:t xml:space="preserve">Video runtime</w:t>
            </w:r>
          </w:p>
        </w:tc>
        <w:tc>
          <w:tcPr>
            <w:tcW w:type="dxa" w:w="7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070810"/>
                <w:sz w:val="20"/>
                <w:szCs w:val="20"/>
              </w:rPr>
              <w:t xml:space="preserve">Approx. 14–18 minutes</w:t>
            </w:r>
          </w:p>
        </w:tc>
      </w:tr>
      <w:tr>
        <w:tc>
          <w:tcPr>
            <w:tcW w:type="dxa" w:w="200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tcPr>
          <w:p>
            <w:r>
              <w:rPr>
                <w:rFonts w:ascii="Arial" w:cs="Arial" w:eastAsia="Arial" w:hAnsi="Arial"/>
                <w:b/>
                <w:bCs/>
                <w:color w:val="464D68"/>
                <w:sz w:val="20"/>
                <w:szCs w:val="20"/>
              </w:rPr>
              <w:t xml:space="preserve">Audience</w:t>
            </w:r>
          </w:p>
        </w:tc>
        <w:tc>
          <w:tcPr>
            <w:tcW w:type="dxa" w:w="7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070810"/>
                <w:sz w:val="20"/>
                <w:szCs w:val="20"/>
              </w:rPr>
              <w:t xml:space="preserve">React/TypeScript developers — assuming Zillit Coda familiarity</w:t>
            </w:r>
          </w:p>
        </w:tc>
      </w:tr>
      <w:tr>
        <w:tc>
          <w:tcPr>
            <w:tcW w:type="dxa" w:w="200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tcPr>
          <w:p>
            <w:r>
              <w:rPr>
                <w:rFonts w:ascii="Arial" w:cs="Arial" w:eastAsia="Arial" w:hAnsi="Arial"/>
                <w:b/>
                <w:bCs/>
                <w:color w:val="464D68"/>
                <w:sz w:val="20"/>
                <w:szCs w:val="20"/>
              </w:rPr>
              <w:t xml:space="preserve">Date</w:t>
            </w:r>
          </w:p>
        </w:tc>
        <w:tc>
          <w:tcPr>
            <w:tcW w:type="dxa" w:w="7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070810"/>
                <w:sz w:val="20"/>
                <w:szCs w:val="20"/>
              </w:rPr>
              <w:t xml:space="preserve">April 2026</w:t>
            </w:r>
          </w:p>
        </w:tc>
      </w:tr>
      <w:tr>
        <w:tc>
          <w:tcPr>
            <w:tcW w:type="dxa" w:w="200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tcPr>
          <w:p>
            <w:r>
              <w:rPr>
                <w:rFonts w:ascii="Arial" w:cs="Arial" w:eastAsia="Arial" w:hAnsi="Arial"/>
                <w:b/>
                <w:bCs/>
                <w:color w:val="464D68"/>
                <w:sz w:val="20"/>
                <w:szCs w:val="20"/>
              </w:rPr>
              <w:t xml:space="preserve">Recorded by</w:t>
            </w:r>
          </w:p>
        </w:tc>
        <w:tc>
          <w:tcPr>
            <w:tcW w:type="dxa" w:w="736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color w:val="070810"/>
                <w:sz w:val="20"/>
                <w:szCs w:val="20"/>
              </w:rPr>
              <w:t xml:space="preserve">Kate</w:t>
            </w:r>
          </w:p>
        </w:tc>
      </w:tr>
    </w:tbl>
    <w:p>
      <w:pPr>
        <w:spacing w:after="80" w:before="240"/>
      </w:pPr>
    </w:p>
    <w:p>
      <w:pPr>
        <w:pStyle w:val="Heading2"/>
        <w:spacing w:after="80" w:before="280"/>
      </w:pPr>
      <w:r>
        <w:rPr>
          <w:rFonts w:ascii="Arial" w:cs="Arial" w:eastAsia="Arial" w:hAnsi="Arial"/>
          <w:b/>
          <w:bCs/>
          <w:color w:val="070810"/>
          <w:sz w:val="26"/>
          <w:szCs w:val="26"/>
        </w:rPr>
        <w:t xml:space="preserve">Recording overview</w:t>
      </w:r>
    </w:p>
    <w:p>
      <w:pPr>
        <w:spacing w:after="60" w:before="60"/>
      </w:pPr>
      <w:r>
        <w:rPr>
          <w:rFonts w:ascii="Arial" w:cs="Arial" w:eastAsia="Arial" w:hAnsi="Arial"/>
          <w:sz w:val="22"/>
          <w:szCs w:val="22"/>
        </w:rPr>
        <w:t xml:space="preserve">This script covers the complete Global Production Rates Bible handoff. Record in one take if possible — the flow is designed to move naturally from product overview through architecture to practical setup.</w:t>
      </w:r>
    </w:p>
    <w:p>
      <w:pPr>
        <w:spacing w:after="60" w:before="60"/>
      </w:pPr>
      <w:r>
        <w:rPr>
          <w:rFonts w:ascii="Arial" w:cs="Arial" w:eastAsia="Arial" w:hAnsi="Arial"/>
          <w:sz w:val="22"/>
          <w:szCs w:val="22"/>
        </w:rPr>
        <w:t xml:space="preserve">Screen: share the prototype HTML at full screen throughout. Open browser DevTools only for the section marked below.</w:t>
      </w:r>
    </w:p>
    <w:p>
      <w:pPr>
        <w:pBdr>
          <w:bottom w:val="single" w:color="E5E7EB" w:sz="4" w:space="1"/>
        </w:pBdr>
        <w:spacing w:after="120" w:before="120"/>
      </w:pPr>
    </w:p>
    <w:p>
      <w:pPr>
        <w:pStyle w:val="Heading2"/>
        <w:spacing w:after="80" w:before="280"/>
      </w:pPr>
      <w:r>
        <w:rPr>
          <w:rFonts w:ascii="Arial" w:cs="Arial" w:eastAsia="Arial" w:hAnsi="Arial"/>
          <w:b/>
          <w:bCs/>
          <w:color w:val="070810"/>
          <w:sz w:val="26"/>
          <w:szCs w:val="26"/>
        </w:rPr>
        <w:t xml:space="preserve">Before you record — checklist</w:t>
      </w:r>
    </w:p>
    <w:p>
      <w:pPr>
        <w:pStyle w:val="ListParagraph"/>
        <w:numPr>
          <w:ilvl w:val="0"/>
          <w:numId w:val="2"/>
        </w:numPr>
        <w:spacing w:after="40" w:before="40"/>
      </w:pPr>
      <w:r>
        <w:rPr>
          <w:rFonts w:ascii="Arial" w:cs="Arial" w:eastAsia="Arial" w:hAnsi="Arial"/>
          <w:b w:val="false"/>
          <w:bCs w:val="false"/>
          <w:sz w:val="22"/>
          <w:szCs w:val="22"/>
        </w:rPr>
        <w:t xml:space="preserve">Open zillit-global-rates-bible-v10.html in Chrome at 100% zoom</w:t>
      </w:r>
    </w:p>
    <w:p>
      <w:pPr>
        <w:pStyle w:val="ListParagraph"/>
        <w:numPr>
          <w:ilvl w:val="0"/>
          <w:numId w:val="2"/>
        </w:numPr>
        <w:spacing w:after="40" w:before="40"/>
      </w:pPr>
      <w:r>
        <w:rPr>
          <w:rFonts w:ascii="Arial" w:cs="Arial" w:eastAsia="Arial" w:hAnsi="Arial"/>
          <w:b w:val="false"/>
          <w:bCs w:val="false"/>
          <w:sz w:val="22"/>
          <w:szCs w:val="22"/>
        </w:rPr>
        <w:t xml:space="preserve">Maximise the browser window — hide bookmarks bar</w:t>
      </w:r>
    </w:p>
    <w:p>
      <w:pPr>
        <w:pStyle w:val="ListParagraph"/>
        <w:numPr>
          <w:ilvl w:val="0"/>
          <w:numId w:val="2"/>
        </w:numPr>
        <w:spacing w:after="40" w:before="40"/>
      </w:pPr>
      <w:r>
        <w:rPr>
          <w:rFonts w:ascii="Arial" w:cs="Arial" w:eastAsia="Arial" w:hAnsi="Arial"/>
          <w:b w:val="false"/>
          <w:bCs w:val="false"/>
          <w:sz w:val="22"/>
          <w:szCs w:val="22"/>
        </w:rPr>
        <w:t xml:space="preserve">Close the AI panel (click "Ask AI" to toggle if needed)</w:t>
      </w:r>
    </w:p>
    <w:p>
      <w:pPr>
        <w:pStyle w:val="ListParagraph"/>
        <w:numPr>
          <w:ilvl w:val="0"/>
          <w:numId w:val="2"/>
        </w:numPr>
        <w:spacing w:after="40" w:before="40"/>
      </w:pPr>
      <w:r>
        <w:rPr>
          <w:rFonts w:ascii="Arial" w:cs="Arial" w:eastAsia="Arial" w:hAnsi="Arial"/>
          <w:b w:val="false"/>
          <w:bCs w:val="false"/>
          <w:sz w:val="22"/>
          <w:szCs w:val="22"/>
        </w:rPr>
        <w:t xml:space="preserve">Have the developer-brief.md open in a second window — minimised, ready to switch to</w:t>
      </w:r>
    </w:p>
    <w:p>
      <w:pPr>
        <w:pStyle w:val="ListParagraph"/>
        <w:numPr>
          <w:ilvl w:val="0"/>
          <w:numId w:val="2"/>
        </w:numPr>
        <w:spacing w:after="40" w:before="40"/>
      </w:pPr>
      <w:r>
        <w:rPr>
          <w:rFonts w:ascii="Arial" w:cs="Arial" w:eastAsia="Arial" w:hAnsi="Arial"/>
          <w:b w:val="false"/>
          <w:bCs w:val="false"/>
          <w:sz w:val="22"/>
          <w:szCs w:val="22"/>
        </w:rPr>
        <w:t xml:space="preserve">Have the terminal open with data-extract.js ready to demo</w:t>
      </w:r>
    </w:p>
    <w:p>
      <w:pPr>
        <w:pStyle w:val="ListParagraph"/>
        <w:numPr>
          <w:ilvl w:val="0"/>
          <w:numId w:val="2"/>
        </w:numPr>
        <w:spacing w:after="40" w:before="40"/>
      </w:pPr>
      <w:r>
        <w:rPr>
          <w:rFonts w:ascii="Arial" w:cs="Arial" w:eastAsia="Arial" w:hAnsi="Arial"/>
          <w:b w:val="false"/>
          <w:bCs w:val="false"/>
          <w:sz w:val="22"/>
          <w:szCs w:val="22"/>
        </w:rPr>
        <w:t xml:space="preserve">Check: does the sidebar show 34 territories and 57 confirmed?</w:t>
      </w:r>
    </w:p>
    <w:p>
      <w:pPr>
        <w:pBdr>
          <w:bottom w:val="single" w:color="E5E7EB" w:sz="4" w:space="1"/>
        </w:pBdr>
        <w:spacing w:after="120" w:before="120"/>
      </w:pPr>
    </w:p>
    <w:p>
      <w:pPr>
        <w:pStyle w:val="Heading2"/>
        <w:spacing w:after="80" w:before="280"/>
      </w:pPr>
      <w:r>
        <w:rPr>
          <w:rFonts w:ascii="Arial" w:cs="Arial" w:eastAsia="Arial" w:hAnsi="Arial"/>
          <w:b/>
          <w:bCs/>
          <w:color w:val="070810"/>
          <w:sz w:val="26"/>
          <w:szCs w:val="26"/>
        </w:rPr>
        <w:t xml:space="preserve">Narration script</w:t>
      </w:r>
    </w:p>
    <w:p>
      <w:pPr>
        <w:spacing w:after="120" w:before="40"/>
      </w:pPr>
      <w:r>
        <w:rPr>
          <w:rFonts w:ascii="Arial" w:cs="Arial" w:eastAsia="Arial" w:hAnsi="Arial"/>
          <w:i/>
          <w:iCs/>
          <w:color w:val="464D68"/>
          <w:sz w:val="18"/>
          <w:szCs w:val="18"/>
        </w:rPr>
        <w:t xml:space="preserve">Table columns: Timing | Section | Narration | Screen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5040"/>
        <w:gridCol w:w="2160"/>
      </w:tblGrid>
      <w:tr>
        <w:tc>
          <w:tcPr>
            <w:tcW w:type="dxa" w:w="1440"/>
            <w:tcBorders>
              <w:top w:val="single" w:color="E2E8F0" w:sz="1"/>
              <w:left w:val="single" w:color="E2E8F0" w:sz="1"/>
              <w:bottom w:val="single" w:color="E2E8F0" w:sz="1"/>
              <w:right w:val="single" w:color="E2E8F0" w:sz="1"/>
            </w:tcBorders>
            <w:shd w:fill="070810" w:val="clear"/>
            <w:tcMar>
              <w:top w:type="dxa" w:w="100"/>
              <w:left w:type="dxa" w:w="140"/>
              <w:bottom w:type="dxa" w:w="100"/>
              <w:right w:type="dxa" w:w="140"/>
            </w:tcMar>
          </w:tcPr>
          <w:p>
            <w:r>
              <w:rPr>
                <w:rFonts w:ascii="Arial" w:cs="Arial" w:eastAsia="Arial" w:hAnsi="Arial"/>
                <w:b/>
                <w:bCs/>
                <w:color w:val="EDEEF5"/>
                <w:sz w:val="18"/>
                <w:szCs w:val="18"/>
              </w:rPr>
              <w:t xml:space="preserve">Timing</w:t>
            </w:r>
          </w:p>
        </w:tc>
        <w:tc>
          <w:tcPr>
            <w:tcW w:type="dxa" w:w="2880"/>
            <w:tcBorders>
              <w:top w:val="single" w:color="E2E8F0" w:sz="1"/>
              <w:left w:val="single" w:color="E2E8F0" w:sz="1"/>
              <w:bottom w:val="single" w:color="E2E8F0" w:sz="1"/>
              <w:right w:val="single" w:color="E2E8F0" w:sz="1"/>
            </w:tcBorders>
            <w:shd w:fill="070810" w:val="clear"/>
            <w:tcMar>
              <w:top w:type="dxa" w:w="100"/>
              <w:left w:type="dxa" w:w="140"/>
              <w:bottom w:type="dxa" w:w="100"/>
              <w:right w:type="dxa" w:w="140"/>
            </w:tcMar>
          </w:tcPr>
          <w:p>
            <w:r>
              <w:rPr>
                <w:rFonts w:ascii="Arial" w:cs="Arial" w:eastAsia="Arial" w:hAnsi="Arial"/>
                <w:b/>
                <w:bCs/>
                <w:color w:val="EDEEF5"/>
                <w:sz w:val="18"/>
                <w:szCs w:val="18"/>
              </w:rPr>
              <w:t xml:space="preserve">Section</w:t>
            </w:r>
          </w:p>
        </w:tc>
        <w:tc>
          <w:tcPr>
            <w:tcW w:type="dxa" w:w="5040"/>
            <w:tcBorders>
              <w:top w:val="single" w:color="E2E8F0" w:sz="1"/>
              <w:left w:val="single" w:color="E2E8F0" w:sz="1"/>
              <w:bottom w:val="single" w:color="E2E8F0" w:sz="1"/>
              <w:right w:val="single" w:color="E2E8F0" w:sz="1"/>
            </w:tcBorders>
            <w:shd w:fill="070810" w:val="clear"/>
            <w:tcMar>
              <w:top w:type="dxa" w:w="100"/>
              <w:left w:type="dxa" w:w="140"/>
              <w:bottom w:type="dxa" w:w="100"/>
              <w:right w:type="dxa" w:w="140"/>
            </w:tcMar>
          </w:tcPr>
          <w:p>
            <w:r>
              <w:rPr>
                <w:rFonts w:ascii="Arial" w:cs="Arial" w:eastAsia="Arial" w:hAnsi="Arial"/>
                <w:b/>
                <w:bCs/>
                <w:color w:val="EDEEF5"/>
                <w:sz w:val="18"/>
                <w:szCs w:val="18"/>
              </w:rPr>
              <w:t xml:space="preserve">Narration (speak this)</w:t>
            </w:r>
          </w:p>
        </w:tc>
        <w:tc>
          <w:tcPr>
            <w:tcW w:type="dxa" w:w="2160"/>
            <w:tcBorders>
              <w:top w:val="single" w:color="E2E8F0" w:sz="1"/>
              <w:left w:val="single" w:color="E2E8F0" w:sz="1"/>
              <w:bottom w:val="single" w:color="E2E8F0" w:sz="1"/>
              <w:right w:val="single" w:color="E2E8F0" w:sz="1"/>
            </w:tcBorders>
            <w:shd w:fill="070810" w:val="clear"/>
            <w:tcMar>
              <w:top w:type="dxa" w:w="100"/>
              <w:left w:type="dxa" w:w="140"/>
              <w:bottom w:type="dxa" w:w="100"/>
              <w:right w:type="dxa" w:w="140"/>
            </w:tcMar>
          </w:tcPr>
          <w:p>
            <w:r>
              <w:rPr>
                <w:rFonts w:ascii="Arial" w:cs="Arial" w:eastAsia="Arial" w:hAnsi="Arial"/>
                <w:b/>
                <w:bCs/>
                <w:color w:val="EDEEF5"/>
                <w:sz w:val="18"/>
                <w:szCs w:val="18"/>
              </w:rPr>
              <w:t xml:space="preserve">Screen action</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0:00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Introduction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Hi — this is the walkthrough for the Zillit Global Production Rates Bible. This is a platform-level feature within Zillit Coda, so it lives outside of any individual production. It gives production accountants and line producers a single place to check union rates, working rules, and tax incentives across 34 territories without digging through PDFs.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Welcome screen visible</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0:25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Introduction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prototype you can see here is the standalone HTML file — fully self-contained, no server needed. Everything is in one file. That's what I'll be walking through today, and the React implementation closely mirrors what you see here.</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the browser — no server running</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0:45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Introduction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I'll cover the product in the first half, then switch to the developer files in the second half. The files you've received are the ones to implement — the HTML is the reference for design and interaction.</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Keep welcome screen</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1:00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Welcome screen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welcome screen is where a user lands. At the top we have a hero block with four stat counters: 34 territories, 57 confirmed agreements, 19 UK BECTU branches, and the total union sources. These populate from the BIBLE data array automatically.</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the stat tiles</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1:20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Welcome screen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Below that are eight quick-access pins for the most commonly used territories — UK, US, Canada, Germany, France, Australia, Ireland, New Zealand. One click gets you straight in. The number in green is confirmed agreements for that territory.</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Click the UK pin</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1:35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Welcome screen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how-to section is important for first-time users. It explains the four things you can do: check rates by budget tier, read working rules with compliance flags, search within a territory, and use the AI assistant. We'll come back to all of these.</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Scroll down to the how-to section</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1:55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Welcome screen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At the bottom is a region grid — all territories grouped by region. Clicking any card opens the first territory in that region.</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Scroll to region grid, hover over Europe</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2:10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Territory view — UK</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Let me open the UK. This is the richest territory — 19 BECTU branches, all confirmed, and all budget tiers for Film and TV Drama.</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Click UK from sidebar</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2:20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Territory view — UK</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At the top you've got the breadcrumb — Home, region, territory — and the flag, name, timezone. The badges show how many agreements are confirmed versus pending. The tabs are Rates, Rules, and Incentives.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header area</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2:35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Union picker</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Below the tabs is the union picker. Each pill is a BECTU branch or CBA. Clicking one filters down to just that agreement. The circle symbol marks agreements that are pending extraction — the source exists but rates haven't been pulled yet.</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Click Camera Branch pill</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2:55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Union picker</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So now I'm looking only at the Camera Branch rate card. Notice it says Labour Only at the top — that's a branch-specific rule. DOP is own negotiation at every budget. And holiday pay is NOT included in these rates — you need to add 12.07% on top.</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Camera Branch card</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3:20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Budget tiers</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This is the critical thing for budgeting — rates vary significantly by budget. The Camera Branch has MMP rates for films over thirty million, and TV Drama rates by band. Let me open Art Department so you can see the full tier structure.</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Click Art Dept pill</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3:40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Budget tiers</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Art Department has seven tiers across film and TV. Major Motion Picture at the top — that's over thirty million. Then Motion Picture at five to thirty. Feature Film at one to five. Low Budget below one million. On TV: Bands one through four by budget per broadcast hour. So a Supervising Art Director goes from around four hundred and thirty a day at the lowest tier up to seven hundred and seventy-nine at the top.</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Scroll through Art Dept rate table, point to section headers</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4:15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Content search</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content search bar filters rows within the current territory in real time. Let me type focus puller and see what comes back.</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Type "focus puller" in search bar</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4:30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Content search</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It narrows to just the rows containing that text. The result counter updates — you can see how many agreements matched. Clear it and everything comes back.</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Clear search, rates restore</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4:45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Sidebar search</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sidebar search filters the territory list. Press forward slash anywhere on the page to focus it — that's the keyboard shortcut. Typing here filters across territory names, regions, and union names within those territories.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Press /, type "SAG"</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5:00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Rules tab</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Let me clear the search and go to UK. The Rules tab is where the working rules, overtime triggers, and penalties live. This is separate from rates because rules apply across all grades.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Go to UK, click Rules tab</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5:15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Rules tab</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You'll see the rules are grouped by agreement — the MMP agreement, the TV Drama 2023 agreement, PACT/Equity, FAA Background Artistes, and then each branch. Rows in orange are the most common sources of unbudgeted cost. These are the ones that catch productions out.</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orange rows</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5:35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Rules tab</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TV Drama 2023 rules are a completely different beast from the film MMP agreement. Ten contracted hours versus eleven. Daily rate divided by ten for the hourly rate. Grace periods abolished. Camera overtime no longer a separate category. Early call at half time, not the full OT rate. These are genuinely significant differences that affect how timecards are calculated.</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Scroll to TV Drama rules section</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6:00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Rules tab</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I'd draw attention to the broken turnaround dispute row. BECTU disputes the TV Drama broken turnaround rate — it was changed unilaterally by PACT. Arbitration ruled in BECTU's favour in principle but without a remedy. That's flagged orange because it's still unresolved. Productions need to track this.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broken turnaround DISPUTE row</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6:25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Incentives tab</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Incentives tab has all production rebates and tax credits by territory. Let me switch to Greece as an example — they have a recently updated forty percent cash rebate.</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Navigate to Greece, click Incentives tab</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6:40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Incentives tab</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key detail here is the ATL eligibility note — above the line talent like the director and lead cast only qualify for the rebate if total Greek spend is over eight million euros and their invoices are under twenty percent of total. That's the kind of structural rule that needs to be in budget planning tools.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ATL eligibility row</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7:00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AI assistant</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AI assistant is in the top right — Ask AI button. It has the full rate data loaded as its system prompt. Every confirmed agreement, all working rules, all incentive rates.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Click Ask AI button</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7:15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AI assistant</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quick prompts give users a starting point. Let me ask it something practical — SAG meal penalty rates.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Click "SAG meal penalty rates?" quick prompt</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7:30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AI assistant</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It gives the specific amounts — twenty-five, thirty-five, fifty dollars per performer per thirty minute violation, with the six-hour trigger. That's deal-memo ready information.</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Wait for response, point to it</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7:50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AI assistant</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AI can also do OT calculations. Let me ask: what is the hourly rate for a UK Camera Operator on an MMP production at a weekly rate of three thousand two hundred pounds?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Type the question in AI input</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8:15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AI assistant</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It correctly divides by fifty-five — the MMP working week — and applies Camera OT at two times, capped at eighty-one eighty-two per hour. It also flags that holiday pay is not included in Camera Branch rates. That's the kind of calculation that currently happens in spreadsheets or from memory.</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response</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8:45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Developer files</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Now I'll switch to the developer side. Let me minimise the browser and open the developer brief.</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Switch to developer-brief.md in editor</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9:00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Architecture</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component tree is straightforward. GlobalRatesBible at the root. Sidebar always visible. WelcomeScreen or TerritoryView depending on whether a territory is selected. AIAssistantPanel slides in from the right. TerritoryView contains the union picker, content search, and the three tabs.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component tree in brief</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9:25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State management</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All UI state is in a single Zustand store. The key fields are: selectedId — null means welcome screen — activeTab, agrFilter for the union picker, contentQuery for the rate row search, sidebarQuery, aiOpen, and aiHistory. State resets on territory change: agrFilter back to all, contentQuery to empty.</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state table in brief</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9:50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Data extraction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data layer is important to understand. The HTML prototype contains the full BIBLE array as a JavaScript object. We ship a Node script — data-extract.js — that pulls it out and writes two TypeScript files.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Open terminal</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10:10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Data extraction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Let me demo this. Point the script at the HTML file and specify the output directory. It parses the BIBLE array, validates the structure, and outputs ratesData.ts at two hundred and fifty kilobytes and aiSystemPrompt.ts at one hundred and nineteen kilobytes.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Run: node data-extract.js zillit-global-rates-bible-v10.html --out ./src/data</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10:35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Data extraction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ratesData.ts exports the typed BIBLE array — import it directly in GlobalRatesBible and pass it down. aiSystemPrompt.ts exports a single large string containing all confirmed rates and rules in compressed form — feed this to Claude as the system prompt on every AI request.</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Show the output files</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11:00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Data extraction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This decoupling is intentional. When rates update — BECTU publishes a new rate card in April for example — you update the HTML prototype, re-run the extraction script, and the TypeScript files regenerate. No manual data entry in code.</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Close terminal</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11:20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React components</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React files follow the structure exactly. TerritoryView.tsx is the largest file — it contains the territory header, tab bar, UnionPicker, ContentSearch, RatesTab with AgreementCard, RulesTab, and IncentivesTab. They're all in one file for cohesion but can be split if needed.</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Open TerritoryView.tsx in editor</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11:45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React components</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AgreementCard handles three states: confirmed — shows the rate table with section headers in gold. Pending — dashed border, reduced opacity, shows a placeholder message. Broken — same as pending but with a red unavailable badge.</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AgreementCard section in file</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12:05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React components</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section headers inside rate tables — the gold divider rows — are handled by the isHd flag on RateRow. When isHd is true the row spans all three columns and renders in gold. This is how budget tiers are visually separated.</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RateTableRow in code</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12:25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Tailwind config</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tailwind config maps every CSS custom property from the HTML prototype to a Tailwind token. bg-bg, bg-bg-s, bg-bg-e, bg-bg-h for the four background levels. text-text-1, text-2, text-3 for the text hierarchy. text-gold for the accent. All border tokens. The font families use CSS variables set in layout.tsx via next/font.</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Open tailwind.config.ts</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12:50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AI integration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AI panel calls the Anthropic API directly in the prototype — that works in the claude.ai environment. For the deployed Next.js app, you need an API route at app/api/rates-chat/route.ts. The brief has the full pattern. The key is passing the AI_SYSTEM_PROMPT as the system field on every request — it doesn't change per conversation.</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Open AIAssistantPanel.tsx, point to the fetch call</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13:20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AI integration</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One important detail: the conversation history is trimmed to the last twelve messages to manage context window. The system prompt is already around eighty to a hundred K tokens compressed. Claude Sonnet four point five handles this without issue.</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trimAiHistory call</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13:45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Setup</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Setup is: npm install, run extract-data to generate the TypeScript files, then add the three Google fonts in layout.tsx — Syne, DM Sans, DM Mono — using next/font. The tailwind config references those as CSS variables.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Open package.json, point to extract-data script</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14:05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Setup</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Route it at app/rates-bible/page.tsx. It's a platform route so it should live outside any production context. Deep linking is supported — territory and tab can be in query params if you want shareable URLs.</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Show the page.tsx stub in brief</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14:25</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Data updates</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rates in the prototype are current as of April 2026. The brief has a table of which sources to monitor and how frequently. UK branches update mostly in April. SAG-AFTRA and DGA update in July. The BCCFU Canada deal runs until twenty twenty-eight — rates increase each April. Ontario IATSE 873 is a four year deal, same pattern.</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Point to data update table in brief</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14:50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Data updates</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The update process is: edit the rows array in the HTML prototype for the affected agreement, update the eff and effectiveTo fields, re-run the extract script. The data flows through automatically. We deliberately keep the prototype as the single source of truth for the data rather than editing TypeScript files directly.</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Keep brief visible</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15:10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Wrap up</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That covers everything. The files delivered are: the standalone HTML, the twelve React and TypeScript files, the generated data files, and this developer brief. The brief has everything we've covered plus more detail on the data model, design tokens, and Zillit Coda integration notes for future deal memo work.</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Switch back to browser, show welcome screen</w:t>
            </w:r>
          </w:p>
        </w:tc>
      </w:tr>
      <w:tr>
        <w:tc>
          <w:tcPr>
            <w:tcW w:type="dxa" w:w="144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vAlign w:val="center"/>
          </w:tcPr>
          <w:p>
            <w:pPr>
              <w:jc w:val="center"/>
            </w:pPr>
            <w:r>
              <w:rPr>
                <w:rFonts w:ascii="Arial" w:cs="Arial" w:eastAsia="Arial" w:hAnsi="Arial"/>
                <w:b/>
                <w:bCs/>
                <w:color w:val="464D68"/>
                <w:sz w:val="18"/>
                <w:szCs w:val="18"/>
              </w:rPr>
              <w:t xml:space="preserve">15:30</w:t>
            </w:r>
          </w:p>
        </w:tc>
        <w:tc>
          <w:tcPr>
            <w:tcW w:type="dxa" w:w="2880"/>
            <w:tcBorders>
              <w:top w:val="single" w:color="E2E8F0" w:sz="1"/>
              <w:left w:val="single" w:color="E2E8F0" w:sz="1"/>
              <w:bottom w:val="single" w:color="E2E8F0" w:sz="1"/>
              <w:right w:val="single" w:color="E2E8F0" w:sz="1"/>
            </w:tcBorders>
            <w:shd w:fill="F3F4F6" w:val="clear"/>
            <w:tcMar>
              <w:top w:type="dxa" w:w="100"/>
              <w:left w:type="dxa" w:w="140"/>
              <w:bottom w:type="dxa" w:w="100"/>
              <w:right w:type="dxa" w:w="140"/>
            </w:tcMar>
            <w:vAlign w:val="center"/>
          </w:tcPr>
          <w:p>
            <w:r>
              <w:rPr>
                <w:rFonts w:ascii="Arial" w:cs="Arial" w:eastAsia="Arial" w:hAnsi="Arial"/>
                <w:b/>
                <w:bCs/>
                <w:color w:val="070810"/>
                <w:sz w:val="20"/>
                <w:szCs w:val="20"/>
              </w:rPr>
              <w:t xml:space="preserve">Wrap up</w:t>
            </w:r>
          </w:p>
        </w:tc>
        <w:tc>
          <w:tcPr>
            <w:tcW w:type="dxa" w:w="5040"/>
            <w:tcBorders>
              <w:top w:val="single" w:color="E2E8F0" w:sz="1"/>
              <w:left w:val="single" w:color="E2E8F0" w:sz="1"/>
              <w:bottom w:val="single" w:color="E2E8F0" w:sz="1"/>
              <w:right w:val="single" w:color="E2E8F0" w:sz="1"/>
            </w:tcBorders>
            <w:tcMar>
              <w:top w:type="dxa" w:w="100"/>
              <w:left w:type="dxa" w:w="140"/>
              <w:bottom w:type="dxa" w:w="100"/>
              <w:right w:type="dxa" w:w="140"/>
            </w:tcMar>
          </w:tcPr>
          <w:p>
            <w:r>
              <w:rPr>
                <w:rFonts w:ascii="Arial" w:cs="Arial" w:eastAsia="Arial" w:hAnsi="Arial"/>
                <w:i/>
                <w:iCs/>
                <w:color w:val="374151"/>
                <w:sz w:val="20"/>
                <w:szCs w:val="20"/>
              </w:rPr>
              <w:t xml:space="preserve">Any questions come to me directly. The most common thing that catches people out is the holiday pay treatment on UK Camera and ADs — the rates on the card do not include it, add twelve point oh seven percent. Everything else is as documented. Good luck.</w:t>
            </w:r>
          </w:p>
        </w:tc>
        <w:tc>
          <w:tcPr>
            <w:tcW w:type="dxa" w:w="216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r>
              <w:rPr>
                <w:rFonts w:ascii="Arial" w:cs="Arial" w:eastAsia="Arial" w:hAnsi="Arial"/>
                <w:color w:val="92400E"/>
                <w:sz w:val="18"/>
                <w:szCs w:val="18"/>
              </w:rPr>
              <w:t xml:space="preserve">End on welcome screen</w:t>
            </w:r>
          </w:p>
        </w:tc>
      </w:tr>
    </w:tbl>
    <w:p>
      <w:pPr>
        <w:pBdr>
          <w:bottom w:val="single" w:color="C89A2E" w:sz="6" w:space="1"/>
        </w:pBdr>
        <w:spacing w:after="160" w:before="80"/>
      </w:pPr>
    </w:p>
    <w:p>
      <w:pPr>
        <w:pStyle w:val="Heading2"/>
        <w:spacing w:after="80" w:before="280"/>
      </w:pPr>
      <w:r>
        <w:rPr>
          <w:rFonts w:ascii="Arial" w:cs="Arial" w:eastAsia="Arial" w:hAnsi="Arial"/>
          <w:b/>
          <w:bCs/>
          <w:color w:val="070810"/>
          <w:sz w:val="26"/>
          <w:szCs w:val="26"/>
        </w:rPr>
        <w:t xml:space="preserve">General speaking notes</w:t>
      </w:r>
    </w:p>
    <w:p>
      <w:pPr>
        <w:pStyle w:val="ListParagraph"/>
        <w:numPr>
          <w:ilvl w:val="0"/>
          <w:numId w:val="2"/>
        </w:numPr>
        <w:spacing w:after="40" w:before="40"/>
      </w:pPr>
      <w:r>
        <w:rPr>
          <w:rFonts w:ascii="Arial" w:cs="Arial" w:eastAsia="Arial" w:hAnsi="Arial"/>
          <w:b w:val="false"/>
          <w:bCs w:val="false"/>
          <w:sz w:val="22"/>
          <w:szCs w:val="22"/>
        </w:rPr>
        <w:t xml:space="preserve">Speak slowly when reading rate figures — these are numbers developers will pause and re-read</w:t>
      </w:r>
    </w:p>
    <w:p>
      <w:pPr>
        <w:pStyle w:val="ListParagraph"/>
        <w:numPr>
          <w:ilvl w:val="0"/>
          <w:numId w:val="2"/>
        </w:numPr>
        <w:spacing w:after="40" w:before="40"/>
      </w:pPr>
      <w:r>
        <w:rPr>
          <w:rFonts w:ascii="Arial" w:cs="Arial" w:eastAsia="Arial" w:hAnsi="Arial"/>
          <w:b w:val="false"/>
          <w:bCs w:val="false"/>
          <w:sz w:val="22"/>
          <w:szCs w:val="22"/>
        </w:rPr>
        <w:t xml:space="preserve">Emphasise the word "confirmed" versus "pending" — this distinction matters for reliability</w:t>
      </w:r>
    </w:p>
    <w:p>
      <w:pPr>
        <w:pStyle w:val="ListParagraph"/>
        <w:numPr>
          <w:ilvl w:val="0"/>
          <w:numId w:val="2"/>
        </w:numPr>
        <w:spacing w:after="40" w:before="40"/>
      </w:pPr>
      <w:r>
        <w:rPr>
          <w:rFonts w:ascii="Arial" w:cs="Arial" w:eastAsia="Arial" w:hAnsi="Arial"/>
          <w:b w:val="false"/>
          <w:bCs w:val="false"/>
          <w:sz w:val="22"/>
          <w:szCs w:val="22"/>
        </w:rPr>
        <w:t xml:space="preserve">For UK rules, say "MMP" not "Major Motion Picture" each time — the abbreviation is how the industry uses it</w:t>
      </w:r>
    </w:p>
    <w:p>
      <w:pPr>
        <w:pStyle w:val="ListParagraph"/>
        <w:numPr>
          <w:ilvl w:val="0"/>
          <w:numId w:val="2"/>
        </w:numPr>
        <w:spacing w:after="40" w:before="40"/>
      </w:pPr>
      <w:r>
        <w:rPr>
          <w:rFonts w:ascii="Arial" w:cs="Arial" w:eastAsia="Arial" w:hAnsi="Arial"/>
          <w:b w:val="false"/>
          <w:bCs w:val="false"/>
          <w:sz w:val="22"/>
          <w:szCs w:val="22"/>
        </w:rPr>
        <w:t xml:space="preserve">When demoing the AI, wait the full response before continuing — do not talk over it loading</w:t>
      </w:r>
    </w:p>
    <w:p>
      <w:pPr>
        <w:pStyle w:val="ListParagraph"/>
        <w:numPr>
          <w:ilvl w:val="0"/>
          <w:numId w:val="2"/>
        </w:numPr>
        <w:spacing w:after="40" w:before="40"/>
      </w:pPr>
      <w:r>
        <w:rPr>
          <w:rFonts w:ascii="Arial" w:cs="Arial" w:eastAsia="Arial" w:hAnsi="Arial"/>
          <w:b w:val="false"/>
          <w:bCs w:val="false"/>
          <w:sz w:val="22"/>
          <w:szCs w:val="22"/>
        </w:rPr>
        <w:t xml:space="preserve">If you make a mistake, pause three seconds and restart the sentence — easier to edit out</w:t>
      </w:r>
    </w:p>
    <w:p>
      <w:pPr>
        <w:pBdr>
          <w:bottom w:val="single" w:color="E5E7EB" w:sz="4" w:space="1"/>
        </w:pBdr>
        <w:spacing w:after="120" w:before="120"/>
      </w:pPr>
    </w:p>
    <w:p>
      <w:pPr>
        <w:pStyle w:val="Heading2"/>
        <w:spacing w:after="80" w:before="280"/>
      </w:pPr>
      <w:r>
        <w:rPr>
          <w:rFonts w:ascii="Arial" w:cs="Arial" w:eastAsia="Arial" w:hAnsi="Arial"/>
          <w:b/>
          <w:bCs/>
          <w:color w:val="070810"/>
          <w:sz w:val="26"/>
          <w:szCs w:val="26"/>
        </w:rPr>
        <w:t xml:space="preserve">Post-production notes</w:t>
      </w:r>
    </w:p>
    <w:p>
      <w:pPr>
        <w:pStyle w:val="ListParagraph"/>
        <w:numPr>
          <w:ilvl w:val="0"/>
          <w:numId w:val="2"/>
        </w:numPr>
        <w:spacing w:after="40" w:before="40"/>
      </w:pPr>
      <w:r>
        <w:rPr>
          <w:rFonts w:ascii="Arial" w:cs="Arial" w:eastAsia="Arial" w:hAnsi="Arial"/>
          <w:b w:val="false"/>
          <w:bCs w:val="false"/>
          <w:sz w:val="22"/>
          <w:szCs w:val="22"/>
        </w:rPr>
        <w:t xml:space="preserve">Trim the pause at 10:10 while the extraction script runs — keep just the start and end</w:t>
      </w:r>
    </w:p>
    <w:p>
      <w:pPr>
        <w:pStyle w:val="ListParagraph"/>
        <w:numPr>
          <w:ilvl w:val="0"/>
          <w:numId w:val="2"/>
        </w:numPr>
        <w:spacing w:after="40" w:before="40"/>
      </w:pPr>
      <w:r>
        <w:rPr>
          <w:rFonts w:ascii="Arial" w:cs="Arial" w:eastAsia="Arial" w:hAnsi="Arial"/>
          <w:b w:val="false"/>
          <w:bCs w:val="false"/>
          <w:sz w:val="22"/>
          <w:szCs w:val="22"/>
        </w:rPr>
        <w:t xml:space="preserve">Add chapter markers at: 0:00 Intro, 1:00 Welcome, 2:10 Territory view, 5:00 Rules, 7:00 AI assistant, 8:45 Developer files, 10:00 Data extraction, 11:20 Components, 12:50 AI integration, 14:25 Data updates</w:t>
      </w:r>
    </w:p>
    <w:p>
      <w:pPr>
        <w:pStyle w:val="ListParagraph"/>
        <w:numPr>
          <w:ilvl w:val="0"/>
          <w:numId w:val="2"/>
        </w:numPr>
        <w:spacing w:after="40" w:before="40"/>
      </w:pPr>
      <w:r>
        <w:rPr>
          <w:rFonts w:ascii="Arial" w:cs="Arial" w:eastAsia="Arial" w:hAnsi="Arial"/>
          <w:b w:val="false"/>
          <w:bCs w:val="false"/>
          <w:sz w:val="22"/>
          <w:szCs w:val="22"/>
        </w:rPr>
        <w:t xml:space="preserve">No background music — this is a technical handoff recording</w:t>
      </w:r>
    </w:p>
    <w:p>
      <w:pPr>
        <w:pStyle w:val="ListParagraph"/>
        <w:numPr>
          <w:ilvl w:val="0"/>
          <w:numId w:val="2"/>
        </w:numPr>
        <w:spacing w:after="40" w:before="40"/>
      </w:pPr>
      <w:r>
        <w:rPr>
          <w:rFonts w:ascii="Arial" w:cs="Arial" w:eastAsia="Arial" w:hAnsi="Arial"/>
          <w:b w:val="false"/>
          <w:bCs w:val="false"/>
          <w:sz w:val="22"/>
          <w:szCs w:val="22"/>
        </w:rPr>
        <w:t xml:space="preserve">Add captions if sharing externally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sz w:val="32"/>
      <w:szCs w:val="32"/>
    </w:rPr>
  </w:style>
  <w:style w:type="paragraph" w:styleId="Heading2">
    <w:name w:val="Heading 2"/>
    <w:basedOn w:val="Normal"/>
    <w:next w:val="Normal"/>
    <w:qFormat/>
    <w:pPr>
      <w:spacing w:after="80" w:before="280"/>
      <w:outlineLvl w:val="1"/>
    </w:pPr>
    <w:rPr>
      <w:rFonts w:ascii="Arial" w:cs="Arial" w:eastAsia="Arial" w:hAnsi="Arial"/>
      <w:b/>
      <w:bCs/>
      <w:sz w:val="26"/>
      <w:szCs w:val="26"/>
    </w:rPr>
  </w:style>
  <w:style w:type="paragraph" w:styleId="Heading3">
    <w:name w:val="Heading 3"/>
    <w:basedOn w:val="Normal"/>
    <w:next w:val="Normal"/>
    <w:qFormat/>
    <w:pPr>
      <w:spacing w:after="6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2026-04-03T09:02:16.839Z</dcterms:created>
  <dcterms:modified xsi:type="dcterms:W3CDTF">2026-04-03T09:02:16.840Z</dcterms:modified>
</cp:coreProperties>
</file>

<file path=docProps/custom.xml><?xml version="1.0" encoding="utf-8"?>
<Properties xmlns="http://schemas.openxmlformats.org/officeDocument/2006/custom-properties" xmlns:vt="http://schemas.openxmlformats.org/officeDocument/2006/docPropsVTypes"/>
</file>