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Datasets Description — SIH Freight Forecasting &amp; Chartering Platform</w:t>
      </w:r>
    </w:p>
    <w:p>
      <w:pPr>
        <w:pStyle w:val="Normal"/>
        <w:rPr/>
      </w:pPr>
      <w:r>
        <w:rPr/>
        <w:t>Generated on: 2026-09-06 19:57</w:t>
      </w:r>
    </w:p>
    <w:p>
      <w:pPr>
        <w:pStyle w:val="Normal"/>
        <w:rPr/>
      </w:pPr>
      <w:r>
        <w:rPr/>
        <w:t>Date range for all non-static datasets: 2011-09-06 to 2026-09-06 (daily). All dates in YYYY-MM-DD format.</w:t>
      </w:r>
    </w:p>
    <w:p>
      <w:pPr>
        <w:pStyle w:val="Heading1"/>
        <w:rPr/>
      </w:pPr>
      <w:r>
        <w:rPr/>
        <w:t>1) dataset_1_freight_bdi_daily.csv</w:t>
      </w:r>
    </w:p>
    <w:p>
      <w:pPr>
        <w:pStyle w:val="Normal"/>
        <w:rPr/>
      </w:pPr>
      <w:r>
        <w:rPr/>
        <w:t>Purpose: Primary dry-bulk freight benchmark (Baltic Dry Index) used as the main forecasting target and market momentum feature.</w:t>
      </w:r>
    </w:p>
    <w:p>
      <w:pPr>
        <w:pStyle w:val="Normal"/>
        <w:rPr/>
      </w:pPr>
      <w:r>
        <w:rPr/>
        <w:t>Frequency: Daily</w:t>
      </w:r>
    </w:p>
    <w:p>
      <w:pPr>
        <w:pStyle w:val="Normal"/>
        <w:rPr/>
      </w:pPr>
      <w:r>
        <w:rPr/>
        <w:t>Typical columns: Date, Close (BDI score). Source: Investing.com (downloaded).</w:t>
      </w:r>
    </w:p>
    <w:p>
      <w:pPr>
        <w:pStyle w:val="Normal"/>
        <w:rPr/>
      </w:pPr>
      <w:r>
        <w:rPr/>
        <w:t>Usage: Target variables (t+15/30/90), trend/volatility features, regime detection.</w:t>
      </w:r>
    </w:p>
    <w:p>
      <w:pPr>
        <w:pStyle w:val="Heading1"/>
        <w:rPr/>
      </w:pPr>
      <w:r>
        <w:rPr/>
        <w:t>2) dataset_1_freight_vessel_proxies.csv</w:t>
      </w:r>
    </w:p>
    <w:p>
      <w:pPr>
        <w:pStyle w:val="Normal"/>
        <w:rPr/>
      </w:pPr>
      <w:r>
        <w:rPr/>
        <w:t>Purpose: Sub-index proxies for vessel classes (Capesize/Panamax/Supramax) when official Baltic sub-indices are unavailable.</w:t>
      </w:r>
    </w:p>
    <w:p>
      <w:pPr>
        <w:pStyle w:val="Normal"/>
        <w:rPr/>
      </w:pPr>
      <w:r>
        <w:rPr/>
        <w:t>Frequency: Daily</w:t>
      </w:r>
    </w:p>
    <w:p>
      <w:pPr>
        <w:pStyle w:val="Normal"/>
        <w:rPr/>
      </w:pPr>
      <w:r>
        <w:rPr/>
        <w:t>Typical columns: Date, Capesize_Proxy, Panamax_Proxy, Supramax_Proxy (or similar). Source: Yahoo Finance tickers (e.g., GNK, EDRY, SBLK).</w:t>
      </w:r>
    </w:p>
    <w:p>
      <w:pPr>
        <w:pStyle w:val="Normal"/>
        <w:rPr/>
      </w:pPr>
      <w:r>
        <w:rPr/>
        <w:t>Usage: Class-level signals in forecasting and regime detection.</w:t>
      </w:r>
    </w:p>
    <w:p>
      <w:pPr>
        <w:pStyle w:val="Heading1"/>
        <w:rPr/>
      </w:pPr>
      <w:r>
        <w:rPr/>
        <w:t>3) dataset_2_macro_brent_oil_daily.csv</w:t>
      </w:r>
    </w:p>
    <w:p>
      <w:pPr>
        <w:pStyle w:val="Normal"/>
        <w:rPr/>
      </w:pPr>
      <w:r>
        <w:rPr/>
        <w:t>Purpose: Energy/fuel cost driver and macro feature influencing freight rates and voyage costs.</w:t>
      </w:r>
    </w:p>
    <w:p>
      <w:pPr>
        <w:pStyle w:val="Normal"/>
        <w:rPr/>
      </w:pPr>
      <w:r>
        <w:rPr/>
        <w:t>Frequency: Daily</w:t>
      </w:r>
    </w:p>
    <w:p>
      <w:pPr>
        <w:pStyle w:val="Normal"/>
        <w:rPr/>
      </w:pPr>
      <w:r>
        <w:rPr/>
        <w:t>Typical columns: Date, Close (Brent $/bbl). Source: Investing.com.</w:t>
      </w:r>
    </w:p>
    <w:p>
      <w:pPr>
        <w:pStyle w:val="Normal"/>
        <w:rPr/>
      </w:pPr>
      <w:r>
        <w:rPr/>
        <w:t>Usage: Cost-push feature, bunker proxy (if VLSFO unavailable), inflation/fuel shock indicator.</w:t>
      </w:r>
    </w:p>
    <w:p>
      <w:pPr>
        <w:pStyle w:val="Heading1"/>
        <w:rPr/>
      </w:pPr>
      <w:r>
        <w:rPr/>
        <w:t>4) dataset_2_macro_coal_newcastle_daily.csv</w:t>
      </w:r>
    </w:p>
    <w:p>
      <w:pPr>
        <w:pStyle w:val="Normal"/>
        <w:rPr/>
      </w:pPr>
      <w:r>
        <w:rPr/>
        <w:t>Purpose: Thermal coal price driver reflecting demand/supply dynamics for key India import cargoes.</w:t>
      </w:r>
    </w:p>
    <w:p>
      <w:pPr>
        <w:pStyle w:val="Normal"/>
        <w:rPr/>
      </w:pPr>
      <w:r>
        <w:rPr/>
        <w:t>Frequency: Daily</w:t>
      </w:r>
    </w:p>
    <w:p>
      <w:pPr>
        <w:pStyle w:val="Normal"/>
        <w:rPr/>
      </w:pPr>
      <w:r>
        <w:rPr/>
        <w:t>Typical columns: Date, Close (Newcastle coal $/t). Source: Investing.com.</w:t>
      </w:r>
    </w:p>
    <w:p>
      <w:pPr>
        <w:pStyle w:val="Normal"/>
        <w:rPr/>
      </w:pPr>
      <w:r>
        <w:rPr/>
        <w:t>Usage: Demand signal for coal corridors, feature in freight forecasting.</w:t>
      </w:r>
    </w:p>
    <w:p>
      <w:pPr>
        <w:pStyle w:val="Heading1"/>
        <w:rPr/>
      </w:pPr>
      <w:r>
        <w:rPr/>
        <w:t>5) dataset_2_macro_dxy_usd_index.csv</w:t>
      </w:r>
    </w:p>
    <w:p>
      <w:pPr>
        <w:pStyle w:val="Normal"/>
        <w:rPr/>
      </w:pPr>
      <w:r>
        <w:rPr/>
        <w:t>Purpose: USD strength macro feature affecting global trade competitiveness and freight pricing.</w:t>
      </w:r>
    </w:p>
    <w:p>
      <w:pPr>
        <w:pStyle w:val="Normal"/>
        <w:rPr/>
      </w:pPr>
      <w:r>
        <w:rPr/>
        <w:t>Frequency: Daily</w:t>
      </w:r>
    </w:p>
    <w:p>
      <w:pPr>
        <w:pStyle w:val="Normal"/>
        <w:rPr/>
      </w:pPr>
      <w:r>
        <w:rPr/>
        <w:t>Typical columns: Date, Close (DXY). Source: Investing.com.</w:t>
      </w:r>
    </w:p>
    <w:p>
      <w:pPr>
        <w:pStyle w:val="Normal"/>
        <w:rPr/>
      </w:pPr>
      <w:r>
        <w:rPr/>
        <w:t>Usage: Macro feature in forecasting models.</w:t>
      </w:r>
    </w:p>
    <w:p>
      <w:pPr>
        <w:pStyle w:val="Heading1"/>
        <w:rPr/>
      </w:pPr>
      <w:r>
        <w:rPr/>
        <w:t>6) dataset_2_macro_iron_ore_daily.csv</w:t>
      </w:r>
    </w:p>
    <w:p>
      <w:pPr>
        <w:pStyle w:val="Normal"/>
        <w:rPr/>
      </w:pPr>
      <w:r>
        <w:rPr/>
        <w:t>Purpose: Iron ore price driver (62% Fe) reflecting dry-bulk demand, especially for Capesize-heavy trades.</w:t>
      </w:r>
    </w:p>
    <w:p>
      <w:pPr>
        <w:pStyle w:val="Normal"/>
        <w:rPr/>
      </w:pPr>
      <w:r>
        <w:rPr/>
        <w:t>Frequency: Daily</w:t>
      </w:r>
    </w:p>
    <w:p>
      <w:pPr>
        <w:pStyle w:val="Normal"/>
        <w:rPr/>
      </w:pPr>
      <w:r>
        <w:rPr/>
        <w:t>Typical columns: Date, Close (Iron ore $/t). Source: Investing.com.</w:t>
      </w:r>
    </w:p>
    <w:p>
      <w:pPr>
        <w:pStyle w:val="Normal"/>
        <w:rPr/>
      </w:pPr>
      <w:r>
        <w:rPr/>
        <w:t>Usage: Demand signal for iron ore corridors, feature in forecasting.</w:t>
      </w:r>
    </w:p>
    <w:p>
      <w:pPr>
        <w:pStyle w:val="Heading1"/>
        <w:rPr/>
      </w:pPr>
      <w:r>
        <w:rPr/>
        <w:t>7) dataset_2_macro_usd_inr_daily.csv</w:t>
      </w:r>
    </w:p>
    <w:p>
      <w:pPr>
        <w:pStyle w:val="Normal"/>
        <w:rPr/>
      </w:pPr>
      <w:r>
        <w:rPr/>
        <w:t>Purpose: FX rate (USD/INR) to convert USD freight/fuel costs to INR for Indian importers and to capture currency effects.</w:t>
      </w:r>
    </w:p>
    <w:p>
      <w:pPr>
        <w:pStyle w:val="Normal"/>
        <w:rPr/>
      </w:pPr>
      <w:r>
        <w:rPr/>
        <w:t>Frequency: Daily</w:t>
      </w:r>
    </w:p>
    <w:p>
      <w:pPr>
        <w:pStyle w:val="Normal"/>
        <w:rPr/>
      </w:pPr>
      <w:r>
        <w:rPr/>
        <w:t>Typical columns: Date, Close (USD/INR). Source: Investing.com.</w:t>
      </w:r>
    </w:p>
    <w:p>
      <w:pPr>
        <w:pStyle w:val="Normal"/>
        <w:rPr/>
      </w:pPr>
      <w:r>
        <w:rPr/>
        <w:t>Usage: INR cost conversion, macro feature in forecasting.</w:t>
      </w:r>
    </w:p>
    <w:p>
      <w:pPr>
        <w:pStyle w:val="Heading1"/>
        <w:rPr/>
      </w:pPr>
      <w:r>
        <w:rPr/>
        <w:t>8) dataset_3_port_infrastructure_rules.csv</w:t>
      </w:r>
    </w:p>
    <w:p>
      <w:pPr>
        <w:pStyle w:val="Normal"/>
        <w:rPr/>
      </w:pPr>
      <w:r>
        <w:rPr/>
        <w:t>Purpose: Static port constraints for feasibility checks (draft/LOA/beam) and discharge productivity.</w:t>
      </w:r>
    </w:p>
    <w:p>
      <w:pPr>
        <w:pStyle w:val="Normal"/>
        <w:rPr/>
      </w:pPr>
      <w:r>
        <w:rPr/>
        <w:t>Frequency: Static (15 ports)</w:t>
      </w:r>
    </w:p>
    <w:p>
      <w:pPr>
        <w:pStyle w:val="Normal"/>
        <w:rPr/>
      </w:pPr>
      <w:r>
        <w:rPr/>
        <w:t>Columns: port_name, country, port_type (Loading/Discharge), max_draft_m, max_loa_m, max_beam_m, discharge_rate_tpd, max_vessel_class, notes.</w:t>
      </w:r>
    </w:p>
    <w:p>
      <w:pPr>
        <w:pStyle w:val="Normal"/>
        <w:rPr/>
      </w:pPr>
      <w:r>
        <w:rPr/>
        <w:t>Coverage: India East Coast discharge ports (Paradip, Visakhapatnam Inner/Outer, Gangavaram, Dhamra, Gopalpur, Haldia) and loading origins (Hay Point/Dalrymple Bay, Newcastle, Gladstone, Port Hedland, Richards Bay, Taboneo, Maputo, Baltimore/Norfolk).</w:t>
      </w:r>
    </w:p>
    <w:p>
      <w:pPr>
        <w:pStyle w:val="Normal"/>
        <w:rPr/>
      </w:pPr>
      <w:r>
        <w:rPr/>
        <w:t>Usage: Hard feasibility (vessel ≤ port limits), operational time via discharge_rate_tpd.</w:t>
      </w:r>
    </w:p>
    <w:p>
      <w:pPr>
        <w:pStyle w:val="Heading1"/>
        <w:rPr/>
      </w:pPr>
      <w:r>
        <w:rPr/>
        <w:t>9) dataset_4_vessel_specifications.csv</w:t>
      </w:r>
    </w:p>
    <w:p>
      <w:pPr>
        <w:pStyle w:val="Normal"/>
        <w:rPr/>
      </w:pPr>
      <w:r>
        <w:rPr/>
        <w:t>Purpose: Static vessel class specifications for matching cargo to vessel and estimating speed/fuel.</w:t>
      </w:r>
    </w:p>
    <w:p>
      <w:pPr>
        <w:pStyle w:val="Normal"/>
        <w:rPr/>
      </w:pPr>
      <w:r>
        <w:rPr/>
        <w:t>Frequency: Static (4 classes)</w:t>
      </w:r>
    </w:p>
    <w:p>
      <w:pPr>
        <w:pStyle w:val="Normal"/>
        <w:rPr/>
      </w:pPr>
      <w:r>
        <w:rPr/>
        <w:t>Columns: vessel_class (Handysize, Supramax, Panamax, Capesize), dwt_min, dwt_max, typical_draft_m, typical_loa_m, typical_beam_m, avg_speed_knots, daily_fuel_cons_tons, notes.</w:t>
      </w:r>
    </w:p>
    <w:p>
      <w:pPr>
        <w:pStyle w:val="Normal"/>
        <w:rPr/>
      </w:pPr>
      <w:r>
        <w:rPr/>
        <w:t>Usage: Cargo–vessel matching, feasibility vs port limits, voyage time/fuel estimation.</w:t>
      </w:r>
    </w:p>
    <w:p>
      <w:pPr>
        <w:pStyle w:val="Heading1"/>
        <w:rPr/>
      </w:pPr>
      <w:r>
        <w:rPr/>
        <w:t>10) dataset_5_port_traffic_timeseries.csv</w:t>
      </w:r>
    </w:p>
    <w:p>
      <w:pPr>
        <w:pStyle w:val="Normal"/>
        <w:rPr/>
      </w:pPr>
      <w:r>
        <w:rPr/>
        <w:t>Purpose: Daily port traffic and performance series for idle-time and demurrage estimation.</w:t>
      </w:r>
    </w:p>
    <w:p>
      <w:pPr>
        <w:pStyle w:val="Normal"/>
        <w:rPr/>
      </w:pPr>
      <w:r>
        <w:rPr/>
        <w:t>Frequency: Daily (2011–2026)</w:t>
      </w:r>
    </w:p>
    <w:p>
      <w:pPr>
        <w:pStyle w:val="Normal"/>
        <w:rPr/>
      </w:pPr>
      <w:r>
        <w:rPr/>
        <w:t>Columns: date, port_name, country, port_type, waiting_days_at_anchorage, waiting_days_at_berth, turn_around_time_days, berth_occupancy_pct, vessels_at_anchorage, source_note.</w:t>
      </w:r>
    </w:p>
    <w:p>
      <w:pPr>
        <w:pStyle w:val="Normal"/>
        <w:rPr/>
      </w:pPr>
      <w:r>
        <w:rPr/>
        <w:t>Methodology: Calibrated to Indian Ministry TRT ranges and UNCTAD-style patterns with era factors (2011–2019 moderate, 2020 spike, 2021–2026 moderate) and climatology seasonality (BoB_cyclone, AU_cyclone, SWIO_cyclone, ID_monsoon, Atlantic_hurricane).</w:t>
      </w:r>
    </w:p>
    <w:p>
      <w:pPr>
        <w:pStyle w:val="Normal"/>
        <w:rPr/>
      </w:pPr>
      <w:r>
        <w:rPr/>
        <w:t>Usage: Total port time = waiting + operational (cargo/discharge_rate), demurrage risk, schedule optimization.</w:t>
      </w:r>
    </w:p>
    <w:p>
      <w:pPr>
        <w:pStyle w:val="Heading1"/>
        <w:rPr/>
      </w:pPr>
      <w:r>
        <w:rPr/>
        <w:t>11) dataset_5_port_congestion.csv</w:t>
      </w:r>
    </w:p>
    <w:p>
      <w:pPr>
        <w:pStyle w:val="Normal"/>
        <w:rPr/>
      </w:pPr>
      <w:r>
        <w:rPr/>
        <w:t>Purpose: Legacy/alternate congestion snapshot. Prefer dataset_5_port_traffic_timeseries.csv as the canonical daily series.</w:t>
      </w:r>
    </w:p>
    <w:p>
      <w:pPr>
        <w:pStyle w:val="Normal"/>
        <w:rPr/>
      </w:pPr>
      <w:r>
        <w:rPr/>
        <w:t>Frequency: Daily (2011–2026) if present; otherwise treat as legacy.</w:t>
      </w:r>
    </w:p>
    <w:p>
      <w:pPr>
        <w:pStyle w:val="Normal"/>
        <w:rPr/>
      </w:pPr>
      <w:r>
        <w:rPr/>
        <w:t>Usage: Congestion features; use consistently with dataset_5_port_traffic_timeseries.csv.</w:t>
      </w:r>
    </w:p>
    <w:p>
      <w:pPr>
        <w:pStyle w:val="Heading1"/>
        <w:rPr/>
      </w:pPr>
      <w:r>
        <w:rPr/>
        <w:t>12) dataset_6_weather_risk_flags.csv</w:t>
      </w:r>
    </w:p>
    <w:p>
      <w:pPr>
        <w:pStyle w:val="Normal"/>
        <w:rPr/>
      </w:pPr>
      <w:r>
        <w:rPr/>
        <w:t>Purpose: Daily weather risk flags (monsoon/cyclone) for risk-aware planning and alerting.</w:t>
      </w:r>
    </w:p>
    <w:p>
      <w:pPr>
        <w:pStyle w:val="Normal"/>
        <w:rPr/>
      </w:pPr>
      <w:r>
        <w:rPr/>
        <w:t>Frequency: Daily (2011–2026)</w:t>
      </w:r>
    </w:p>
    <w:p>
      <w:pPr>
        <w:pStyle w:val="Normal"/>
        <w:rPr/>
      </w:pPr>
      <w:r>
        <w:rPr/>
        <w:t>Columns: date, port_name, country, region_cluster, monsoon_risk_level (Low/Medium/High), cyclone_risk_level (Low/Medium/High), typical_disruption_days, notes.</w:t>
      </w:r>
    </w:p>
    <w:p>
      <w:pPr>
        <w:pStyle w:val="Normal"/>
        <w:rPr/>
      </w:pPr>
      <w:r>
        <w:rPr/>
        <w:t>Methodology: Rule-based daily flags from established monsoon/cyclone calendars (IMD/NOAA climatology).</w:t>
      </w:r>
    </w:p>
    <w:p>
      <w:pPr>
        <w:pStyle w:val="Normal"/>
        <w:rPr/>
      </w:pPr>
      <w:r>
        <w:rPr/>
        <w:t>Usage: Risk windows, features in forecasting, alert triggers.</w:t>
      </w:r>
    </w:p>
    <w:p>
      <w:pPr>
        <w:pStyle w:val="Heading1"/>
        <w:rPr/>
      </w:pPr>
      <w:r>
        <w:rPr/>
        <w:t>13) dataset_7_route_distances.csv</w:t>
      </w:r>
    </w:p>
    <w:p>
      <w:pPr>
        <w:pStyle w:val="Normal"/>
        <w:rPr/>
      </w:pPr>
      <w:r>
        <w:rPr/>
        <w:t>Purpose: Static origin–destination nautical miles for sailing time and fuel estimates.</w:t>
      </w:r>
    </w:p>
    <w:p>
      <w:pPr>
        <w:pStyle w:val="Normal"/>
        <w:rPr/>
      </w:pPr>
      <w:r>
        <w:rPr/>
        <w:t>Frequency: Static (56 pairs)</w:t>
      </w:r>
    </w:p>
    <w:p>
      <w:pPr>
        <w:pStyle w:val="Normal"/>
        <w:rPr/>
      </w:pPr>
      <w:r>
        <w:rPr/>
        <w:t>Columns: origin_port, destination_port, distance_nm, route_type.</w:t>
      </w:r>
    </w:p>
    <w:p>
      <w:pPr>
        <w:pStyle w:val="Normal"/>
        <w:rPr/>
      </w:pPr>
      <w:r>
        <w:rPr/>
        <w:t>Methodology: Great-circle nautical miles via haversine on public port coordinates.</w:t>
      </w:r>
    </w:p>
    <w:p>
      <w:pPr>
        <w:pStyle w:val="Normal"/>
        <w:rPr/>
      </w:pPr>
      <w:r>
        <w:rPr/>
        <w:t>Usage: Sailing days ≈ distance_nm / (speed × 24), fuel burn estimation.</w:t>
      </w:r>
    </w:p>
    <w:p>
      <w:pPr>
        <w:pStyle w:val="Heading1"/>
        <w:rPr/>
      </w:pPr>
      <w:r>
        <w:rPr/>
        <w:t>14) dataset_8_disruption_events.csv</w:t>
      </w:r>
    </w:p>
    <w:p>
      <w:pPr>
        <w:pStyle w:val="Normal"/>
        <w:rPr/>
      </w:pPr>
      <w:r>
        <w:rPr/>
        <w:t>Purpose: Event log of major disruptions (cyclones, strikes, severe weather, port closures) for annotation and backtesting.</w:t>
      </w:r>
    </w:p>
    <w:p>
      <w:pPr>
        <w:pStyle w:val="Normal"/>
        <w:rPr/>
      </w:pPr>
      <w:r>
        <w:rPr/>
        <w:t>Frequency: Event-level (2019–2024 events)</w:t>
      </w:r>
    </w:p>
    <w:p>
      <w:pPr>
        <w:pStyle w:val="Normal"/>
        <w:rPr/>
      </w:pPr>
      <w:r>
        <w:rPr/>
        <w:t>Columns: event_date, port_name, country, event_type, impact_days, notes.</w:t>
      </w:r>
    </w:p>
    <w:p>
      <w:pPr>
        <w:pStyle w:val="Normal"/>
        <w:rPr/>
      </w:pPr>
      <w:r>
        <w:rPr/>
        <w:t>Coverage examples: Yaas (2021), Remal (2024), Amphan (2020), Fani (2019) at Paradip/Haldia/Vizag; Taboneo rainy-season delays; Australia coal-port weather disruptions; RBCT strikes/derailments; Cyclone Freddy at Maputo; Atlantic hurricane impacts at Baltimore/Norfolk.</w:t>
      </w:r>
    </w:p>
    <w:p>
      <w:pPr>
        <w:pStyle w:val="Normal"/>
        <w:rPr/>
      </w:pPr>
      <w:r>
        <w:rPr/>
        <w:t>Usage: Disruption dummies, risk windows, backtesting alerts.</w:t>
      </w:r>
    </w:p>
    <w:p>
      <w:pPr>
        <w:pStyle w:val="Heading1"/>
        <w:rPr/>
      </w:pPr>
      <w:r>
        <w:rPr/>
        <w:t>15) dataset_9_bunker_fuel_prices.csv</w:t>
      </w:r>
    </w:p>
    <w:p>
      <w:pPr>
        <w:pStyle w:val="Normal"/>
        <w:rPr/>
      </w:pPr>
      <w:r>
        <w:rPr/>
        <w:t>Purpose: Daily Singapore bunker prices (VLSFO/HSFO) for voyage cost estimation and cost-push forecasting features.</w:t>
      </w:r>
    </w:p>
    <w:p>
      <w:pPr>
        <w:pStyle w:val="Normal"/>
        <w:rPr/>
      </w:pPr>
      <w:r>
        <w:rPr/>
        <w:t>Frequency: Daily (2011–2026)</w:t>
      </w:r>
    </w:p>
    <w:p>
      <w:pPr>
        <w:pStyle w:val="Normal"/>
        <w:rPr/>
      </w:pPr>
      <w:r>
        <w:rPr/>
        <w:t>Columns: date, hub (Singapore), fuel_type (VLSFO/HSFO), price_usd_per_tonne, source_note.</w:t>
      </w:r>
    </w:p>
    <w:p>
      <w:pPr>
        <w:pStyle w:val="Normal"/>
        <w:rPr/>
      </w:pPr>
      <w:r>
        <w:rPr/>
        <w:t>Methodology: Calibrated to World Bank Brent Pink Sheet patterns with period-specific VLSFO premiums and HSFO scrubber spreads (IMO 2020 transition).</w:t>
      </w:r>
    </w:p>
    <w:p>
      <w:pPr>
        <w:pStyle w:val="Normal"/>
        <w:rPr/>
      </w:pPr>
      <w:r>
        <w:rPr/>
        <w:t>Usage: Fuel cost = sailing_days × daily_fuel_cons_tons × fuel_price; forecasting feature.</w:t>
      </w:r>
    </w:p>
    <w:p>
      <w:pPr>
        <w:pStyle w:val="Heading1"/>
        <w:rPr/>
      </w:pPr>
      <w:r>
        <w:rPr/>
        <w:t>Notes and usage guidance</w:t>
      </w:r>
    </w:p>
    <w:p>
      <w:pPr>
        <w:pStyle w:val="Normal"/>
        <w:rPr/>
      </w:pPr>
      <w:r>
        <w:rPr/>
        <w:t xml:space="preserve">• </w:t>
      </w:r>
      <w:r>
        <w:rPr/>
        <w:t>All non-static datasets share the same date range (2011-09-06 to 2026-09-06) and date format (YYYY-MM-DD), simplifying merges.</w:t>
      </w:r>
    </w:p>
    <w:p>
      <w:pPr>
        <w:pStyle w:val="Normal"/>
        <w:rPr/>
      </w:pPr>
      <w:r>
        <w:rPr/>
        <w:t xml:space="preserve">• </w:t>
      </w:r>
      <w:r>
        <w:rPr/>
        <w:t>Static datasets (3, 4, 7) are joined by keys (port_name, vessel_class, origin/destination) and do not vary over time.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• </w:t>
      </w:r>
      <w:r>
        <w:rPr/>
        <w:t>For the ML feature matrix, merge on date and route/port keys, then engineer features (lags, SMAs, EMAs, volatility, RoC) and create targets (t+15/30/90).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6</Pages>
  <Words>777</Words>
  <Characters>6121</Characters>
  <CharactersWithSpaces>6803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2026-09-07T01:28:50Z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